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highlight w:val="none"/>
        </w:rPr>
      </w:pPr>
    </w:p>
    <w:p>
      <w:pPr>
        <w:rPr>
          <w:rFonts w:hint="eastAsia"/>
          <w:sz w:val="32"/>
          <w:szCs w:val="32"/>
          <w:highlight w:val="none"/>
        </w:rPr>
      </w:pPr>
    </w:p>
    <w:p>
      <w:pPr>
        <w:rPr>
          <w:rFonts w:hint="eastAsia"/>
          <w:sz w:val="32"/>
          <w:szCs w:val="32"/>
          <w:highlight w:val="none"/>
        </w:rPr>
      </w:pPr>
    </w:p>
    <w:p>
      <w:pPr>
        <w:jc w:val="center"/>
        <w:rPr>
          <w:rFonts w:hint="eastAsia" w:ascii="宋体"/>
          <w:sz w:val="28"/>
          <w:szCs w:val="28"/>
          <w:highlight w:val="none"/>
        </w:rPr>
      </w:pPr>
    </w:p>
    <w:p>
      <w:pPr>
        <w:jc w:val="center"/>
        <w:rPr>
          <w:rFonts w:hint="eastAsia" w:ascii="宋体"/>
          <w:sz w:val="28"/>
          <w:szCs w:val="28"/>
          <w:highlight w:val="none"/>
        </w:rPr>
      </w:pPr>
    </w:p>
    <w:p>
      <w:pPr>
        <w:pStyle w:val="5"/>
        <w:rPr>
          <w:rFonts w:hint="eastAsia"/>
          <w:highlight w:val="none"/>
        </w:rPr>
      </w:pPr>
    </w:p>
    <w:p>
      <w:pPr>
        <w:spacing w:line="240" w:lineRule="atLeast"/>
        <w:jc w:val="center"/>
        <w:rPr>
          <w:rFonts w:ascii="仿宋" w:hAnsi="仿宋" w:eastAsia="仿宋" w:cs="仿宋"/>
          <w:sz w:val="32"/>
          <w:szCs w:val="32"/>
          <w:highlight w:val="none"/>
        </w:rPr>
      </w:pPr>
      <w:r>
        <w:rPr>
          <w:rFonts w:hint="eastAsia" w:ascii="楷体" w:hAnsi="楷体" w:eastAsia="楷体" w:cs="楷体"/>
          <w:sz w:val="32"/>
          <w:szCs w:val="32"/>
          <w:highlight w:val="none"/>
        </w:rPr>
        <w:t>双环评〔202</w:t>
      </w: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2</w:t>
      </w:r>
      <w:r>
        <w:rPr>
          <w:rFonts w:hint="eastAsia" w:ascii="楷体" w:hAnsi="楷体" w:eastAsia="楷体" w:cs="楷体"/>
          <w:sz w:val="32"/>
          <w:szCs w:val="32"/>
          <w:highlight w:val="none"/>
        </w:rPr>
        <w:t>号</w:t>
      </w:r>
    </w:p>
    <w:p>
      <w:pPr>
        <w:spacing w:line="600" w:lineRule="exact"/>
        <w:jc w:val="center"/>
        <w:rPr>
          <w:rFonts w:eastAsia="仿宋_GB2312"/>
          <w:sz w:val="15"/>
          <w:szCs w:val="15"/>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kern w:val="2"/>
          <w:sz w:val="32"/>
          <w:szCs w:val="32"/>
          <w:highlight w:val="none"/>
          <w:lang w:val="en-US" w:eastAsia="zh-CN" w:bidi="ar-SA"/>
        </w:rPr>
      </w:pPr>
      <w:r>
        <w:rPr>
          <w:rFonts w:hint="eastAsia" w:ascii="黑体" w:hAnsi="黑体" w:eastAsia="黑体" w:cs="黑体"/>
          <w:color w:val="000000" w:themeColor="text1"/>
          <w:sz w:val="40"/>
          <w:szCs w:val="40"/>
          <w:highlight w:val="none"/>
          <w14:textFill>
            <w14:solidFill>
              <w14:schemeClr w14:val="tx1"/>
            </w14:solidFill>
          </w14:textFill>
        </w:rPr>
        <w:t>关于湖南丰盛塑胶制品有限公司年产2000万件塑胶工艺品</w:t>
      </w:r>
      <w:r>
        <w:rPr>
          <w:rFonts w:hint="eastAsia" w:ascii="黑体" w:hAnsi="黑体" w:eastAsia="黑体" w:cs="黑体"/>
          <w:color w:val="000000" w:themeColor="text1"/>
          <w:sz w:val="40"/>
          <w:szCs w:val="40"/>
          <w:highlight w:val="none"/>
          <w:lang w:eastAsia="zh-CN"/>
          <w14:textFill>
            <w14:solidFill>
              <w14:schemeClr w14:val="tx1"/>
            </w14:solidFill>
          </w14:textFill>
        </w:rPr>
        <w:t>建设</w:t>
      </w:r>
      <w:r>
        <w:rPr>
          <w:rFonts w:hint="eastAsia" w:ascii="黑体" w:hAnsi="黑体" w:eastAsia="黑体" w:cs="黑体"/>
          <w:color w:val="000000" w:themeColor="text1"/>
          <w:sz w:val="40"/>
          <w:szCs w:val="40"/>
          <w:highlight w:val="none"/>
          <w14:textFill>
            <w14:solidFill>
              <w14:schemeClr w14:val="tx1"/>
            </w14:solidFill>
          </w14:textFill>
        </w:rPr>
        <w:t>项目环境影响报告表的批复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80" w:lineRule="exact"/>
        <w:jc w:val="left"/>
        <w:textAlignment w:val="auto"/>
        <w:rPr>
          <w:rFonts w:hint="eastAsia" w:ascii="仿宋" w:hAnsi="仿宋" w:eastAsia="仿宋" w:cs="仿宋"/>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80" w:lineRule="exact"/>
        <w:jc w:val="lef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湖南丰盛塑胶制品有限公司：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8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你公司委托</w:t>
      </w:r>
      <w:r>
        <w:rPr>
          <w:rFonts w:hint="eastAsia" w:ascii="仿宋" w:hAnsi="仿宋" w:eastAsia="仿宋" w:cs="仿宋"/>
          <w:sz w:val="32"/>
          <w:szCs w:val="32"/>
          <w:highlight w:val="none"/>
          <w:lang w:val="en-US" w:eastAsia="zh-CN"/>
        </w:rPr>
        <w:t>湖南绿清源环保科技有限公司</w:t>
      </w:r>
      <w:r>
        <w:rPr>
          <w:rFonts w:hint="eastAsia" w:ascii="仿宋" w:hAnsi="仿宋" w:eastAsia="仿宋" w:cs="仿宋"/>
          <w:sz w:val="32"/>
          <w:szCs w:val="32"/>
          <w:highlight w:val="none"/>
        </w:rPr>
        <w:t>编制的《湖南丰盛塑胶制品有限公司年产2000万件塑胶工艺品建设项目环境影响报告表》（以下简称《报告表》）及相关资料已收悉，经研究，现批复如下：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你公司拟租用双牌工业集中区创新创业园6栋（1-4层）建设年产2000万件塑胶工艺品生产项目。项目总建筑面积4800平方米，主要生产设备为注塑机、冲床、射骨机、定型机、搅拌机等。项目主要使用铁线、竹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木、陶瓷、玻璃、PET金葱粉、PE塑胶粒、PVC塑胶粒、950白乳胶、5842手感胶、水性色桨、水性色粉、PE油漆、水性油添等作为原辅材料。项目总投资2000万元，其中环保投资36万元，占总投资的1.8%。</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ascii="仿宋" w:hAnsi="仿宋" w:eastAsia="仿宋" w:cs="仿宋"/>
          <w:color w:val="000000"/>
          <w:kern w:val="32"/>
          <w:sz w:val="32"/>
          <w:szCs w:val="32"/>
          <w:highlight w:val="none"/>
        </w:rPr>
      </w:pPr>
      <w:r>
        <w:rPr>
          <w:rFonts w:hint="eastAsia" w:ascii="仿宋" w:hAnsi="仿宋" w:eastAsia="仿宋" w:cs="仿宋"/>
          <w:color w:val="000000"/>
          <w:sz w:val="32"/>
          <w:szCs w:val="32"/>
          <w:highlight w:val="none"/>
        </w:rPr>
        <w:t>该项目符合国家产业政策，</w:t>
      </w:r>
      <w:r>
        <w:rPr>
          <w:rFonts w:hint="eastAsia" w:ascii="仿宋" w:hAnsi="仿宋" w:eastAsia="仿宋" w:cs="仿宋"/>
          <w:sz w:val="32"/>
          <w:szCs w:val="32"/>
          <w:highlight w:val="none"/>
        </w:rPr>
        <w:t>你公司在严格落实《报告表》和本批复提出的各项环保要求和环境影响减缓措施，确保污染物达标排放的前提下，依据《中华人民共和国环境影响评价法》第二十二条等规定，从环境保护角度分析，我局同意该项目建设。本批复和《报告表》是该项目环保审批的法律文件，自批复之日起超过5年方开工建设，或项目性质、规模、地点、生产工艺、环境保护措施等发生重大变更的，必须依法重新报批。</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二、项目在建设过程中必须按照报告表提出的要求落实好各项环保措施，严格执行环保“三同时”制度，</w:t>
      </w:r>
      <w:r>
        <w:rPr>
          <w:rFonts w:hint="eastAsia" w:ascii="仿宋" w:hAnsi="仿宋" w:eastAsia="仿宋" w:cs="仿宋"/>
          <w:color w:val="000000"/>
          <w:sz w:val="32"/>
          <w:szCs w:val="32"/>
        </w:rPr>
        <w:t>严格落实《报告表》提出的相关污染物污染防治措施，</w:t>
      </w:r>
      <w:r>
        <w:rPr>
          <w:rFonts w:hint="eastAsia" w:ascii="仿宋" w:hAnsi="仿宋" w:eastAsia="仿宋" w:cs="仿宋"/>
          <w:sz w:val="32"/>
          <w:szCs w:val="32"/>
          <w:highlight w:val="none"/>
        </w:rPr>
        <w:t>并重点做好以下工作: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）废水污染防治</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注塑机冷却水循环使用，不外排；生活污水</w:t>
      </w:r>
      <w:r>
        <w:rPr>
          <w:rFonts w:hint="default" w:ascii="仿宋" w:hAnsi="仿宋" w:eastAsia="仿宋" w:cs="仿宋"/>
          <w:sz w:val="32"/>
          <w:szCs w:val="32"/>
          <w:highlight w:val="none"/>
        </w:rPr>
        <w:t>经</w:t>
      </w:r>
      <w:r>
        <w:rPr>
          <w:rFonts w:hint="default" w:ascii="仿宋" w:hAnsi="仿宋" w:eastAsia="仿宋" w:cs="仿宋"/>
          <w:sz w:val="32"/>
          <w:szCs w:val="32"/>
          <w:highlight w:val="none"/>
          <w:lang w:val="en-US"/>
        </w:rPr>
        <w:t>化粪池处理后达</w:t>
      </w:r>
      <w:r>
        <w:rPr>
          <w:rFonts w:hint="eastAsia" w:ascii="仿宋" w:hAnsi="仿宋" w:eastAsia="仿宋" w:cs="仿宋"/>
          <w:sz w:val="32"/>
          <w:szCs w:val="32"/>
          <w:highlight w:val="none"/>
        </w:rPr>
        <w:t>到《污水综合排放标准》（GB8978-1996）中三级标准后</w:t>
      </w:r>
      <w:r>
        <w:rPr>
          <w:rFonts w:hint="default" w:ascii="仿宋" w:hAnsi="仿宋" w:eastAsia="仿宋" w:cs="仿宋"/>
          <w:sz w:val="32"/>
          <w:szCs w:val="32"/>
          <w:highlight w:val="none"/>
        </w:rPr>
        <w:t>通过园区污水管网</w:t>
      </w:r>
      <w:r>
        <w:rPr>
          <w:rFonts w:hint="eastAsia" w:ascii="仿宋" w:hAnsi="仿宋" w:eastAsia="仿宋" w:cs="仿宋"/>
          <w:sz w:val="32"/>
          <w:szCs w:val="32"/>
          <w:highlight w:val="none"/>
        </w:rPr>
        <w:t>进入双牌县污水处理厂处理。</w:t>
      </w:r>
    </w:p>
    <w:p>
      <w:pPr>
        <w:keepNext w:val="0"/>
        <w:keepLines w:val="0"/>
        <w:pageBreakBefore w:val="0"/>
        <w:widowControl w:val="0"/>
        <w:kinsoku/>
        <w:wordWrap/>
        <w:overflowPunct/>
        <w:topLinePunct w:val="0"/>
        <w:autoSpaceDE/>
        <w:autoSpaceDN/>
        <w:bidi w:val="0"/>
        <w:spacing w:line="580" w:lineRule="exact"/>
        <w:ind w:right="42" w:rightChars="20" w:firstLine="640" w:firstLineChars="200"/>
        <w:jc w:val="both"/>
        <w:textAlignment w:val="auto"/>
        <w:rPr>
          <w:rFonts w:hint="eastAsia"/>
          <w:color w:val="000000" w:themeColor="text1"/>
          <w:highlight w:val="none"/>
          <w14:textFill>
            <w14:solidFill>
              <w14:schemeClr w14:val="tx1"/>
            </w14:solidFill>
          </w14:textFill>
        </w:rPr>
      </w:pPr>
      <w:r>
        <w:rPr>
          <w:rFonts w:hint="eastAsia" w:ascii="仿宋" w:hAnsi="仿宋" w:eastAsia="仿宋" w:cs="仿宋"/>
          <w:sz w:val="32"/>
          <w:szCs w:val="32"/>
          <w:highlight w:val="none"/>
        </w:rPr>
        <w:t>（二）废气污染防治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w:t>
      </w:r>
      <w:r>
        <w:rPr>
          <w:rFonts w:hint="eastAsia" w:ascii="仿宋" w:hAnsi="仿宋" w:eastAsia="仿宋" w:cs="仿宋"/>
          <w:color w:val="000000" w:themeColor="text1"/>
          <w:sz w:val="32"/>
          <w:szCs w:val="32"/>
          <w:highlight w:val="none"/>
          <w14:textFill>
            <w14:solidFill>
              <w14:schemeClr w14:val="tx1"/>
            </w14:solidFill>
          </w14:textFill>
        </w:rPr>
        <w:t>大气污染物主要为</w:t>
      </w:r>
      <w:r>
        <w:rPr>
          <w:rFonts w:hint="eastAsia" w:ascii="仿宋" w:hAnsi="仿宋" w:eastAsia="仿宋" w:cs="仿宋"/>
          <w:color w:val="000000" w:themeColor="text1"/>
          <w:sz w:val="32"/>
          <w:szCs w:val="32"/>
          <w:highlight w:val="none"/>
          <w:lang w:val="en-US" w:eastAsia="zh-CN"/>
          <w14:textFill>
            <w14:solidFill>
              <w14:schemeClr w14:val="tx1"/>
            </w14:solidFill>
          </w14:textFill>
        </w:rPr>
        <w:t>喷</w:t>
      </w:r>
      <w:r>
        <w:rPr>
          <w:rFonts w:hint="eastAsia" w:ascii="仿宋" w:hAnsi="仿宋" w:eastAsia="仿宋" w:cs="仿宋"/>
          <w:color w:val="000000" w:themeColor="text1"/>
          <w:sz w:val="32"/>
          <w:szCs w:val="32"/>
          <w:highlight w:val="none"/>
          <w14:textFill>
            <w14:solidFill>
              <w14:schemeClr w14:val="tx1"/>
            </w14:solidFill>
          </w14:textFill>
        </w:rPr>
        <w:t>漆、移印、注塑工序</w:t>
      </w:r>
      <w:r>
        <w:rPr>
          <w:rFonts w:hint="eastAsia" w:ascii="仿宋" w:hAnsi="仿宋" w:eastAsia="仿宋" w:cs="仿宋"/>
          <w:color w:val="000000" w:themeColor="text1"/>
          <w:sz w:val="32"/>
          <w:szCs w:val="32"/>
          <w:highlight w:val="none"/>
          <w:lang w:eastAsia="zh-CN"/>
          <w14:textFill>
            <w14:solidFill>
              <w14:schemeClr w14:val="tx1"/>
            </w14:solidFill>
          </w14:textFill>
        </w:rPr>
        <w:t>产生</w:t>
      </w:r>
      <w:r>
        <w:rPr>
          <w:rFonts w:hint="eastAsia" w:ascii="仿宋" w:hAnsi="仿宋" w:eastAsia="仿宋" w:cs="仿宋"/>
          <w:color w:val="000000" w:themeColor="text1"/>
          <w:sz w:val="32"/>
          <w:szCs w:val="32"/>
          <w:highlight w:val="none"/>
          <w14:textFill>
            <w14:solidFill>
              <w14:schemeClr w14:val="tx1"/>
            </w14:solidFill>
          </w14:textFill>
        </w:rPr>
        <w:t>有机废气。喷漆</w:t>
      </w:r>
      <w:r>
        <w:rPr>
          <w:rFonts w:hint="eastAsia" w:ascii="仿宋" w:hAnsi="仿宋" w:eastAsia="仿宋" w:cs="仿宋"/>
          <w:color w:val="000000" w:themeColor="text1"/>
          <w:sz w:val="32"/>
          <w:szCs w:val="32"/>
          <w:highlight w:val="none"/>
          <w:lang w:eastAsia="zh-CN"/>
          <w14:textFill>
            <w14:solidFill>
              <w14:schemeClr w14:val="tx1"/>
            </w14:solidFill>
          </w14:textFill>
        </w:rPr>
        <w:t>需在独立密闭的空间操作，</w:t>
      </w:r>
      <w:r>
        <w:rPr>
          <w:rFonts w:hint="eastAsia" w:ascii="仿宋" w:hAnsi="仿宋" w:eastAsia="仿宋" w:cs="仿宋"/>
          <w:color w:val="000000" w:themeColor="text1"/>
          <w:sz w:val="32"/>
          <w:szCs w:val="32"/>
          <w:highlight w:val="none"/>
          <w:lang w:val="en-US" w:eastAsia="zh-CN"/>
          <w14:textFill>
            <w14:solidFill>
              <w14:schemeClr w14:val="tx1"/>
            </w14:solidFill>
          </w14:textFill>
        </w:rPr>
        <w:t>染色、喷漆</w:t>
      </w:r>
      <w:r>
        <w:rPr>
          <w:rFonts w:hint="default" w:ascii="仿宋" w:hAnsi="仿宋" w:eastAsia="仿宋" w:cs="仿宋"/>
          <w:color w:val="000000" w:themeColor="text1"/>
          <w:sz w:val="32"/>
          <w:szCs w:val="32"/>
          <w:highlight w:val="none"/>
          <w:lang w:val="en-US"/>
          <w14:textFill>
            <w14:solidFill>
              <w14:schemeClr w14:val="tx1"/>
            </w14:solidFill>
          </w14:textFill>
        </w:rPr>
        <w:t>、移印</w:t>
      </w:r>
      <w:r>
        <w:rPr>
          <w:rFonts w:hint="eastAsia" w:ascii="仿宋" w:hAnsi="仿宋" w:eastAsia="仿宋" w:cs="仿宋"/>
          <w:color w:val="000000" w:themeColor="text1"/>
          <w:sz w:val="32"/>
          <w:szCs w:val="32"/>
          <w:highlight w:val="none"/>
          <w:lang w:val="en-US" w:eastAsia="zh-CN"/>
          <w14:textFill>
            <w14:solidFill>
              <w14:schemeClr w14:val="tx1"/>
            </w14:solidFill>
          </w14:textFill>
        </w:rPr>
        <w:t>、注塑</w:t>
      </w:r>
      <w:r>
        <w:rPr>
          <w:rFonts w:hint="default" w:ascii="仿宋" w:hAnsi="仿宋" w:eastAsia="仿宋" w:cs="仿宋"/>
          <w:color w:val="000000" w:themeColor="text1"/>
          <w:sz w:val="32"/>
          <w:szCs w:val="32"/>
          <w:highlight w:val="none"/>
          <w:lang w:val="en-US"/>
          <w14:textFill>
            <w14:solidFill>
              <w14:schemeClr w14:val="tx1"/>
            </w14:solidFill>
          </w14:textFill>
        </w:rPr>
        <w:t>工序</w:t>
      </w:r>
      <w:r>
        <w:rPr>
          <w:rFonts w:hint="eastAsia" w:ascii="仿宋" w:hAnsi="仿宋" w:eastAsia="仿宋" w:cs="仿宋"/>
          <w:color w:val="000000" w:themeColor="text1"/>
          <w:sz w:val="32"/>
          <w:szCs w:val="32"/>
          <w:highlight w:val="none"/>
          <w14:textFill>
            <w14:solidFill>
              <w14:schemeClr w14:val="tx1"/>
            </w14:solidFill>
          </w14:textFill>
        </w:rPr>
        <w:t>产生的有机废气</w:t>
      </w:r>
      <w:r>
        <w:rPr>
          <w:rFonts w:hint="default" w:ascii="仿宋" w:hAnsi="仿宋" w:eastAsia="仿宋" w:cs="仿宋"/>
          <w:color w:val="000000" w:themeColor="text1"/>
          <w:sz w:val="32"/>
          <w:szCs w:val="32"/>
          <w:highlight w:val="none"/>
          <w:lang w:val="en-US"/>
          <w14:textFill>
            <w14:solidFill>
              <w14:schemeClr w14:val="tx1"/>
            </w14:solidFill>
          </w14:textFill>
        </w:rPr>
        <w:t>采用“</w:t>
      </w:r>
      <w:r>
        <w:rPr>
          <w:rFonts w:hint="eastAsia" w:ascii="仿宋" w:hAnsi="仿宋" w:eastAsia="仿宋" w:cs="仿宋"/>
          <w:color w:val="000000" w:themeColor="text1"/>
          <w:sz w:val="32"/>
          <w:szCs w:val="32"/>
          <w:highlight w:val="none"/>
          <w:lang w:val="en-US" w:eastAsia="zh-CN"/>
          <w14:textFill>
            <w14:solidFill>
              <w14:schemeClr w14:val="tx1"/>
            </w14:solidFill>
          </w14:textFill>
        </w:rPr>
        <w:t>集气罩+活性炭吸附装置</w:t>
      </w:r>
      <w:r>
        <w:rPr>
          <w:rFonts w:hint="default" w:ascii="仿宋" w:hAnsi="仿宋" w:eastAsia="仿宋" w:cs="仿宋"/>
          <w:color w:val="000000" w:themeColor="text1"/>
          <w:sz w:val="32"/>
          <w:szCs w:val="32"/>
          <w:highlight w:val="none"/>
          <w:lang w:val="en-US"/>
          <w14:textFill>
            <w14:solidFill>
              <w14:schemeClr w14:val="tx1"/>
            </w14:solidFill>
          </w14:textFill>
        </w:rPr>
        <w:t>”措施处理</w:t>
      </w:r>
      <w:r>
        <w:rPr>
          <w:rFonts w:hint="eastAsia" w:ascii="仿宋" w:hAnsi="仿宋" w:eastAsia="仿宋" w:cs="仿宋"/>
          <w:color w:val="000000" w:themeColor="text1"/>
          <w:sz w:val="32"/>
          <w:szCs w:val="32"/>
          <w:highlight w:val="none"/>
          <w:lang w:val="en-US" w:eastAsia="zh-CN"/>
          <w14:textFill>
            <w14:solidFill>
              <w14:schemeClr w14:val="tx1"/>
            </w14:solidFill>
          </w14:textFill>
        </w:rPr>
        <w:t>后</w:t>
      </w:r>
      <w:r>
        <w:rPr>
          <w:rFonts w:hint="default" w:ascii="仿宋" w:hAnsi="仿宋" w:eastAsia="仿宋" w:cs="仿宋"/>
          <w:color w:val="000000" w:themeColor="text1"/>
          <w:sz w:val="32"/>
          <w:szCs w:val="32"/>
          <w:highlight w:val="none"/>
          <w:lang w:val="en-US"/>
          <w14:textFill>
            <w14:solidFill>
              <w14:schemeClr w14:val="tx1"/>
            </w14:solidFill>
          </w14:textFill>
        </w:rPr>
        <w:t>，满足湖南省《家具制造行业挥发性有机物排放标准》（DB43/1355-2017）表1中企业排气筒挥发性有机物的最高允许排放限值</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通过不低于20M高排气筒达标排放。加强车间生产管理与设备维护，严格遵守生产设备技术规范操作，减少有机废气的产生及排放量。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（三）噪声污染防治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项目应合理布局，</w:t>
      </w:r>
      <w:r>
        <w:rPr>
          <w:rFonts w:hint="default" w:ascii="仿宋" w:hAnsi="仿宋" w:eastAsia="仿宋" w:cs="仿宋"/>
          <w:sz w:val="32"/>
          <w:szCs w:val="32"/>
          <w:highlight w:val="none"/>
          <w:lang w:val="en-US"/>
        </w:rPr>
        <w:t>项目设备</w:t>
      </w:r>
      <w:r>
        <w:rPr>
          <w:rFonts w:hint="eastAsia" w:ascii="仿宋" w:hAnsi="仿宋" w:eastAsia="仿宋" w:cs="仿宋"/>
          <w:sz w:val="32"/>
          <w:szCs w:val="32"/>
          <w:highlight w:val="none"/>
        </w:rPr>
        <w:t>选用低噪声设备，采取基础减振、隔声、</w:t>
      </w:r>
      <w:r>
        <w:rPr>
          <w:rFonts w:hint="eastAsia" w:ascii="仿宋" w:hAnsi="仿宋" w:eastAsia="仿宋" w:cs="仿宋"/>
          <w:sz w:val="32"/>
          <w:szCs w:val="32"/>
          <w:highlight w:val="none"/>
          <w:lang w:eastAsia="zh-CN"/>
        </w:rPr>
        <w:t>降噪</w:t>
      </w:r>
      <w:r>
        <w:rPr>
          <w:rFonts w:hint="eastAsia" w:ascii="仿宋" w:hAnsi="仿宋" w:eastAsia="仿宋" w:cs="仿宋"/>
          <w:sz w:val="32"/>
          <w:szCs w:val="32"/>
          <w:highlight w:val="none"/>
        </w:rPr>
        <w:t>等措施，做好设备维护，确保厂界噪声排放控制在《工业企业厂界环境噪声排放标准》（GB12348-2008）中的</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类标准范围内。</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固体废物防治</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按固体废物“减量化、资源化、无害化”处置原则，落实各类固体废物贮存、处置及综合利用措施，厂内的固废暂存场所按国家规定要求分类设置，防止二次污染。该项目主要涉及固体废物</w:t>
      </w:r>
      <w:r>
        <w:rPr>
          <w:rFonts w:hint="default" w:ascii="仿宋" w:hAnsi="仿宋" w:eastAsia="仿宋" w:cs="仿宋"/>
          <w:color w:val="000000"/>
          <w:sz w:val="32"/>
          <w:szCs w:val="32"/>
          <w:highlight w:val="none"/>
          <w:lang w:val="en-US"/>
        </w:rPr>
        <w:t>生活垃圾、残次品、废油漆桶、废润滑油</w:t>
      </w:r>
      <w:r>
        <w:rPr>
          <w:rFonts w:hint="eastAsia" w:ascii="仿宋" w:hAnsi="仿宋" w:eastAsia="仿宋" w:cs="仿宋"/>
          <w:color w:val="000000"/>
          <w:sz w:val="32"/>
          <w:szCs w:val="32"/>
          <w:highlight w:val="none"/>
          <w:lang w:val="en-US" w:eastAsia="zh-CN"/>
        </w:rPr>
        <w:t>和废活性炭</w:t>
      </w:r>
      <w:r>
        <w:rPr>
          <w:rFonts w:hint="default" w:ascii="仿宋" w:hAnsi="仿宋" w:eastAsia="仿宋" w:cs="仿宋"/>
          <w:color w:val="000000"/>
          <w:sz w:val="32"/>
          <w:szCs w:val="32"/>
          <w:highlight w:val="none"/>
          <w:lang w:val="en-US"/>
        </w:rPr>
        <w:t>。</w:t>
      </w:r>
      <w:r>
        <w:rPr>
          <w:rFonts w:hint="default" w:ascii="仿宋" w:hAnsi="仿宋" w:eastAsia="仿宋" w:cs="仿宋"/>
          <w:color w:val="000000" w:themeColor="text1"/>
          <w:sz w:val="32"/>
          <w:szCs w:val="32"/>
          <w:highlight w:val="none"/>
          <w:lang w:val="en-US"/>
          <w14:textFill>
            <w14:solidFill>
              <w14:schemeClr w14:val="tx1"/>
            </w14:solidFill>
          </w14:textFill>
        </w:rPr>
        <w:t>残次品</w:t>
      </w:r>
      <w:r>
        <w:rPr>
          <w:rFonts w:hint="eastAsia" w:ascii="仿宋" w:hAnsi="仿宋" w:eastAsia="仿宋" w:cs="仿宋"/>
          <w:color w:val="000000" w:themeColor="text1"/>
          <w:sz w:val="32"/>
          <w:szCs w:val="32"/>
          <w:highlight w:val="none"/>
          <w:lang w:val="en-US" w:eastAsia="zh-CN"/>
          <w14:textFill>
            <w14:solidFill>
              <w14:schemeClr w14:val="tx1"/>
            </w14:solidFill>
          </w14:textFill>
        </w:rPr>
        <w:t>经统一收集后综合利用；废油漆桶</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default" w:ascii="仿宋" w:hAnsi="仿宋" w:eastAsia="仿宋" w:cs="仿宋"/>
          <w:color w:val="000000" w:themeColor="text1"/>
          <w:sz w:val="32"/>
          <w:szCs w:val="32"/>
          <w:highlight w:val="none"/>
          <w:lang w:val="en-US"/>
          <w14:textFill>
            <w14:solidFill>
              <w14:schemeClr w14:val="tx1"/>
            </w14:solidFill>
          </w14:textFill>
        </w:rPr>
        <w:t>废润滑油</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废活性</w:t>
      </w:r>
      <w:r>
        <w:rPr>
          <w:rFonts w:hint="eastAsia" w:ascii="仿宋" w:hAnsi="仿宋" w:eastAsia="仿宋" w:cs="仿宋"/>
          <w:color w:val="000000" w:themeColor="text1"/>
          <w:sz w:val="32"/>
          <w:szCs w:val="32"/>
          <w:highlight w:val="none"/>
          <w:lang w:eastAsia="zh-CN"/>
          <w14:textFill>
            <w14:solidFill>
              <w14:schemeClr w14:val="tx1"/>
            </w14:solidFill>
          </w14:textFill>
        </w:rPr>
        <w:t>碳</w:t>
      </w:r>
      <w:r>
        <w:rPr>
          <w:rFonts w:hint="eastAsia" w:ascii="仿宋" w:hAnsi="仿宋" w:eastAsia="仿宋" w:cs="仿宋"/>
          <w:color w:val="000000" w:themeColor="text1"/>
          <w:sz w:val="32"/>
          <w:szCs w:val="32"/>
          <w:highlight w:val="none"/>
          <w14:textFill>
            <w14:solidFill>
              <w14:schemeClr w14:val="tx1"/>
            </w14:solidFill>
          </w14:textFill>
        </w:rPr>
        <w:t>经收集后暂存危险废物储存间，交由有资质单位进行处置；生活垃圾统一收集后交由环卫部门集中处置。必须规范化设置专门的危险废物储存间，做好防渗漏、防扩散等措施，并根据危险废物相关管理规定设置标志、建立管理台账，转运前申请转移联单，由具有相关资质的单位进行清运和无</w:t>
      </w:r>
      <w:r>
        <w:rPr>
          <w:rFonts w:hint="eastAsia" w:ascii="仿宋" w:hAnsi="仿宋" w:eastAsia="仿宋" w:cs="仿宋"/>
          <w:color w:val="000000"/>
          <w:sz w:val="32"/>
          <w:szCs w:val="32"/>
          <w:highlight w:val="none"/>
        </w:rPr>
        <w:t>害化处置，不得自行处理。</w:t>
      </w:r>
    </w:p>
    <w:p>
      <w:pPr>
        <w:keepNext w:val="0"/>
        <w:keepLines w:val="0"/>
        <w:pageBreakBefore w:val="0"/>
        <w:widowControl w:val="0"/>
        <w:kinsoku/>
        <w:wordWrap/>
        <w:overflowPunct/>
        <w:topLinePunct w:val="0"/>
        <w:bidi w:val="0"/>
        <w:spacing w:line="580" w:lineRule="exact"/>
        <w:ind w:firstLine="640" w:firstLineChars="200"/>
        <w:contextualSpacing/>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（五）环境风险防范。加强环境风险管理及项目安全生产检查，提高事故风险防范和污染控制能力，对事故隐患做到及早发现，及时处理，确保区域环境安全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加强环境风险管理，制定环境风险应急预案</w:t>
      </w:r>
      <w:r>
        <w:rPr>
          <w:rFonts w:hint="eastAsia" w:ascii="仿宋" w:hAnsi="仿宋" w:eastAsia="仿宋" w:cs="仿宋"/>
          <w:color w:val="000000" w:themeColor="text1"/>
          <w:sz w:val="32"/>
          <w:szCs w:val="32"/>
          <w:highlight w:val="none"/>
          <w:lang w:eastAsia="zh-CN"/>
          <w14:textFill>
            <w14:solidFill>
              <w14:schemeClr w14:val="tx1"/>
            </w14:solidFill>
          </w14:textFill>
        </w:rPr>
        <w:t>并备案</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_GB2312" w:hAnsi="仿宋" w:eastAsia="仿宋_GB2312"/>
          <w:color w:val="000000"/>
          <w:sz w:val="32"/>
          <w:szCs w:val="32"/>
        </w:rPr>
        <w:t>科学布设预警设施、事故应急设施，配套相关处理设施，防止非正常工况和事故状态下环境风险排放。</w:t>
      </w:r>
      <w:r>
        <w:rPr>
          <w:rFonts w:hint="eastAsia" w:ascii="仿宋" w:hAnsi="仿宋" w:eastAsia="仿宋" w:cs="仿宋"/>
          <w:color w:val="000000" w:themeColor="text1"/>
          <w:sz w:val="32"/>
          <w:szCs w:val="32"/>
          <w:highlight w:val="none"/>
          <w14:textFill>
            <w14:solidFill>
              <w14:schemeClr w14:val="tx1"/>
            </w14:solidFill>
          </w14:textFill>
        </w:rPr>
        <w:t>建立严格的操作制度，通过岗前培训等方式，不断提高职工素质和处理突发事件的能力。做好污染防治设施的维护管理，确保环保设备长期稳定运行。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（六）维护社会稳定。加强对项目附近环境敏感点的环境保护，处理好与周边的关系，防止因环保诉求而引发矛盾，自觉维护社会稳定。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zh-CN"/>
          <w14:textFill>
            <w14:solidFill>
              <w14:schemeClr w14:val="tx1"/>
            </w14:solidFill>
          </w14:textFill>
        </w:rPr>
        <w:t>（七）总量控制指标。</w:t>
      </w:r>
      <w:r>
        <w:rPr>
          <w:rFonts w:hint="eastAsia" w:ascii="仿宋" w:hAnsi="仿宋" w:eastAsia="仿宋" w:cs="仿宋"/>
          <w:color w:val="000000" w:themeColor="text1"/>
          <w:sz w:val="32"/>
          <w:szCs w:val="32"/>
          <w:highlight w:val="none"/>
          <w14:textFill>
            <w14:solidFill>
              <w14:schemeClr w14:val="tx1"/>
            </w14:solidFill>
          </w14:textFill>
        </w:rPr>
        <w:t>根据环评报告和专家意见，本项目设置污染物总量控制指标</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default" w:ascii="Times New Roman" w:hAnsi="Times New Roman" w:cs="Times New Roman"/>
          <w:sz w:val="24"/>
          <w:szCs w:val="24"/>
          <w:u w:val="none"/>
          <w:lang w:val="en-US" w:bidi="ar-SA"/>
        </w:rPr>
        <w:t>VOCs</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0.6</w:t>
      </w:r>
      <w:r>
        <w:rPr>
          <w:rFonts w:hint="eastAsia" w:ascii="仿宋" w:hAnsi="仿宋" w:eastAsia="仿宋" w:cs="仿宋"/>
          <w:color w:val="000000" w:themeColor="text1"/>
          <w:sz w:val="32"/>
          <w:szCs w:val="32"/>
          <w:highlight w:val="none"/>
          <w14:textFill>
            <w14:solidFill>
              <w14:schemeClr w14:val="tx1"/>
            </w14:solidFill>
          </w14:textFill>
        </w:rPr>
        <w:t>吨/</w:t>
      </w:r>
      <w:r>
        <w:rPr>
          <w:rFonts w:hint="eastAsia" w:ascii="仿宋" w:hAnsi="仿宋" w:eastAsia="仿宋" w:cs="仿宋"/>
          <w:color w:val="000000" w:themeColor="text1"/>
          <w:sz w:val="32"/>
          <w:szCs w:val="32"/>
          <w14:textFill>
            <w14:solidFill>
              <w14:schemeClr w14:val="tx1"/>
            </w14:solidFill>
          </w14:textFill>
        </w:rPr>
        <w:t>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三、项目在环保申报过程中不得隐情不报，如有瞒报、谎报属违法行为，建设单位将承担由此产生的一切后果。本批复各项内容必须严格执行，建设单位如有违反，将依法追究法律责任。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四、项目</w:t>
      </w:r>
      <w:r>
        <w:rPr>
          <w:rFonts w:hint="eastAsia" w:ascii="仿宋" w:hAnsi="仿宋" w:eastAsia="仿宋" w:cs="仿宋"/>
          <w:bCs/>
          <w:color w:val="000000" w:themeColor="text1"/>
          <w:kern w:val="0"/>
          <w:sz w:val="32"/>
          <w:szCs w:val="32"/>
          <w:highlight w:val="none"/>
          <w14:textFill>
            <w14:solidFill>
              <w14:schemeClr w14:val="tx1"/>
            </w14:solidFill>
          </w14:textFill>
        </w:rPr>
        <w:t>应当在建成投运前依法申请并取得排污许可证或者进行排污许可登记，并按照</w:t>
      </w:r>
      <w:r>
        <w:rPr>
          <w:rFonts w:hint="eastAsia" w:ascii="仿宋" w:hAnsi="仿宋" w:eastAsia="仿宋" w:cs="仿宋"/>
          <w:color w:val="000000" w:themeColor="text1"/>
          <w:sz w:val="32"/>
          <w:szCs w:val="32"/>
          <w:highlight w:val="none"/>
          <w14:textFill>
            <w14:solidFill>
              <w14:schemeClr w14:val="tx1"/>
            </w14:solidFill>
          </w14:textFill>
        </w:rPr>
        <w:t>建设项目环境保护“三同时”规定，自主开展环境保护竣工验收。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五、永州市双牌生态环境保护综合行政执法局负责该项目环保“三同时”制度执行情况的监督检查和日常环境管理工作，督促落实好各项环保措施。你</w:t>
      </w:r>
      <w:r>
        <w:rPr>
          <w:rFonts w:hint="eastAsia" w:ascii="仿宋" w:hAnsi="仿宋" w:eastAsia="仿宋" w:cs="仿宋"/>
          <w:color w:val="000000" w:themeColor="text1"/>
          <w:sz w:val="32"/>
          <w:szCs w:val="32"/>
          <w:highlight w:val="none"/>
          <w:lang w:eastAsia="zh-CN"/>
          <w14:textFill>
            <w14:solidFill>
              <w14:schemeClr w14:val="tx1"/>
            </w14:solidFill>
          </w14:textFill>
        </w:rPr>
        <w:t>公司</w:t>
      </w:r>
      <w:r>
        <w:rPr>
          <w:rFonts w:hint="eastAsia" w:ascii="仿宋" w:hAnsi="仿宋" w:eastAsia="仿宋" w:cs="仿宋"/>
          <w:color w:val="000000" w:themeColor="text1"/>
          <w:sz w:val="32"/>
          <w:szCs w:val="32"/>
          <w:highlight w:val="none"/>
          <w14:textFill>
            <w14:solidFill>
              <w14:schemeClr w14:val="tx1"/>
            </w14:solidFill>
          </w14:textFill>
        </w:rPr>
        <w:t>应当按规定接受各级生态环境部门的监督检查。</w:t>
      </w:r>
    </w:p>
    <w:p>
      <w:pPr>
        <w:pStyle w:val="2"/>
        <w:widowControl w:val="0"/>
        <w:numPr>
          <w:ilvl w:val="0"/>
          <w:numId w:val="0"/>
        </w:numPr>
        <w:spacing w:after="120" w:line="360" w:lineRule="auto"/>
        <w:jc w:val="left"/>
        <w:rPr>
          <w:rFonts w:hint="eastAsia" w:ascii="仿宋" w:hAnsi="仿宋" w:eastAsia="仿宋" w:cs="仿宋"/>
          <w:color w:val="000000" w:themeColor="text1"/>
          <w:sz w:val="32"/>
          <w:szCs w:val="32"/>
          <w:highlight w:val="none"/>
          <w14:textFill>
            <w14:solidFill>
              <w14:schemeClr w14:val="tx1"/>
            </w14:solidFill>
          </w14:textFill>
        </w:rPr>
      </w:pPr>
    </w:p>
    <w:p>
      <w:pPr>
        <w:pStyle w:val="2"/>
        <w:widowControl w:val="0"/>
        <w:numPr>
          <w:ilvl w:val="0"/>
          <w:numId w:val="0"/>
        </w:numPr>
        <w:spacing w:after="120" w:line="360" w:lineRule="auto"/>
        <w:jc w:val="left"/>
        <w:rPr>
          <w:rFonts w:hint="eastAsia" w:ascii="仿宋" w:hAnsi="仿宋" w:eastAsia="仿宋" w:cs="仿宋"/>
          <w:color w:val="000000" w:themeColor="text1"/>
          <w:sz w:val="32"/>
          <w:szCs w:val="32"/>
          <w:highlight w:val="none"/>
          <w:lang w:val="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80" w:lineRule="exact"/>
        <w:ind w:firstLine="640" w:firstLineChars="200"/>
        <w:jc w:val="right"/>
        <w:textAlignment w:val="auto"/>
        <w:outlineLvl w:val="0"/>
        <w:rPr>
          <w:rFonts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永州市生态环境局</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color w:val="000000"/>
          <w:sz w:val="32"/>
          <w:szCs w:val="32"/>
          <w:highlight w:val="none"/>
          <w:lang w:val="zh-CN"/>
        </w:rPr>
        <w:t xml:space="preserve">                   </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zh-CN"/>
        </w:rPr>
        <w:t xml:space="preserve">   </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zh-CN"/>
        </w:rPr>
        <w:t xml:space="preserve">    </w:t>
      </w:r>
      <w:r>
        <w:rPr>
          <w:rFonts w:hint="eastAsia" w:ascii="仿宋" w:hAnsi="仿宋" w:eastAsia="仿宋" w:cs="仿宋"/>
          <w:color w:val="000000"/>
          <w:sz w:val="32"/>
          <w:szCs w:val="32"/>
          <w:highlight w:val="none"/>
        </w:rPr>
        <w:t xml:space="preserve">     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lang w:val="zh-CN"/>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lang w:val="zh-CN"/>
        </w:rPr>
        <w:t>月</w:t>
      </w: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lang w:val="zh-CN"/>
        </w:rPr>
        <w:t>日</w:t>
      </w:r>
    </w:p>
    <w:p>
      <w:pPr>
        <w:pStyle w:val="13"/>
        <w:keepNext w:val="0"/>
        <w:keepLines w:val="0"/>
        <w:pageBreakBefore w:val="0"/>
        <w:widowControl w:val="0"/>
        <w:kinsoku/>
        <w:wordWrap/>
        <w:overflowPunct/>
        <w:topLinePunct w:val="0"/>
        <w:bidi w:val="0"/>
        <w:spacing w:line="580" w:lineRule="exact"/>
        <w:ind w:firstLine="640" w:firstLineChars="200"/>
        <w:textAlignment w:val="auto"/>
        <w:rPr>
          <w:rFonts w:hint="eastAsia" w:ascii="仿宋" w:hAnsi="仿宋" w:eastAsia="仿宋" w:cs="仿宋"/>
          <w:sz w:val="32"/>
          <w:szCs w:val="32"/>
          <w:highlight w:val="none"/>
        </w:rPr>
      </w:pPr>
      <w:bookmarkStart w:id="0" w:name="_GoBack"/>
      <w:bookmarkEnd w:id="0"/>
    </w:p>
    <w:p>
      <w:pPr>
        <w:pStyle w:val="13"/>
        <w:keepNext w:val="0"/>
        <w:keepLines w:val="0"/>
        <w:pageBreakBefore w:val="0"/>
        <w:widowControl w:val="0"/>
        <w:kinsoku/>
        <w:wordWrap/>
        <w:overflowPunct/>
        <w:topLinePunct w:val="0"/>
        <w:bidi w:val="0"/>
        <w:spacing w:line="580" w:lineRule="exact"/>
        <w:ind w:firstLine="640" w:firstLineChars="200"/>
        <w:textAlignment w:val="auto"/>
        <w:rPr>
          <w:rFonts w:ascii="仿宋" w:hAnsi="仿宋" w:eastAsia="仿宋" w:cs="仿宋"/>
          <w:sz w:val="32"/>
          <w:szCs w:val="32"/>
          <w:highlight w:val="none"/>
          <w:lang w:val="zh-CN"/>
        </w:rPr>
      </w:pPr>
      <w:r>
        <w:rPr>
          <w:rFonts w:hint="eastAsia" w:ascii="仿宋" w:hAnsi="仿宋" w:eastAsia="仿宋" w:cs="仿宋"/>
          <w:sz w:val="32"/>
          <w:szCs w:val="32"/>
          <w:highlight w:val="none"/>
        </w:rPr>
        <w:t>抄送：</w:t>
      </w:r>
      <w:r>
        <w:rPr>
          <w:rFonts w:hint="eastAsia" w:ascii="仿宋" w:hAnsi="仿宋" w:eastAsia="仿宋" w:cs="仿宋"/>
          <w:kern w:val="2"/>
          <w:sz w:val="32"/>
          <w:szCs w:val="32"/>
          <w:highlight w:val="none"/>
        </w:rPr>
        <w:t>双牌产业开发区，</w:t>
      </w:r>
      <w:r>
        <w:rPr>
          <w:rFonts w:hint="eastAsia" w:ascii="仿宋" w:hAnsi="仿宋" w:eastAsia="仿宋" w:cs="仿宋"/>
          <w:sz w:val="32"/>
          <w:szCs w:val="32"/>
          <w:highlight w:val="none"/>
          <w:lang w:val="en-US" w:eastAsia="zh-CN"/>
        </w:rPr>
        <w:t>湖南绿清源环保科技有限公司</w:t>
      </w:r>
      <w:r>
        <w:rPr>
          <w:rFonts w:hint="eastAsia" w:ascii="仿宋" w:hAnsi="仿宋" w:eastAsia="仿宋" w:cs="仿宋"/>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5"/>
      <w:numFmt w:val="decimal"/>
      <w:pStyle w:val="2"/>
      <w:lvlText w:val="%1"/>
      <w:lvlJc w:val="left"/>
      <w:pPr>
        <w:tabs>
          <w:tab w:val="left" w:pos="360"/>
        </w:tabs>
        <w:ind w:left="428" w:hanging="360"/>
      </w:pPr>
      <w:rPr>
        <w:rFonts w:hint="default" w:cs="Times New Roman"/>
      </w:rPr>
    </w:lvl>
    <w:lvl w:ilvl="1" w:tentative="0">
      <w:start w:val="1"/>
      <w:numFmt w:val="lowerLetter"/>
      <w:lvlText w:val="%2)"/>
      <w:lvlJc w:val="left"/>
      <w:pPr>
        <w:tabs>
          <w:tab w:val="left" w:pos="840"/>
        </w:tabs>
        <w:ind w:left="908" w:hanging="420"/>
      </w:pPr>
      <w:rPr>
        <w:rFonts w:cs="Times New Roman"/>
      </w:rPr>
    </w:lvl>
    <w:lvl w:ilvl="2" w:tentative="0">
      <w:start w:val="1"/>
      <w:numFmt w:val="lowerRoman"/>
      <w:lvlText w:val="%3."/>
      <w:lvlJc w:val="right"/>
      <w:pPr>
        <w:tabs>
          <w:tab w:val="left" w:pos="1260"/>
        </w:tabs>
        <w:ind w:left="1328" w:hanging="420"/>
      </w:pPr>
      <w:rPr>
        <w:rFonts w:cs="Times New Roman"/>
      </w:rPr>
    </w:lvl>
    <w:lvl w:ilvl="3" w:tentative="0">
      <w:start w:val="1"/>
      <w:numFmt w:val="decimal"/>
      <w:lvlText w:val="%4."/>
      <w:lvlJc w:val="left"/>
      <w:pPr>
        <w:tabs>
          <w:tab w:val="left" w:pos="1680"/>
        </w:tabs>
        <w:ind w:left="1748" w:hanging="420"/>
      </w:pPr>
      <w:rPr>
        <w:rFonts w:cs="Times New Roman"/>
      </w:rPr>
    </w:lvl>
    <w:lvl w:ilvl="4" w:tentative="0">
      <w:start w:val="1"/>
      <w:numFmt w:val="lowerLetter"/>
      <w:lvlText w:val="%5)"/>
      <w:lvlJc w:val="left"/>
      <w:pPr>
        <w:tabs>
          <w:tab w:val="left" w:pos="2100"/>
        </w:tabs>
        <w:ind w:left="2168" w:hanging="420"/>
      </w:pPr>
      <w:rPr>
        <w:rFonts w:cs="Times New Roman"/>
      </w:rPr>
    </w:lvl>
    <w:lvl w:ilvl="5" w:tentative="0">
      <w:start w:val="1"/>
      <w:numFmt w:val="lowerRoman"/>
      <w:lvlText w:val="%6."/>
      <w:lvlJc w:val="right"/>
      <w:pPr>
        <w:tabs>
          <w:tab w:val="left" w:pos="2520"/>
        </w:tabs>
        <w:ind w:left="2588" w:hanging="420"/>
      </w:pPr>
      <w:rPr>
        <w:rFonts w:cs="Times New Roman"/>
      </w:rPr>
    </w:lvl>
    <w:lvl w:ilvl="6" w:tentative="0">
      <w:start w:val="1"/>
      <w:numFmt w:val="decimal"/>
      <w:lvlText w:val="%7."/>
      <w:lvlJc w:val="left"/>
      <w:pPr>
        <w:tabs>
          <w:tab w:val="left" w:pos="2940"/>
        </w:tabs>
        <w:ind w:left="3008" w:hanging="420"/>
      </w:pPr>
      <w:rPr>
        <w:rFonts w:cs="Times New Roman"/>
      </w:rPr>
    </w:lvl>
    <w:lvl w:ilvl="7" w:tentative="0">
      <w:start w:val="1"/>
      <w:numFmt w:val="lowerLetter"/>
      <w:lvlText w:val="%8)"/>
      <w:lvlJc w:val="left"/>
      <w:pPr>
        <w:tabs>
          <w:tab w:val="left" w:pos="3360"/>
        </w:tabs>
        <w:ind w:left="3428" w:hanging="420"/>
      </w:pPr>
      <w:rPr>
        <w:rFonts w:cs="Times New Roman"/>
      </w:rPr>
    </w:lvl>
    <w:lvl w:ilvl="8" w:tentative="0">
      <w:start w:val="1"/>
      <w:numFmt w:val="lowerRoman"/>
      <w:lvlText w:val="%9."/>
      <w:lvlJc w:val="right"/>
      <w:pPr>
        <w:tabs>
          <w:tab w:val="left" w:pos="3780"/>
        </w:tabs>
        <w:ind w:left="3848" w:hanging="420"/>
      </w:pPr>
      <w:rPr>
        <w:rFonts w:cs="Times New Roman"/>
      </w:rPr>
    </w:lvl>
  </w:abstractNum>
  <w:abstractNum w:abstractNumId="1">
    <w:nsid w:val="62EF303C"/>
    <w:multiLevelType w:val="singleLevel"/>
    <w:tmpl w:val="62EF303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DQzNDNhNWI2YTdjOWNiOTY2YmU4YzBmYjY3ZDAifQ=="/>
  </w:docVars>
  <w:rsids>
    <w:rsidRoot w:val="667A4D6C"/>
    <w:rsid w:val="01563243"/>
    <w:rsid w:val="03660650"/>
    <w:rsid w:val="054A2ADA"/>
    <w:rsid w:val="0868752A"/>
    <w:rsid w:val="0EA33B28"/>
    <w:rsid w:val="116E48C1"/>
    <w:rsid w:val="13CA017F"/>
    <w:rsid w:val="142369B6"/>
    <w:rsid w:val="18A72612"/>
    <w:rsid w:val="1A763240"/>
    <w:rsid w:val="1F1B7E58"/>
    <w:rsid w:val="23002281"/>
    <w:rsid w:val="240B6932"/>
    <w:rsid w:val="2ADB7878"/>
    <w:rsid w:val="2CC50A75"/>
    <w:rsid w:val="34885E1A"/>
    <w:rsid w:val="4628585D"/>
    <w:rsid w:val="4A804ACC"/>
    <w:rsid w:val="4E9E7BFB"/>
    <w:rsid w:val="4F1D6097"/>
    <w:rsid w:val="50164444"/>
    <w:rsid w:val="517558C7"/>
    <w:rsid w:val="543A0504"/>
    <w:rsid w:val="56840B69"/>
    <w:rsid w:val="5A8407A5"/>
    <w:rsid w:val="62172BC6"/>
    <w:rsid w:val="64055F8C"/>
    <w:rsid w:val="667A4D6C"/>
    <w:rsid w:val="66F61BBC"/>
    <w:rsid w:val="679C7030"/>
    <w:rsid w:val="68574864"/>
    <w:rsid w:val="701E6E74"/>
    <w:rsid w:val="75F96CF3"/>
    <w:rsid w:val="7FEC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numPr>
        <w:ilvl w:val="0"/>
        <w:numId w:val="1"/>
      </w:numPr>
      <w:spacing w:line="360" w:lineRule="auto"/>
      <w:ind w:left="0" w:firstLine="562" w:firstLineChars="200"/>
      <w:jc w:val="left"/>
    </w:pPr>
  </w:style>
  <w:style w:type="paragraph" w:customStyle="1" w:styleId="3">
    <w:name w:val="Body Text Indent1"/>
    <w:basedOn w:val="1"/>
    <w:qFormat/>
    <w:uiPriority w:val="99"/>
    <w:pPr>
      <w:spacing w:after="120"/>
      <w:ind w:left="420" w:leftChars="200"/>
    </w:pPr>
  </w:style>
  <w:style w:type="paragraph" w:styleId="5">
    <w:name w:val="Body Text"/>
    <w:basedOn w:val="1"/>
    <w:next w:val="6"/>
    <w:qFormat/>
    <w:uiPriority w:val="99"/>
    <w:pPr>
      <w:spacing w:after="120"/>
    </w:pPr>
    <w:rPr>
      <w:kern w:val="0"/>
      <w:sz w:val="20"/>
    </w:rPr>
  </w:style>
  <w:style w:type="paragraph" w:customStyle="1" w:styleId="6">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A正文1"/>
    <w:basedOn w:val="1"/>
    <w:qFormat/>
    <w:uiPriority w:val="0"/>
    <w:pPr>
      <w:spacing w:line="360" w:lineRule="auto"/>
      <w:ind w:firstLine="480" w:firstLineChars="200"/>
    </w:pPr>
    <w:rPr>
      <w:sz w:val="24"/>
      <w:szCs w:val="28"/>
    </w:rPr>
  </w:style>
  <w:style w:type="paragraph" w:customStyle="1" w:styleId="11">
    <w:name w:val="BG-正文"/>
    <w:basedOn w:val="1"/>
    <w:semiHidden/>
    <w:qFormat/>
    <w:uiPriority w:val="0"/>
    <w:pPr>
      <w:spacing w:line="360" w:lineRule="auto"/>
      <w:ind w:firstLine="200" w:firstLineChars="200"/>
    </w:pPr>
    <w:rPr>
      <w:color w:val="000000"/>
      <w:sz w:val="24"/>
    </w:rPr>
  </w:style>
  <w:style w:type="paragraph" w:customStyle="1" w:styleId="12">
    <w:name w:val="正文 首行缩进:  2 字符"/>
    <w:basedOn w:val="1"/>
    <w:qFormat/>
    <w:uiPriority w:val="0"/>
    <w:pPr>
      <w:ind w:firstLine="579" w:firstLineChars="200"/>
    </w:pPr>
    <w:rPr>
      <w:sz w:val="28"/>
      <w:szCs w:val="20"/>
    </w:rPr>
  </w:style>
  <w:style w:type="paragraph" w:customStyle="1" w:styleId="13">
    <w:name w:val="Default1"/>
    <w:qFormat/>
    <w:uiPriority w:val="0"/>
    <w:pPr>
      <w:widowControl w:val="0"/>
      <w:autoSpaceDE w:val="0"/>
      <w:autoSpaceDN w:val="0"/>
      <w:adjustRightInd w:val="0"/>
      <w:spacing w:line="360" w:lineRule="auto"/>
    </w:pPr>
    <w:rPr>
      <w:rFonts w:ascii="Times New Roman" w:hAnsi="Times New Roman" w:eastAsia="宋体" w:cs="宋体"/>
      <w:color w:val="000000"/>
      <w:sz w:val="24"/>
      <w:szCs w:val="24"/>
      <w:lang w:val="en-US" w:eastAsia="zh-CN" w:bidi="ar-SA"/>
    </w:rPr>
  </w:style>
  <w:style w:type="paragraph" w:customStyle="1" w:styleId="14">
    <w:name w:val="pa-3"/>
    <w:basedOn w:val="1"/>
    <w:qFormat/>
    <w:uiPriority w:val="0"/>
    <w:pPr>
      <w:widowControl/>
      <w:spacing w:line="360" w:lineRule="atLeast"/>
      <w:ind w:firstLine="64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1831</Words>
  <Characters>1911</Characters>
  <Lines>0</Lines>
  <Paragraphs>0</Paragraphs>
  <TotalTime>1</TotalTime>
  <ScaleCrop>false</ScaleCrop>
  <LinksUpToDate>false</LinksUpToDate>
  <CharactersWithSpaces>1944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2023-01-03T00:52:00Z</dcterms:created>
  <dc:creator>Administrator</dc:creator>
  <cp:lastModifiedBy>Administrator</cp:lastModifiedBy>
  <cp:lastPrinted>2023-01-03T02:48:00Z</cp:lastPrinted>
  <dcterms:modified xsi:type="dcterms:W3CDTF">2023-02-01T03:52:43Z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5236FA89FEE343ED904D2EFD870EA4CC</vt:lpwstr>
  </property>
</Properties>
</file>