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2"/>
        <w:rPr>
          <w:rFonts w:ascii="Times New Roman"/>
          <w:sz w:val="21"/>
        </w:rPr>
      </w:pPr>
    </w:p>
    <w:p>
      <w:pPr>
        <w:spacing w:line="1239" w:lineRule="exact"/>
        <w:ind w:left="635" w:right="654"/>
        <w:jc w:val="center"/>
        <w:outlineLvl w:val="0"/>
        <w:rPr>
          <w:rFonts w:hint="eastAsia" w:ascii="微软雅黑" w:eastAsia="微软雅黑"/>
          <w:sz w:val="72"/>
        </w:rPr>
      </w:pPr>
      <w:r>
        <w:rPr>
          <w:rFonts w:hint="eastAsia" w:ascii="微软雅黑" w:eastAsia="微软雅黑"/>
          <w:sz w:val="72"/>
        </w:rPr>
        <w:t>建设项目环境影响报告表</w:t>
      </w:r>
    </w:p>
    <w:p>
      <w:pPr>
        <w:spacing w:before="115"/>
        <w:ind w:left="635" w:right="653"/>
        <w:jc w:val="center"/>
        <w:rPr>
          <w:rFonts w:hint="eastAsia" w:ascii="微软雅黑" w:eastAsia="微软雅黑"/>
          <w:sz w:val="48"/>
        </w:rPr>
      </w:pPr>
      <w:r>
        <w:rPr>
          <w:rFonts w:hint="eastAsia" w:ascii="微软雅黑" w:eastAsia="微软雅黑"/>
          <w:sz w:val="48"/>
        </w:rPr>
        <w:t>（污染影响类）</w:t>
      </w:r>
    </w:p>
    <w:p>
      <w:pPr>
        <w:pStyle w:val="11"/>
        <w:rPr>
          <w:rFonts w:ascii="微软雅黑"/>
          <w:sz w:val="62"/>
        </w:rPr>
      </w:pPr>
    </w:p>
    <w:p>
      <w:pPr>
        <w:pStyle w:val="11"/>
        <w:rPr>
          <w:rFonts w:ascii="微软雅黑"/>
          <w:sz w:val="62"/>
        </w:rPr>
      </w:pPr>
    </w:p>
    <w:p>
      <w:pPr>
        <w:pStyle w:val="11"/>
        <w:spacing w:before="3"/>
        <w:rPr>
          <w:rFonts w:ascii="微软雅黑"/>
          <w:sz w:val="57"/>
        </w:rPr>
      </w:pPr>
    </w:p>
    <w:p>
      <w:pPr>
        <w:pStyle w:val="5"/>
        <w:tabs>
          <w:tab w:val="left" w:pos="7977"/>
        </w:tabs>
        <w:spacing w:line="269" w:lineRule="auto"/>
        <w:ind w:left="2882" w:leftChars="328" w:right="0" w:hanging="2160" w:hangingChars="600"/>
        <w:jc w:val="left"/>
        <w:rPr>
          <w:rFonts w:hint="eastAsia" w:ascii="Times New Roman" w:eastAsia="微软雅黑"/>
          <w:u w:val="single"/>
          <w:lang w:val="en-US" w:eastAsia="zh-CN"/>
        </w:rPr>
      </w:pPr>
      <w:r>
        <w:t>项目名称：</w:t>
      </w:r>
      <w:r>
        <w:rPr>
          <w:rFonts w:hint="eastAsia" w:ascii="Times New Roman" w:eastAsia="宋体"/>
          <w:u w:val="single"/>
          <w:lang w:val="en-US" w:eastAsia="zh-CN"/>
        </w:rPr>
        <w:t>湖南丰盛塑胶制品有限公司年产2000万件塑胶工艺品生产项目</w:t>
      </w:r>
    </w:p>
    <w:p>
      <w:pPr>
        <w:pStyle w:val="5"/>
        <w:tabs>
          <w:tab w:val="left" w:pos="7977"/>
        </w:tabs>
        <w:spacing w:line="269" w:lineRule="auto"/>
        <w:ind w:left="0" w:right="0" w:firstLine="720" w:firstLineChars="200"/>
        <w:jc w:val="left"/>
        <w:rPr>
          <w:rFonts w:hint="eastAsia" w:ascii="Times New Roman" w:eastAsia="宋体"/>
          <w:u w:val="single"/>
          <w:lang w:val="en-US" w:eastAsia="zh-CN"/>
        </w:rPr>
      </w:pPr>
      <w:r>
        <w:t>建设单位（盖章</w:t>
      </w:r>
      <w:r>
        <w:rPr>
          <w:spacing w:val="-180"/>
        </w:rPr>
        <w:t>）</w:t>
      </w:r>
      <w:r>
        <w:t>：</w:t>
      </w:r>
      <w:r>
        <w:rPr>
          <w:rFonts w:hint="eastAsia" w:ascii="Times New Roman" w:eastAsia="宋体"/>
          <w:u w:val="single"/>
          <w:lang w:val="en-US" w:eastAsia="zh-CN"/>
        </w:rPr>
        <w:t>湖南丰盛塑胶制品有限公司</w:t>
      </w:r>
    </w:p>
    <w:p>
      <w:pPr>
        <w:pStyle w:val="5"/>
        <w:tabs>
          <w:tab w:val="left" w:pos="7977"/>
        </w:tabs>
        <w:spacing w:line="269" w:lineRule="auto"/>
        <w:ind w:left="0" w:right="0" w:firstLine="720" w:firstLineChars="200"/>
        <w:jc w:val="left"/>
        <w:rPr>
          <w:rFonts w:ascii="Times New Roman" w:eastAsia="Times New Roman"/>
          <w:lang w:val="en-US"/>
        </w:rPr>
      </w:pPr>
      <w:r>
        <w:t>编制日期：</w:t>
      </w:r>
      <w:r>
        <w:rPr>
          <w:rFonts w:hint="eastAsia" w:ascii="Times New Roman" w:eastAsia="宋体"/>
          <w:u w:val="single"/>
          <w:lang w:val="en-US"/>
        </w:rPr>
        <w:t>二〇二</w:t>
      </w:r>
      <w:r>
        <w:rPr>
          <w:rFonts w:hint="eastAsia" w:ascii="Times New Roman" w:eastAsia="宋体"/>
          <w:u w:val="single"/>
          <w:lang w:val="en-US" w:eastAsia="zh-CN"/>
        </w:rPr>
        <w:t>二</w:t>
      </w:r>
      <w:r>
        <w:rPr>
          <w:rFonts w:hint="eastAsia" w:ascii="Times New Roman" w:eastAsia="宋体"/>
          <w:u w:val="single"/>
          <w:lang w:val="en-US"/>
        </w:rPr>
        <w:t>年</w:t>
      </w:r>
      <w:r>
        <w:rPr>
          <w:rFonts w:hint="eastAsia" w:ascii="Times New Roman" w:eastAsia="宋体"/>
          <w:u w:val="single"/>
          <w:lang w:val="en-US" w:eastAsia="zh-CN"/>
        </w:rPr>
        <w:t>十一</w:t>
      </w:r>
      <w:r>
        <w:rPr>
          <w:rFonts w:hint="eastAsia" w:ascii="Times New Roman" w:eastAsia="宋体"/>
          <w:u w:val="single"/>
          <w:lang w:val="en-US"/>
        </w:rPr>
        <w:t>月</w:t>
      </w:r>
    </w:p>
    <w:p>
      <w:pPr>
        <w:spacing w:before="183"/>
        <w:ind w:left="635" w:right="654"/>
        <w:jc w:val="center"/>
        <w:rPr>
          <w:rFonts w:hint="eastAsia" w:ascii="微软雅黑" w:eastAsia="微软雅黑"/>
          <w:sz w:val="36"/>
        </w:rPr>
      </w:pPr>
    </w:p>
    <w:p>
      <w:pPr>
        <w:spacing w:before="183"/>
        <w:ind w:left="635" w:right="654"/>
        <w:jc w:val="center"/>
        <w:rPr>
          <w:rFonts w:hint="eastAsia" w:ascii="微软雅黑" w:eastAsia="微软雅黑"/>
          <w:sz w:val="36"/>
        </w:rPr>
      </w:pPr>
    </w:p>
    <w:p>
      <w:pPr>
        <w:pStyle w:val="33"/>
        <w:rPr>
          <w:rFonts w:hint="eastAsia" w:ascii="微软雅黑" w:eastAsia="微软雅黑"/>
          <w:sz w:val="36"/>
        </w:rPr>
      </w:pPr>
    </w:p>
    <w:p>
      <w:pPr>
        <w:spacing w:before="183"/>
        <w:ind w:left="635" w:right="654"/>
        <w:jc w:val="center"/>
        <w:rPr>
          <w:rFonts w:ascii="微软雅黑" w:eastAsia="微软雅黑"/>
          <w:sz w:val="36"/>
        </w:rPr>
      </w:pPr>
      <w:r>
        <w:rPr>
          <w:rFonts w:hint="eastAsia" w:ascii="微软雅黑" w:eastAsia="微软雅黑"/>
          <w:sz w:val="36"/>
        </w:rPr>
        <w:t>中华人民共和国生态环境部制</w:t>
      </w:r>
    </w:p>
    <w:p>
      <w:r>
        <w:br w:type="page"/>
      </w:r>
    </w:p>
    <w:p>
      <w:pPr>
        <w:pStyle w:val="11"/>
        <w:spacing w:before="15"/>
        <w:rPr>
          <w:rFonts w:ascii="微软雅黑"/>
          <w:sz w:val="17"/>
        </w:rPr>
      </w:pPr>
    </w:p>
    <w:p>
      <w:pPr>
        <w:pStyle w:val="11"/>
        <w:spacing w:before="58"/>
        <w:ind w:left="635" w:right="653"/>
        <w:jc w:val="center"/>
        <w:outlineLvl w:val="0"/>
      </w:pPr>
      <w:r>
        <w:t>一、建设项目基本情况</w:t>
      </w:r>
    </w:p>
    <w:p>
      <w:pPr>
        <w:pStyle w:val="11"/>
        <w:spacing w:before="11" w:after="1"/>
        <w:rPr>
          <w:sz w:val="21"/>
        </w:rPr>
      </w:pPr>
    </w:p>
    <w:tbl>
      <w:tblPr>
        <w:tblStyle w:val="25"/>
        <w:tblW w:w="886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82"/>
        <w:gridCol w:w="2335"/>
        <w:gridCol w:w="2213"/>
        <w:gridCol w:w="26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682" w:type="dxa"/>
            <w:tcBorders>
              <w:bottom w:val="single" w:color="000000" w:sz="4" w:space="0"/>
              <w:right w:val="single" w:color="000000" w:sz="4" w:space="0"/>
            </w:tcBorders>
            <w:noWrap w:val="0"/>
            <w:vAlign w:val="top"/>
          </w:tcPr>
          <w:p>
            <w:pPr>
              <w:pStyle w:val="51"/>
              <w:spacing w:before="130"/>
              <w:ind w:left="327" w:right="210"/>
              <w:jc w:val="center"/>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建设项目名称</w:t>
            </w:r>
          </w:p>
        </w:tc>
        <w:tc>
          <w:tcPr>
            <w:tcW w:w="7186" w:type="dxa"/>
            <w:gridSpan w:val="3"/>
            <w:tcBorders>
              <w:left w:val="single" w:color="000000" w:sz="4" w:space="0"/>
              <w:bottom w:val="single" w:color="000000" w:sz="4" w:space="0"/>
            </w:tcBorders>
            <w:noWrap w:val="0"/>
            <w:vAlign w:val="center"/>
          </w:tcPr>
          <w:p>
            <w:pPr>
              <w:pStyle w:val="51"/>
              <w:spacing w:before="130"/>
              <w:ind w:left="124"/>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湖南丰盛塑胶制品有限公司年产2000万件塑胶工艺品生产项目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682" w:type="dxa"/>
            <w:tcBorders>
              <w:top w:val="single" w:color="000000" w:sz="4" w:space="0"/>
              <w:bottom w:val="single" w:color="000000" w:sz="4" w:space="0"/>
              <w:right w:val="single" w:color="000000" w:sz="4" w:space="0"/>
            </w:tcBorders>
            <w:noWrap w:val="0"/>
            <w:vAlign w:val="top"/>
          </w:tcPr>
          <w:p>
            <w:pPr>
              <w:pStyle w:val="51"/>
              <w:spacing w:before="130"/>
              <w:ind w:left="327" w:right="213"/>
              <w:jc w:val="center"/>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项目代码</w:t>
            </w:r>
          </w:p>
        </w:tc>
        <w:tc>
          <w:tcPr>
            <w:tcW w:w="7186" w:type="dxa"/>
            <w:gridSpan w:val="3"/>
            <w:tcBorders>
              <w:top w:val="single" w:color="000000" w:sz="4" w:space="0"/>
              <w:left w:val="single" w:color="000000" w:sz="4" w:space="0"/>
              <w:bottom w:val="single" w:color="000000" w:sz="4" w:space="0"/>
            </w:tcBorders>
            <w:noWrap w:val="0"/>
            <w:vAlign w:val="center"/>
          </w:tcPr>
          <w:p>
            <w:pPr>
              <w:pStyle w:val="51"/>
              <w:spacing w:before="130"/>
              <w:ind w:left="124"/>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line="270" w:lineRule="atLeast"/>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建设单位联系人</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pStyle w:val="51"/>
              <w:spacing w:line="270" w:lineRule="atLeast"/>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rPr>
              <w:t>吴树庆</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pStyle w:val="51"/>
              <w:spacing w:line="270" w:lineRule="atLeast"/>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联系方式</w:t>
            </w:r>
          </w:p>
        </w:tc>
        <w:tc>
          <w:tcPr>
            <w:tcW w:w="2638" w:type="dxa"/>
            <w:tcBorders>
              <w:top w:val="single" w:color="000000" w:sz="4" w:space="0"/>
              <w:left w:val="single" w:color="000000" w:sz="4" w:space="0"/>
              <w:bottom w:val="single" w:color="000000" w:sz="4" w:space="0"/>
            </w:tcBorders>
            <w:noWrap w:val="0"/>
            <w:vAlign w:val="center"/>
          </w:tcPr>
          <w:p>
            <w:pPr>
              <w:pStyle w:val="51"/>
              <w:spacing w:line="270" w:lineRule="atLeast"/>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rPr>
              <w:t>13809619917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before="130" w:line="240" w:lineRule="auto"/>
              <w:ind w:left="767"/>
              <w:jc w:val="center"/>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7186" w:type="dxa"/>
            <w:gridSpan w:val="3"/>
            <w:tcBorders>
              <w:top w:val="single" w:color="000000" w:sz="4" w:space="0"/>
              <w:left w:val="single" w:color="000000" w:sz="4" w:space="0"/>
              <w:bottom w:val="nil"/>
            </w:tcBorders>
            <w:noWrap w:val="0"/>
            <w:vAlign w:val="center"/>
          </w:tcPr>
          <w:p>
            <w:pPr>
              <w:pStyle w:val="51"/>
              <w:spacing w:line="240" w:lineRule="auto"/>
              <w:jc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双牌工业集中区创新创业园6栋（1-4层）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682" w:type="dxa"/>
            <w:tcBorders>
              <w:top w:val="single" w:color="000000" w:sz="4" w:space="0"/>
              <w:bottom w:val="single" w:color="000000" w:sz="4" w:space="0"/>
              <w:right w:val="single" w:color="000000" w:sz="4" w:space="0"/>
            </w:tcBorders>
            <w:noWrap w:val="0"/>
            <w:vAlign w:val="top"/>
          </w:tcPr>
          <w:p>
            <w:pPr>
              <w:pStyle w:val="51"/>
              <w:spacing w:before="130"/>
              <w:ind w:left="327" w:right="213"/>
              <w:jc w:val="center"/>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地理坐标</w:t>
            </w:r>
          </w:p>
        </w:tc>
        <w:tc>
          <w:tcPr>
            <w:tcW w:w="7186" w:type="dxa"/>
            <w:gridSpan w:val="3"/>
            <w:tcBorders>
              <w:top w:val="single" w:color="000000" w:sz="4" w:space="0"/>
              <w:left w:val="single" w:color="000000" w:sz="4" w:space="0"/>
              <w:bottom w:val="single" w:color="000000" w:sz="4" w:space="0"/>
            </w:tcBorders>
            <w:noWrap w:val="0"/>
            <w:vAlign w:val="center"/>
          </w:tcPr>
          <w:p>
            <w:pPr>
              <w:pStyle w:val="51"/>
              <w:jc w:val="center"/>
              <w:rPr>
                <w:rFonts w:hint="eastAsia" w:ascii="Times New Roman" w:hAnsi="Times New Roman" w:eastAsia="宋体" w:cs="Times New Roman"/>
                <w:sz w:val="24"/>
                <w:szCs w:val="24"/>
                <w:highlight w:val="none"/>
                <w:lang w:val="en-US" w:eastAsia="zh-CN" w:bidi="zh-CN"/>
              </w:rPr>
            </w:pPr>
            <w:r>
              <w:rPr>
                <w:rFonts w:hint="default" w:ascii="Times New Roman" w:hAnsi="Times New Roman" w:eastAsia="宋体" w:cs="Times New Roman"/>
                <w:sz w:val="24"/>
                <w:szCs w:val="24"/>
                <w:highlight w:val="none"/>
                <w:lang w:val="en-US" w:eastAsia="zh-CN" w:bidi="zh-CN"/>
              </w:rPr>
              <w:t>E</w:t>
            </w:r>
            <w:r>
              <w:rPr>
                <w:rFonts w:hint="eastAsia" w:ascii="Times New Roman" w:hAnsi="Times New Roman" w:eastAsia="宋体" w:cs="Times New Roman"/>
                <w:sz w:val="24"/>
                <w:szCs w:val="24"/>
                <w:highlight w:val="none"/>
                <w:lang w:val="en-US" w:eastAsia="zh-CN" w:bidi="zh-CN"/>
              </w:rPr>
              <w:t>111.6601</w:t>
            </w:r>
            <w:r>
              <w:rPr>
                <w:rFonts w:hint="default" w:ascii="Times New Roman" w:hAnsi="Times New Roman" w:eastAsia="宋体" w:cs="Times New Roman"/>
                <w:sz w:val="24"/>
                <w:szCs w:val="24"/>
                <w:highlight w:val="none"/>
                <w:lang w:val="en-US" w:eastAsia="zh-CN" w:bidi="zh-CN"/>
              </w:rPr>
              <w:t>，N</w:t>
            </w:r>
            <w:r>
              <w:rPr>
                <w:rFonts w:hint="eastAsia" w:ascii="Times New Roman" w:hAnsi="Times New Roman" w:eastAsia="宋体" w:cs="Times New Roman"/>
                <w:sz w:val="24"/>
                <w:szCs w:val="24"/>
                <w:highlight w:val="none"/>
                <w:lang w:val="en-US" w:eastAsia="zh-CN" w:bidi="zh-CN"/>
              </w:rPr>
              <w:t>26.0317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line="270" w:lineRule="atLeast"/>
              <w:jc w:val="center"/>
              <w:rPr>
                <w:rFonts w:hint="default" w:ascii="Times New Roman" w:hAnsi="Times New Roman" w:cs="Times New Roman"/>
                <w:sz w:val="24"/>
                <w:szCs w:val="24"/>
                <w:u w:val="single"/>
              </w:rPr>
            </w:pPr>
            <w:r>
              <w:rPr>
                <w:rFonts w:hint="default" w:ascii="Times New Roman" w:hAnsi="Times New Roman" w:cs="Times New Roman"/>
                <w:sz w:val="24"/>
                <w:szCs w:val="24"/>
                <w:u w:val="single"/>
              </w:rPr>
              <w:t>国民经济行业类别</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sz w:val="24"/>
                <w:szCs w:val="24"/>
              </w:rPr>
            </w:pPr>
            <w:r>
              <w:rPr>
                <w:rFonts w:hint="default" w:ascii="Times New Roman" w:hAnsi="Times New Roman" w:eastAsia="宋体" w:cs="Times New Roman"/>
                <w:sz w:val="24"/>
                <w:szCs w:val="24"/>
                <w:highlight w:val="none"/>
                <w:u w:val="single"/>
                <w:lang w:val="en-US" w:eastAsia="zh-CN" w:bidi="zh-CN"/>
              </w:rPr>
              <w:t>C2</w:t>
            </w:r>
            <w:r>
              <w:rPr>
                <w:rFonts w:hint="eastAsia" w:ascii="Times New Roman" w:hAnsi="Times New Roman" w:cs="Times New Roman"/>
                <w:sz w:val="24"/>
                <w:szCs w:val="24"/>
                <w:highlight w:val="none"/>
                <w:u w:val="single"/>
                <w:lang w:val="en-US" w:eastAsia="zh-CN" w:bidi="zh-CN"/>
              </w:rPr>
              <w:t>439</w:t>
            </w:r>
            <w:r>
              <w:rPr>
                <w:rFonts w:ascii="华文宋体" w:hAnsi="华文宋体" w:eastAsia="华文宋体" w:cs="华文宋体"/>
                <w:color w:val="000000"/>
                <w:kern w:val="0"/>
                <w:sz w:val="24"/>
                <w:szCs w:val="24"/>
                <w:lang w:val="en-US" w:eastAsia="zh-CN" w:bidi="ar"/>
              </w:rPr>
              <w:t>其他工艺美术及礼仪用品制造</w:t>
            </w:r>
          </w:p>
          <w:p>
            <w:pPr>
              <w:keepNext w:val="0"/>
              <w:keepLines w:val="0"/>
              <w:widowControl/>
              <w:suppressLineNumbers w:val="0"/>
              <w:jc w:val="left"/>
              <w:rPr>
                <w:rFonts w:hint="default" w:ascii="Times New Roman" w:hAnsi="Times New Roman" w:eastAsia="宋体" w:cs="Times New Roman"/>
                <w:sz w:val="24"/>
                <w:szCs w:val="24"/>
                <w:highlight w:val="none"/>
                <w:u w:val="single"/>
                <w:lang w:val="en-US" w:eastAsia="zh-CN" w:bidi="zh-CN"/>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pStyle w:val="51"/>
              <w:spacing w:before="24"/>
              <w:ind w:left="692" w:right="562"/>
              <w:jc w:val="center"/>
              <w:rPr>
                <w:rFonts w:hint="default" w:ascii="Times New Roman" w:hAnsi="Times New Roman" w:eastAsia="宋体" w:cs="Times New Roman"/>
                <w:sz w:val="24"/>
                <w:szCs w:val="24"/>
                <w:highlight w:val="none"/>
                <w:u w:val="single"/>
                <w:lang w:val="en-US" w:eastAsia="zh-CN" w:bidi="zh-CN"/>
              </w:rPr>
            </w:pPr>
            <w:r>
              <w:rPr>
                <w:rFonts w:hint="default" w:ascii="Times New Roman" w:hAnsi="Times New Roman" w:eastAsia="宋体" w:cs="Times New Roman"/>
                <w:sz w:val="24"/>
                <w:szCs w:val="24"/>
                <w:highlight w:val="none"/>
                <w:u w:val="single"/>
                <w:lang w:val="en-US" w:eastAsia="zh-CN" w:bidi="zh-CN"/>
              </w:rPr>
              <w:t>建设项目行业类别</w:t>
            </w:r>
          </w:p>
        </w:tc>
        <w:tc>
          <w:tcPr>
            <w:tcW w:w="2638"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sz w:val="24"/>
                <w:szCs w:val="24"/>
                <w:highlight w:val="none"/>
                <w:u w:val="single"/>
                <w:lang w:val="en-US" w:eastAsia="zh-CN" w:bidi="zh-CN"/>
              </w:rPr>
            </w:pPr>
            <w:r>
              <w:rPr>
                <w:rFonts w:hint="default" w:ascii="Times New Roman" w:hAnsi="Times New Roman" w:eastAsia="宋体" w:cs="Times New Roman"/>
                <w:kern w:val="0"/>
                <w:sz w:val="24"/>
                <w:szCs w:val="24"/>
                <w:lang w:val="en-US" w:eastAsia="zh-CN" w:bidi="zh-CN"/>
              </w:rPr>
              <w:t>二十一、文教、工美、体育和娱乐用品制造业</w:t>
            </w:r>
            <w:r>
              <w:rPr>
                <w:rFonts w:hint="eastAsia" w:ascii="Times New Roman" w:hAnsi="Times New Roman" w:eastAsia="宋体" w:cs="Times New Roman"/>
                <w:kern w:val="0"/>
                <w:sz w:val="24"/>
                <w:szCs w:val="24"/>
                <w:lang w:val="en-US" w:eastAsia="zh-CN" w:bidi="zh-CN"/>
              </w:rPr>
              <w:t>；41工艺美术及礼仪用品制造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jc w:val="center"/>
        </w:trPr>
        <w:tc>
          <w:tcPr>
            <w:tcW w:w="1682" w:type="dxa"/>
            <w:tcBorders>
              <w:top w:val="single" w:color="000000" w:sz="4" w:space="0"/>
              <w:bottom w:val="single" w:color="000000" w:sz="4" w:space="0"/>
              <w:right w:val="single" w:color="000000" w:sz="4" w:space="0"/>
            </w:tcBorders>
            <w:noWrap w:val="0"/>
            <w:vAlign w:val="top"/>
          </w:tcPr>
          <w:p>
            <w:pPr>
              <w:pStyle w:val="51"/>
              <w:rPr>
                <w:rFonts w:hint="default" w:ascii="Times New Roman" w:hAnsi="Times New Roman" w:cs="Times New Roman"/>
                <w:sz w:val="24"/>
                <w:szCs w:val="24"/>
              </w:rPr>
            </w:pPr>
          </w:p>
          <w:p>
            <w:pPr>
              <w:pStyle w:val="51"/>
              <w:spacing w:before="3"/>
              <w:rPr>
                <w:rFonts w:hint="default" w:ascii="Times New Roman" w:hAnsi="Times New Roman" w:cs="Times New Roman"/>
                <w:sz w:val="24"/>
                <w:szCs w:val="24"/>
              </w:rPr>
            </w:pPr>
          </w:p>
          <w:p>
            <w:pPr>
              <w:pStyle w:val="51"/>
              <w:ind w:left="327" w:right="213"/>
              <w:jc w:val="center"/>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建设性质</w:t>
            </w:r>
          </w:p>
        </w:tc>
        <w:tc>
          <w:tcPr>
            <w:tcW w:w="2335" w:type="dxa"/>
            <w:tcBorders>
              <w:top w:val="single" w:color="000000" w:sz="4" w:space="0"/>
              <w:left w:val="single" w:color="000000" w:sz="4" w:space="0"/>
              <w:bottom w:val="single" w:color="000000" w:sz="4" w:space="0"/>
              <w:right w:val="single" w:color="000000" w:sz="4" w:space="0"/>
            </w:tcBorders>
            <w:noWrap w:val="0"/>
            <w:vAlign w:val="top"/>
          </w:tcPr>
          <w:p>
            <w:pPr>
              <w:pStyle w:val="51"/>
              <w:spacing w:before="80"/>
              <w:ind w:left="9"/>
              <w:rPr>
                <w:rFonts w:hint="eastAsia" w:ascii="Times New Roman" w:hAnsi="Times New Roman" w:eastAsia="宋体" w:cs="Times New Roman"/>
                <w:sz w:val="24"/>
                <w:szCs w:val="24"/>
                <w:highlight w:val="none"/>
                <w:lang w:eastAsia="zh-CN"/>
              </w:rPr>
            </w:pPr>
            <w:r>
              <w:rPr>
                <w:rFonts w:hint="default" w:ascii="Times New Roman" w:hAnsi="Times New Roman" w:cs="Times New Roman"/>
                <w:spacing w:val="-1"/>
                <w:sz w:val="24"/>
                <w:szCs w:val="24"/>
                <w:highlight w:val="none"/>
              </w:rPr>
              <w:t>☑</w:t>
            </w:r>
            <w:r>
              <w:rPr>
                <w:rFonts w:hint="default" w:ascii="Times New Roman" w:hAnsi="Times New Roman" w:cs="Times New Roman"/>
                <w:sz w:val="24"/>
                <w:szCs w:val="24"/>
                <w:highlight w:val="none"/>
              </w:rPr>
              <w:t>新建（迁建）</w:t>
            </w:r>
          </w:p>
          <w:p>
            <w:pPr>
              <w:pStyle w:val="51"/>
              <w:spacing w:before="4"/>
              <w:ind w:left="9"/>
              <w:rPr>
                <w:rFonts w:hint="eastAsia" w:ascii="Times New Roman" w:hAnsi="Times New Roman" w:eastAsia="宋体" w:cs="Times New Roman"/>
                <w:sz w:val="24"/>
                <w:szCs w:val="24"/>
                <w:highlight w:val="none"/>
                <w:lang w:eastAsia="zh-CN"/>
              </w:rPr>
            </w:pPr>
            <w:r>
              <w:rPr>
                <w:rFonts w:hint="default" w:ascii="Times New Roman" w:hAnsi="Times New Roman" w:cs="Times New Roman"/>
                <w:spacing w:val="-1"/>
                <w:sz w:val="24"/>
                <w:szCs w:val="24"/>
                <w:highlight w:val="none"/>
              </w:rPr>
              <w:t>□改建</w:t>
            </w:r>
          </w:p>
          <w:p>
            <w:pPr>
              <w:pStyle w:val="51"/>
              <w:spacing w:before="3"/>
              <w:ind w:left="9"/>
              <w:rPr>
                <w:rFonts w:hint="eastAsia" w:ascii="Times New Roman" w:hAnsi="Times New Roman" w:eastAsia="宋体" w:cs="Times New Roman"/>
                <w:sz w:val="24"/>
                <w:szCs w:val="24"/>
                <w:highlight w:val="none"/>
                <w:lang w:eastAsia="zh-CN"/>
              </w:rPr>
            </w:pPr>
            <w:r>
              <w:rPr>
                <w:rFonts w:hint="default" w:ascii="Times New Roman" w:hAnsi="Times New Roman" w:cs="Times New Roman"/>
                <w:spacing w:val="-1"/>
                <w:sz w:val="24"/>
                <w:szCs w:val="24"/>
                <w:highlight w:val="none"/>
              </w:rPr>
              <w:t>□扩建</w:t>
            </w:r>
          </w:p>
          <w:p>
            <w:pPr>
              <w:pStyle w:val="51"/>
              <w:spacing w:before="4"/>
              <w:ind w:left="9"/>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□技术改造</w:t>
            </w:r>
          </w:p>
        </w:tc>
        <w:tc>
          <w:tcPr>
            <w:tcW w:w="2213" w:type="dxa"/>
            <w:tcBorders>
              <w:top w:val="single" w:color="000000" w:sz="4" w:space="0"/>
              <w:left w:val="single" w:color="000000" w:sz="4" w:space="0"/>
              <w:bottom w:val="single" w:color="000000" w:sz="4" w:space="0"/>
              <w:right w:val="single" w:color="000000" w:sz="4" w:space="0"/>
            </w:tcBorders>
            <w:noWrap w:val="0"/>
            <w:vAlign w:val="top"/>
          </w:tcPr>
          <w:p>
            <w:pPr>
              <w:pStyle w:val="51"/>
              <w:spacing w:before="7"/>
              <w:rPr>
                <w:rFonts w:hint="default" w:ascii="Times New Roman" w:hAnsi="Times New Roman" w:cs="Times New Roman"/>
                <w:sz w:val="24"/>
                <w:szCs w:val="24"/>
                <w:highlight w:val="none"/>
              </w:rPr>
            </w:pPr>
          </w:p>
          <w:p>
            <w:pPr>
              <w:pStyle w:val="51"/>
              <w:spacing w:before="1" w:line="242" w:lineRule="auto"/>
              <w:ind w:left="692" w:right="562"/>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建设项目申报情形</w:t>
            </w:r>
          </w:p>
        </w:tc>
        <w:tc>
          <w:tcPr>
            <w:tcW w:w="2638" w:type="dxa"/>
            <w:tcBorders>
              <w:top w:val="single" w:color="000000" w:sz="4" w:space="0"/>
              <w:left w:val="single" w:color="000000" w:sz="4" w:space="0"/>
              <w:bottom w:val="single" w:color="000000" w:sz="4" w:space="0"/>
            </w:tcBorders>
            <w:noWrap w:val="0"/>
            <w:vAlign w:val="top"/>
          </w:tcPr>
          <w:p>
            <w:pPr>
              <w:pStyle w:val="51"/>
              <w:tabs>
                <w:tab w:val="left" w:pos="200"/>
              </w:tabs>
              <w:spacing w:before="80"/>
              <w:ind w:left="9"/>
              <w:rPr>
                <w:rFonts w:hint="eastAsia" w:ascii="Times New Roman" w:hAnsi="Times New Roman" w:eastAsia="宋体" w:cs="Times New Roman"/>
                <w:sz w:val="24"/>
                <w:szCs w:val="24"/>
                <w:highlight w:val="none"/>
                <w:lang w:eastAsia="zh-CN"/>
              </w:rPr>
            </w:pPr>
            <w:r>
              <w:rPr>
                <w:rFonts w:hint="default" w:ascii="Times New Roman" w:hAnsi="Times New Roman" w:cs="Times New Roman"/>
                <w:spacing w:val="-3"/>
                <w:sz w:val="24"/>
                <w:szCs w:val="24"/>
                <w:highlight w:val="none"/>
              </w:rPr>
              <w:t>☑首次申报项目</w:t>
            </w:r>
          </w:p>
          <w:p>
            <w:pPr>
              <w:pStyle w:val="51"/>
              <w:spacing w:before="4"/>
              <w:ind w:left="10" w:right="-29"/>
              <w:rPr>
                <w:rFonts w:hint="eastAsia" w:ascii="Times New Roman" w:hAnsi="Times New Roman" w:eastAsia="宋体" w:cs="Times New Roman"/>
                <w:sz w:val="24"/>
                <w:szCs w:val="24"/>
                <w:highlight w:val="none"/>
                <w:lang w:eastAsia="zh-CN"/>
              </w:rPr>
            </w:pPr>
            <w:r>
              <w:rPr>
                <w:rFonts w:hint="default" w:ascii="Times New Roman" w:hAnsi="Times New Roman" w:cs="Times New Roman"/>
                <w:spacing w:val="-3"/>
                <w:sz w:val="24"/>
                <w:szCs w:val="24"/>
                <w:highlight w:val="none"/>
              </w:rPr>
              <w:t>□不予批准后再次申报项目</w:t>
            </w:r>
          </w:p>
          <w:p>
            <w:pPr>
              <w:pStyle w:val="51"/>
              <w:tabs>
                <w:tab w:val="left" w:pos="200"/>
              </w:tabs>
              <w:spacing w:before="3"/>
              <w:ind w:left="9"/>
              <w:rPr>
                <w:rFonts w:hint="eastAsia" w:ascii="Times New Roman" w:hAnsi="Times New Roman" w:eastAsia="宋体" w:cs="Times New Roman"/>
                <w:sz w:val="24"/>
                <w:szCs w:val="24"/>
                <w:highlight w:val="none"/>
                <w:lang w:eastAsia="zh-CN"/>
              </w:rPr>
            </w:pPr>
            <w:r>
              <w:rPr>
                <w:rFonts w:hint="default" w:ascii="Times New Roman" w:hAnsi="Times New Roman" w:cs="Times New Roman"/>
                <w:spacing w:val="-3"/>
                <w:sz w:val="24"/>
                <w:szCs w:val="24"/>
                <w:highlight w:val="none"/>
              </w:rPr>
              <w:t>□超五年重新审核项目</w:t>
            </w:r>
          </w:p>
          <w:p>
            <w:pPr>
              <w:pStyle w:val="51"/>
              <w:spacing w:before="4"/>
              <w:ind w:left="10"/>
              <w:rPr>
                <w:rFonts w:hint="eastAsia" w:ascii="Times New Roman" w:hAnsi="Times New Roman" w:eastAsia="宋体" w:cs="Times New Roman"/>
                <w:sz w:val="24"/>
                <w:szCs w:val="24"/>
                <w:highlight w:val="none"/>
                <w:lang w:eastAsia="zh-CN"/>
              </w:rPr>
            </w:pPr>
            <w:r>
              <w:rPr>
                <w:rFonts w:hint="default" w:ascii="Times New Roman" w:hAnsi="Times New Roman" w:cs="Times New Roman"/>
                <w:spacing w:val="-3"/>
                <w:sz w:val="24"/>
                <w:szCs w:val="24"/>
                <w:highlight w:val="none"/>
              </w:rPr>
              <w:t>□重大变动重新报批项目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before="171" w:line="242" w:lineRule="auto"/>
              <w:ind w:left="241" w:right="125" w:firstLine="158"/>
              <w:jc w:val="center"/>
              <w:rPr>
                <w:rFonts w:hint="default" w:ascii="Times New Roman" w:hAnsi="Times New Roman" w:cs="Times New Roman"/>
                <w:sz w:val="24"/>
                <w:szCs w:val="24"/>
              </w:rPr>
            </w:pPr>
            <w:r>
              <w:rPr>
                <w:rFonts w:hint="default" w:ascii="Times New Roman" w:hAnsi="Times New Roman" w:cs="Times New Roman"/>
                <w:spacing w:val="-1"/>
                <w:sz w:val="24"/>
                <w:szCs w:val="24"/>
              </w:rPr>
              <w:t>项目审批</w:t>
            </w:r>
            <w:r>
              <w:rPr>
                <w:rFonts w:hint="default" w:ascii="Times New Roman" w:hAnsi="Times New Roman" w:cs="Times New Roman"/>
                <w:spacing w:val="-3"/>
                <w:sz w:val="24"/>
                <w:szCs w:val="24"/>
              </w:rPr>
              <w:t>（</w:t>
            </w:r>
            <w:r>
              <w:rPr>
                <w:rFonts w:hint="default" w:ascii="Times New Roman" w:hAnsi="Times New Roman" w:cs="Times New Roman"/>
                <w:spacing w:val="-2"/>
                <w:sz w:val="24"/>
                <w:szCs w:val="24"/>
              </w:rPr>
              <w:t>核准</w:t>
            </w:r>
            <w:r>
              <w:rPr>
                <w:rFonts w:hint="default" w:ascii="Times New Roman" w:hAnsi="Times New Roman" w:cs="Times New Roman"/>
                <w:spacing w:val="-3"/>
                <w:sz w:val="24"/>
                <w:szCs w:val="24"/>
              </w:rPr>
              <w:t>/</w:t>
            </w:r>
            <w:r>
              <w:rPr>
                <w:rFonts w:hint="default" w:ascii="Times New Roman" w:hAnsi="Times New Roman" w:cs="Times New Roman"/>
                <w:sz w:val="24"/>
                <w:szCs w:val="24"/>
              </w:rPr>
              <w:t>备案</w:t>
            </w:r>
            <w:r>
              <w:rPr>
                <w:rFonts w:hint="default" w:ascii="Times New Roman" w:hAnsi="Times New Roman" w:cs="Times New Roman"/>
                <w:spacing w:val="-3"/>
                <w:sz w:val="24"/>
                <w:szCs w:val="24"/>
              </w:rPr>
              <w:t>）</w:t>
            </w:r>
            <w:r>
              <w:rPr>
                <w:rFonts w:hint="default" w:ascii="Times New Roman" w:hAnsi="Times New Roman" w:cs="Times New Roman"/>
                <w:spacing w:val="-2"/>
                <w:sz w:val="24"/>
                <w:szCs w:val="24"/>
              </w:rPr>
              <w:t>部门</w:t>
            </w:r>
            <w:r>
              <w:rPr>
                <w:rFonts w:hint="default" w:ascii="Times New Roman" w:hAnsi="Times New Roman" w:cs="Times New Roman"/>
                <w:sz w:val="24"/>
                <w:szCs w:val="24"/>
              </w:rPr>
              <w:t>（</w:t>
            </w:r>
            <w:r>
              <w:rPr>
                <w:rFonts w:hint="default" w:ascii="Times New Roman" w:hAnsi="Times New Roman" w:cs="Times New Roman"/>
                <w:spacing w:val="-2"/>
                <w:sz w:val="24"/>
                <w:szCs w:val="24"/>
              </w:rPr>
              <w:t>选填</w:t>
            </w:r>
            <w:r>
              <w:rPr>
                <w:rFonts w:hint="default" w:ascii="Times New Roman" w:hAnsi="Times New Roman" w:cs="Times New Roman"/>
                <w:spacing w:val="-3"/>
                <w:sz w:val="24"/>
                <w:szCs w:val="24"/>
              </w:rPr>
              <w:t>）</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pStyle w:val="51"/>
              <w:jc w:val="center"/>
              <w:rPr>
                <w:rFonts w:hint="default" w:ascii="Times New Roman" w:hAnsi="Times New Roman" w:cs="Times New Roman"/>
                <w:sz w:val="24"/>
                <w:szCs w:val="24"/>
                <w:highlight w:val="none"/>
              </w:rPr>
            </w:pPr>
          </w:p>
          <w:p>
            <w:pPr>
              <w:pStyle w:val="51"/>
              <w:ind w:left="126"/>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pStyle w:val="51"/>
              <w:spacing w:before="171" w:line="242" w:lineRule="auto"/>
              <w:ind w:left="166" w:right="37" w:firstLine="158"/>
              <w:jc w:val="center"/>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项目审批</w:t>
            </w:r>
            <w:r>
              <w:rPr>
                <w:rFonts w:hint="default" w:ascii="Times New Roman" w:hAnsi="Times New Roman" w:cs="Times New Roman"/>
                <w:spacing w:val="-3"/>
                <w:sz w:val="24"/>
                <w:szCs w:val="24"/>
                <w:highlight w:val="none"/>
              </w:rPr>
              <w:t>（</w:t>
            </w:r>
            <w:r>
              <w:rPr>
                <w:rFonts w:hint="default" w:ascii="Times New Roman" w:hAnsi="Times New Roman" w:cs="Times New Roman"/>
                <w:spacing w:val="-2"/>
                <w:sz w:val="24"/>
                <w:szCs w:val="24"/>
                <w:highlight w:val="none"/>
              </w:rPr>
              <w:t>核准</w:t>
            </w:r>
            <w:r>
              <w:rPr>
                <w:rFonts w:hint="default" w:ascii="Times New Roman" w:hAnsi="Times New Roman" w:cs="Times New Roman"/>
                <w:spacing w:val="-3"/>
                <w:sz w:val="24"/>
                <w:szCs w:val="24"/>
                <w:highlight w:val="none"/>
              </w:rPr>
              <w:t>/</w:t>
            </w:r>
            <w:r>
              <w:rPr>
                <w:rFonts w:hint="default" w:ascii="Times New Roman" w:hAnsi="Times New Roman" w:cs="Times New Roman"/>
                <w:sz w:val="24"/>
                <w:szCs w:val="24"/>
                <w:highlight w:val="none"/>
              </w:rPr>
              <w:t>备案</w:t>
            </w:r>
            <w:r>
              <w:rPr>
                <w:rFonts w:hint="default" w:ascii="Times New Roman" w:hAnsi="Times New Roman" w:cs="Times New Roman"/>
                <w:spacing w:val="-3"/>
                <w:sz w:val="24"/>
                <w:szCs w:val="24"/>
                <w:highlight w:val="none"/>
              </w:rPr>
              <w:t>）</w:t>
            </w:r>
            <w:r>
              <w:rPr>
                <w:rFonts w:hint="default" w:ascii="Times New Roman" w:hAnsi="Times New Roman" w:cs="Times New Roman"/>
                <w:spacing w:val="-2"/>
                <w:sz w:val="24"/>
                <w:szCs w:val="24"/>
                <w:highlight w:val="none"/>
              </w:rPr>
              <w:t>文号</w:t>
            </w:r>
            <w:r>
              <w:rPr>
                <w:rFonts w:hint="default" w:ascii="Times New Roman" w:hAnsi="Times New Roman" w:cs="Times New Roman"/>
                <w:sz w:val="24"/>
                <w:szCs w:val="24"/>
                <w:highlight w:val="none"/>
              </w:rPr>
              <w:t>（</w:t>
            </w:r>
            <w:r>
              <w:rPr>
                <w:rFonts w:hint="default" w:ascii="Times New Roman" w:hAnsi="Times New Roman" w:cs="Times New Roman"/>
                <w:spacing w:val="-2"/>
                <w:sz w:val="24"/>
                <w:szCs w:val="24"/>
                <w:highlight w:val="none"/>
              </w:rPr>
              <w:t>选填</w:t>
            </w:r>
            <w:r>
              <w:rPr>
                <w:rFonts w:hint="default" w:ascii="Times New Roman" w:hAnsi="Times New Roman" w:cs="Times New Roman"/>
                <w:spacing w:val="-3"/>
                <w:sz w:val="24"/>
                <w:szCs w:val="24"/>
                <w:highlight w:val="none"/>
              </w:rPr>
              <w:t>）</w:t>
            </w:r>
          </w:p>
        </w:tc>
        <w:tc>
          <w:tcPr>
            <w:tcW w:w="2638" w:type="dxa"/>
            <w:tcBorders>
              <w:top w:val="single" w:color="000000" w:sz="4" w:space="0"/>
              <w:left w:val="single" w:color="000000" w:sz="4" w:space="0"/>
              <w:bottom w:val="single" w:color="000000" w:sz="4" w:space="0"/>
            </w:tcBorders>
            <w:noWrap w:val="0"/>
            <w:vAlign w:val="center"/>
          </w:tcPr>
          <w:p>
            <w:pPr>
              <w:pStyle w:val="51"/>
              <w:jc w:val="center"/>
              <w:rPr>
                <w:rFonts w:hint="default" w:ascii="Times New Roman" w:hAnsi="Times New Roman" w:cs="Times New Roman"/>
                <w:sz w:val="24"/>
                <w:szCs w:val="24"/>
                <w:highlight w:val="none"/>
              </w:rPr>
            </w:pPr>
          </w:p>
          <w:p>
            <w:pPr>
              <w:pStyle w:val="51"/>
              <w:ind w:right="1193"/>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before="128"/>
              <w:ind w:left="327" w:right="210"/>
              <w:jc w:val="center"/>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总投资（万元）</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pStyle w:val="51"/>
              <w:spacing w:before="128"/>
              <w:ind w:left="126"/>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2000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pStyle w:val="51"/>
              <w:spacing w:before="128"/>
              <w:ind w:left="305" w:right="178"/>
              <w:jc w:val="center"/>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环保投资（万元）</w:t>
            </w:r>
          </w:p>
        </w:tc>
        <w:tc>
          <w:tcPr>
            <w:tcW w:w="2638" w:type="dxa"/>
            <w:tcBorders>
              <w:top w:val="single" w:color="000000" w:sz="4" w:space="0"/>
              <w:left w:val="single" w:color="000000" w:sz="4" w:space="0"/>
              <w:bottom w:val="single" w:color="000000" w:sz="4" w:space="0"/>
            </w:tcBorders>
            <w:noWrap w:val="0"/>
            <w:vAlign w:val="center"/>
          </w:tcPr>
          <w:p>
            <w:pPr>
              <w:pStyle w:val="51"/>
              <w:spacing w:before="128"/>
              <w:ind w:right="1193"/>
              <w:jc w:val="right"/>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3</w:t>
            </w:r>
            <w:r>
              <w:rPr>
                <w:rFonts w:hint="eastAsia" w:ascii="Times New Roman" w:hAnsi="Times New Roman" w:cs="Times New Roman"/>
                <w:sz w:val="24"/>
                <w:szCs w:val="24"/>
                <w:highlight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before="128"/>
              <w:ind w:left="327" w:right="213"/>
              <w:jc w:val="center"/>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环保投资占比（%）</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pStyle w:val="51"/>
              <w:spacing w:before="128"/>
              <w:ind w:left="126"/>
              <w:jc w:val="center"/>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1.8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pStyle w:val="51"/>
              <w:spacing w:before="128"/>
              <w:ind w:left="305" w:right="178"/>
              <w:jc w:val="center"/>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施工工期</w:t>
            </w:r>
          </w:p>
        </w:tc>
        <w:tc>
          <w:tcPr>
            <w:tcW w:w="2638" w:type="dxa"/>
            <w:tcBorders>
              <w:top w:val="single" w:color="000000" w:sz="4" w:space="0"/>
              <w:left w:val="single" w:color="000000" w:sz="4" w:space="0"/>
              <w:bottom w:val="single" w:color="000000" w:sz="4" w:space="0"/>
            </w:tcBorders>
            <w:noWrap w:val="0"/>
            <w:vAlign w:val="center"/>
          </w:tcPr>
          <w:p>
            <w:pPr>
              <w:pStyle w:val="51"/>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before="152"/>
              <w:ind w:left="327" w:right="210"/>
              <w:jc w:val="center"/>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是否开工建设</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pStyle w:val="51"/>
              <w:tabs>
                <w:tab w:val="left" w:pos="199"/>
              </w:tabs>
              <w:spacing w:before="15"/>
              <w:ind w:left="8"/>
              <w:rPr>
                <w:rFonts w:hint="default" w:ascii="Times New Roman" w:hAnsi="Times New Roman" w:cs="Times New Roman"/>
                <w:sz w:val="24"/>
                <w:szCs w:val="24"/>
                <w:highlight w:val="none"/>
              </w:rPr>
            </w:pPr>
            <w:r>
              <w:rPr>
                <w:rFonts w:hint="eastAsia" w:ascii="Times New Roman" w:hAnsi="Times New Roman" w:cs="Times New Roman"/>
                <w:spacing w:val="-3"/>
                <w:sz w:val="24"/>
                <w:szCs w:val="24"/>
                <w:highlight w:val="none"/>
                <w:lang w:eastAsia="zh-CN"/>
              </w:rPr>
              <w:t>☑</w:t>
            </w:r>
            <w:r>
              <w:rPr>
                <w:rFonts w:hint="default" w:ascii="Times New Roman" w:hAnsi="Times New Roman" w:cs="Times New Roman"/>
                <w:spacing w:val="-3"/>
                <w:sz w:val="24"/>
                <w:szCs w:val="24"/>
                <w:highlight w:val="none"/>
              </w:rPr>
              <w:t>否</w:t>
            </w:r>
            <w:r>
              <w:rPr>
                <w:rFonts w:hint="default" w:ascii="Times New Roman" w:hAnsi="Times New Roman" w:cs="Times New Roman"/>
                <w:sz w:val="24"/>
                <w:szCs w:val="24"/>
                <w:highlight w:val="none"/>
              </w:rPr>
              <w:t>：</w:t>
            </w:r>
          </w:p>
          <w:p>
            <w:pPr>
              <w:pStyle w:val="51"/>
              <w:tabs>
                <w:tab w:val="left" w:pos="199"/>
              </w:tabs>
              <w:spacing w:before="5" w:line="250" w:lineRule="exact"/>
              <w:ind w:left="8" w:right="-58"/>
              <w:rPr>
                <w:rFonts w:hint="eastAsia" w:ascii="Times New Roman" w:hAnsi="Times New Roman" w:eastAsia="宋体" w:cs="Times New Roman"/>
                <w:sz w:val="24"/>
                <w:szCs w:val="24"/>
                <w:highlight w:val="none"/>
                <w:lang w:eastAsia="zh-CN"/>
              </w:rPr>
            </w:pPr>
            <w:r>
              <w:rPr>
                <w:rFonts w:hint="eastAsia" w:ascii="Times New Roman" w:hAnsi="Times New Roman" w:cs="Times New Roman"/>
                <w:spacing w:val="-3"/>
                <w:sz w:val="24"/>
                <w:szCs w:val="24"/>
                <w:highlight w:val="none"/>
                <w:lang w:eastAsia="zh-CN"/>
              </w:rPr>
              <w:t>□</w:t>
            </w:r>
            <w:r>
              <w:rPr>
                <w:rFonts w:hint="default" w:ascii="Times New Roman" w:hAnsi="Times New Roman" w:cs="Times New Roman"/>
                <w:sz w:val="24"/>
                <w:szCs w:val="24"/>
                <w:highlight w:val="none"/>
              </w:rPr>
              <w:t>是：</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pStyle w:val="51"/>
              <w:spacing w:before="6" w:line="274" w:lineRule="exact"/>
              <w:ind w:left="641" w:right="390" w:hanging="125"/>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用地（用海）面积（m</w:t>
            </w:r>
            <w:r>
              <w:rPr>
                <w:rFonts w:hint="default" w:ascii="Times New Roman" w:hAnsi="Times New Roman" w:cs="Times New Roman"/>
                <w:sz w:val="24"/>
                <w:szCs w:val="24"/>
                <w:highlight w:val="none"/>
                <w:vertAlign w:val="superscript"/>
              </w:rPr>
              <w:t>2</w:t>
            </w:r>
            <w:r>
              <w:rPr>
                <w:rFonts w:hint="default" w:ascii="Times New Roman" w:hAnsi="Times New Roman" w:cs="Times New Roman"/>
                <w:sz w:val="24"/>
                <w:szCs w:val="24"/>
                <w:highlight w:val="none"/>
              </w:rPr>
              <w:t>）</w:t>
            </w:r>
          </w:p>
        </w:tc>
        <w:tc>
          <w:tcPr>
            <w:tcW w:w="2638" w:type="dxa"/>
            <w:tcBorders>
              <w:top w:val="single" w:color="000000" w:sz="4" w:space="0"/>
              <w:left w:val="single" w:color="000000" w:sz="4" w:space="0"/>
              <w:bottom w:val="single" w:color="000000" w:sz="4" w:space="0"/>
            </w:tcBorders>
            <w:noWrap w:val="0"/>
            <w:vAlign w:val="center"/>
          </w:tcPr>
          <w:p>
            <w:pPr>
              <w:pStyle w:val="51"/>
              <w:spacing w:before="152"/>
              <w:ind w:left="10"/>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2"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before="1"/>
              <w:ind w:left="327" w:right="208"/>
              <w:jc w:val="center"/>
              <w:rPr>
                <w:rFonts w:hint="default" w:ascii="Times New Roman" w:hAnsi="Times New Roman" w:cs="Times New Roman"/>
                <w:sz w:val="24"/>
                <w:szCs w:val="24"/>
              </w:rPr>
            </w:pPr>
            <w:r>
              <w:rPr>
                <w:rFonts w:hint="default" w:ascii="Times New Roman" w:hAnsi="Times New Roman" w:cs="Times New Roman"/>
                <w:sz w:val="24"/>
                <w:szCs w:val="24"/>
              </w:rPr>
              <w:t>专项评价设置情况</w:t>
            </w:r>
          </w:p>
        </w:tc>
        <w:tc>
          <w:tcPr>
            <w:tcW w:w="7186" w:type="dxa"/>
            <w:gridSpan w:val="3"/>
            <w:tcBorders>
              <w:top w:val="single" w:color="000000" w:sz="4" w:space="0"/>
              <w:left w:val="single" w:color="000000" w:sz="4" w:space="0"/>
              <w:bottom w:val="single" w:color="000000" w:sz="4" w:space="0"/>
            </w:tcBorders>
            <w:noWrap w:val="0"/>
            <w:vAlign w:val="center"/>
          </w:tcPr>
          <w:p>
            <w:pPr>
              <w:pStyle w:val="51"/>
              <w:spacing w:before="1"/>
              <w:jc w:val="center"/>
              <w:rPr>
                <w:rFonts w:hint="eastAsia" w:ascii="Times New Roman" w:hAnsi="Times New Roman" w:eastAsia="宋体" w:cs="Times New Roman"/>
                <w:sz w:val="24"/>
                <w:szCs w:val="24"/>
                <w:lang w:eastAsia="zh-CN"/>
              </w:rPr>
            </w:pPr>
            <w:r>
              <w:rPr>
                <w:rFonts w:hint="default" w:ascii="Times New Roman" w:hAnsi="Times New Roman" w:cs="Times New Roman"/>
                <w:sz w:val="24"/>
                <w:szCs w:val="24"/>
                <w:u w:val="single"/>
                <w:lang w:val="en-US"/>
              </w:rPr>
              <w:t>无</w:t>
            </w:r>
            <w:r>
              <w:rPr>
                <w:rFonts w:hint="eastAsia" w:ascii="Times New Roman" w:hAnsi="Times New Roman" w:cs="Times New Roman"/>
                <w:sz w:val="24"/>
                <w:szCs w:val="24"/>
                <w:u w:val="single"/>
                <w:lang w:val="en-US" w:eastAsia="zh-CN"/>
              </w:rPr>
              <w:t>（不项目不属于</w:t>
            </w:r>
            <w:r>
              <w:rPr>
                <w:rFonts w:ascii="宋体" w:hAnsi="宋体" w:eastAsia="宋体" w:cs="宋体"/>
                <w:sz w:val="24"/>
                <w:szCs w:val="24"/>
                <w:u w:val="single"/>
              </w:rPr>
              <w:t>排放废气含有毒有害污染物1、二噁英、苯并[a]芘、氰化物、氯气且厂界外500米范围内有环境空气保护目标2的建设项目</w:t>
            </w:r>
            <w:r>
              <w:rPr>
                <w:rFonts w:hint="eastAsia" w:ascii="Times New Roman" w:hAnsi="Times New Roman" w:cs="Times New Roman"/>
                <w:sz w:val="24"/>
                <w:szCs w:val="24"/>
                <w:u w:val="singl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before="1"/>
              <w:ind w:left="327" w:right="208"/>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t>规划情况</w:t>
            </w:r>
          </w:p>
        </w:tc>
        <w:tc>
          <w:tcPr>
            <w:tcW w:w="7186" w:type="dxa"/>
            <w:gridSpan w:val="3"/>
            <w:tcBorders>
              <w:top w:val="single" w:color="000000" w:sz="4" w:space="0"/>
              <w:left w:val="single" w:color="000000" w:sz="4" w:space="0"/>
              <w:bottom w:val="single" w:color="000000" w:sz="4" w:space="0"/>
            </w:tcBorders>
            <w:noWrap w:val="0"/>
            <w:vAlign w:val="center"/>
          </w:tcPr>
          <w:p>
            <w:pPr>
              <w:pStyle w:val="51"/>
              <w:spacing w:before="1"/>
              <w:jc w:val="center"/>
              <w:rPr>
                <w:rFonts w:hint="default" w:ascii="Times New Roman" w:hAnsi="Times New Roman" w:cs="Times New Roman"/>
                <w:sz w:val="24"/>
                <w:szCs w:val="24"/>
                <w:u w:val="single"/>
                <w:lang w:val="en-US"/>
              </w:rPr>
            </w:pPr>
            <w:r>
              <w:rPr>
                <w:rFonts w:hint="default" w:ascii="Times New Roman" w:hAnsi="Times New Roman" w:cs="Times New Roman"/>
                <w:sz w:val="24"/>
                <w:szCs w:val="24"/>
                <w:u w:val="single"/>
                <w:lang w:val="en-US"/>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line="243" w:lineRule="auto"/>
              <w:ind w:left="561" w:right="437"/>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t>规划环境影响评价情况</w:t>
            </w:r>
          </w:p>
        </w:tc>
        <w:tc>
          <w:tcPr>
            <w:tcW w:w="7186" w:type="dxa"/>
            <w:gridSpan w:val="3"/>
            <w:tcBorders>
              <w:top w:val="single" w:color="000000" w:sz="4" w:space="0"/>
              <w:left w:val="single" w:color="000000" w:sz="4" w:space="0"/>
              <w:bottom w:val="single" w:color="000000" w:sz="4" w:space="0"/>
            </w:tcBorders>
            <w:noWrap w:val="0"/>
            <w:vAlign w:val="center"/>
          </w:tcPr>
          <w:p>
            <w:pPr>
              <w:pStyle w:val="51"/>
              <w:spacing w:line="360" w:lineRule="auto"/>
              <w:jc w:val="center"/>
              <w:rPr>
                <w:rFonts w:hint="default" w:ascii="Times New Roman" w:hAnsi="Times New Roman" w:eastAsia="宋体" w:cs="Times New Roman"/>
                <w:sz w:val="24"/>
                <w:szCs w:val="24"/>
                <w:highlight w:val="none"/>
                <w:u w:val="none"/>
                <w:lang w:val="en-US" w:eastAsia="zh-CN" w:bidi="zh-CN"/>
              </w:rPr>
            </w:pPr>
            <w:r>
              <w:rPr>
                <w:rFonts w:hint="default" w:ascii="Times New Roman" w:hAnsi="Times New Roman" w:eastAsia="宋体" w:cs="Times New Roman"/>
                <w:sz w:val="24"/>
                <w:szCs w:val="24"/>
                <w:highlight w:val="none"/>
                <w:u w:val="none"/>
                <w:lang w:val="en-US" w:eastAsia="zh-CN" w:bidi="zh-CN"/>
              </w:rPr>
              <w:t>《关于湖南双牌工业集中区环境影响报告书的批复》</w:t>
            </w:r>
          </w:p>
          <w:p>
            <w:pPr>
              <w:pStyle w:val="51"/>
              <w:spacing w:line="360" w:lineRule="auto"/>
              <w:jc w:val="center"/>
              <w:rPr>
                <w:rFonts w:hint="default" w:ascii="Times New Roman" w:hAnsi="Times New Roman" w:cs="Times New Roman"/>
                <w:sz w:val="24"/>
                <w:szCs w:val="24"/>
                <w:u w:val="single"/>
                <w:lang w:val="en-US"/>
              </w:rPr>
            </w:pPr>
            <w:r>
              <w:rPr>
                <w:rFonts w:hint="default" w:ascii="Times New Roman" w:hAnsi="Times New Roman" w:eastAsia="宋体" w:cs="Times New Roman"/>
                <w:sz w:val="24"/>
                <w:szCs w:val="24"/>
                <w:highlight w:val="none"/>
                <w:u w:val="none"/>
                <w:lang w:val="en-US" w:eastAsia="zh-CN" w:bidi="zh-CN"/>
              </w:rPr>
              <w:t>（湘环评[2012]335号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before="1" w:line="245" w:lineRule="auto"/>
              <w:ind w:left="244" w:right="119"/>
              <w:jc w:val="center"/>
              <w:rPr>
                <w:rFonts w:hint="default" w:ascii="Times New Roman" w:hAnsi="Times New Roman" w:cs="Times New Roman"/>
                <w:color w:val="FF0000"/>
                <w:sz w:val="24"/>
                <w:szCs w:val="24"/>
                <w:u w:val="none"/>
              </w:rPr>
            </w:pPr>
            <w:r>
              <w:rPr>
                <w:rFonts w:hint="default" w:ascii="Times New Roman" w:hAnsi="Times New Roman" w:cs="Times New Roman"/>
                <w:spacing w:val="-3"/>
                <w:sz w:val="24"/>
                <w:szCs w:val="24"/>
                <w:u w:val="none"/>
              </w:rPr>
              <w:t>规划及规划环境影响评价符合性分析</w:t>
            </w:r>
          </w:p>
        </w:tc>
        <w:tc>
          <w:tcPr>
            <w:tcW w:w="7186" w:type="dxa"/>
            <w:gridSpan w:val="3"/>
            <w:tcBorders>
              <w:top w:val="single" w:color="000000" w:sz="4" w:space="0"/>
              <w:left w:val="single" w:color="000000" w:sz="4" w:space="0"/>
              <w:bottom w:val="single" w:color="000000" w:sz="4" w:space="0"/>
            </w:tcBorders>
            <w:noWrap w:val="0"/>
            <w:vAlign w:val="center"/>
          </w:tcPr>
          <w:p>
            <w:pPr>
              <w:adjustRightInd w:val="0"/>
              <w:snapToGrid w:val="0"/>
              <w:spacing w:line="360" w:lineRule="auto"/>
              <w:ind w:firstLine="480" w:firstLineChars="200"/>
              <w:rPr>
                <w:rFonts w:hint="default" w:ascii="Times New Roman" w:hAnsi="Times New Roman" w:eastAsia="宋体" w:cs="Times New Roman"/>
                <w:sz w:val="24"/>
                <w:szCs w:val="24"/>
                <w:highlight w:val="none"/>
                <w:u w:val="single"/>
                <w:lang w:val="en-US" w:eastAsia="zh-CN" w:bidi="zh-CN"/>
              </w:rPr>
            </w:pPr>
            <w:r>
              <w:rPr>
                <w:rFonts w:hint="default" w:ascii="Times New Roman" w:hAnsi="Times New Roman" w:eastAsia="宋体" w:cs="Times New Roman"/>
                <w:sz w:val="24"/>
                <w:szCs w:val="24"/>
                <w:highlight w:val="none"/>
                <w:u w:val="single"/>
                <w:lang w:val="en-US" w:eastAsia="zh-CN" w:bidi="zh-CN"/>
              </w:rPr>
              <w:t>根据已批复的《双牌工业集中区环境影响报告书批复》（湘环评）（2012）335号：</w:t>
            </w:r>
          </w:p>
          <w:p>
            <w:pPr>
              <w:pStyle w:val="33"/>
              <w:spacing w:line="360" w:lineRule="auto"/>
              <w:ind w:firstLine="480" w:firstLineChars="20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sz w:val="24"/>
                <w:szCs w:val="24"/>
                <w:highlight w:val="none"/>
                <w:u w:val="single"/>
                <w:lang w:val="en-US" w:eastAsia="zh-CN" w:bidi="zh-CN"/>
              </w:rPr>
              <w:t>双牌工业园成立于2007年，2009年8月集中区总规和控</w:t>
            </w:r>
            <w:r>
              <w:rPr>
                <w:rFonts w:hint="default" w:ascii="Times New Roman" w:hAnsi="Times New Roman" w:eastAsia="宋体" w:cs="Times New Roman"/>
                <w:color w:val="auto"/>
                <w:sz w:val="24"/>
                <w:szCs w:val="24"/>
                <w:u w:val="single"/>
              </w:rPr>
              <w:t>制性详规通过省、市、县规划评审，集中区规划总面积为3.51平方公里，2009年9月集中区正式开工建设，2012年，开始向省人民政府申报省级工业集中区，2012年11月12日获得省环保厅《关于湖南双牌工业集中区环境影响报告书的批复》（湘环评〔2012〕335号）和省发改委《关于双牌工业集中区发展规划（2011—2020）的批复》（湘发改地区[2012]2034号），2014年7月省政府行文，将双牌工业集中区正式列入《湖南省省级及以上产业集中区名录》（湘政办函〔2014〕66号），集中区名称由双牌工业园更名为双牌工业集中区。</w:t>
            </w:r>
          </w:p>
          <w:p>
            <w:pPr>
              <w:pStyle w:val="33"/>
              <w:spacing w:line="360" w:lineRule="auto"/>
              <w:ind w:firstLine="480" w:firstLineChars="20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u w:val="single"/>
              </w:rPr>
              <w:t>双牌工业集中区位于位于双牌县城（泷泊镇）已建城区北部约3km处，城北新区洛湛铁路规划以东，潇水以西区域、青年路以南、工业大道以北的区域，规划用地总面积3.51km</w:t>
            </w:r>
            <w:r>
              <w:rPr>
                <w:rFonts w:hint="default" w:ascii="Times New Roman" w:hAnsi="Times New Roman" w:eastAsia="宋体" w:cs="Times New Roman"/>
                <w:color w:val="auto"/>
                <w:sz w:val="24"/>
                <w:szCs w:val="24"/>
                <w:u w:val="single"/>
                <w:vertAlign w:val="superscript"/>
              </w:rPr>
              <w:t>2</w:t>
            </w:r>
            <w:r>
              <w:rPr>
                <w:rFonts w:hint="default" w:ascii="Times New Roman" w:hAnsi="Times New Roman" w:eastAsia="宋体" w:cs="Times New Roman"/>
                <w:color w:val="auto"/>
                <w:sz w:val="24"/>
                <w:szCs w:val="24"/>
                <w:u w:val="single"/>
              </w:rPr>
              <w:t>。</w:t>
            </w:r>
          </w:p>
          <w:p>
            <w:pPr>
              <w:pStyle w:val="33"/>
              <w:spacing w:line="360" w:lineRule="auto"/>
              <w:ind w:firstLine="480" w:firstLineChars="20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u w:val="single"/>
              </w:rPr>
              <w:t>双牌县工业的先导开发区，沿海产业转移的承载基地。双牌工业集中区以农林产品加工、生物医药、食品加工业三大支柱产业为主，以电子信息产业为辅助产业，并配套建设科研创新中心的工业基地，是以招商引资、促进产业聚群发展、增加本县财政收入、扩大就业容量为目标的新型工业区。</w:t>
            </w:r>
          </w:p>
          <w:p>
            <w:pPr>
              <w:pStyle w:val="33"/>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cs="Times New Roman"/>
                <w:sz w:val="24"/>
                <w:szCs w:val="24"/>
                <w:u w:val="single"/>
              </w:rPr>
              <w:t>本项目</w:t>
            </w:r>
            <w:r>
              <w:rPr>
                <w:rFonts w:hint="default" w:ascii="Times New Roman" w:hAnsi="Times New Roman" w:cs="Times New Roman"/>
                <w:sz w:val="24"/>
                <w:szCs w:val="24"/>
                <w:u w:val="single"/>
                <w:lang w:val="en-US" w:eastAsia="zh-CN"/>
              </w:rPr>
              <w:t>为塑料工艺品生产项目</w:t>
            </w:r>
            <w:r>
              <w:rPr>
                <w:rFonts w:hint="default" w:ascii="Times New Roman" w:hAnsi="Times New Roman" w:cs="Times New Roman"/>
                <w:sz w:val="24"/>
                <w:szCs w:val="24"/>
                <w:u w:val="single"/>
              </w:rPr>
              <w:t>与</w:t>
            </w:r>
            <w:r>
              <w:rPr>
                <w:rFonts w:hint="default" w:ascii="Times New Roman" w:hAnsi="Times New Roman" w:cs="Times New Roman"/>
                <w:sz w:val="24"/>
                <w:szCs w:val="24"/>
                <w:u w:val="single"/>
                <w:lang w:eastAsia="zh-CN"/>
              </w:rPr>
              <w:t>双牌工业园</w:t>
            </w:r>
            <w:r>
              <w:rPr>
                <w:rFonts w:hint="default" w:ascii="Times New Roman" w:hAnsi="Times New Roman" w:cs="Times New Roman"/>
                <w:sz w:val="24"/>
                <w:szCs w:val="24"/>
                <w:u w:val="single"/>
              </w:rPr>
              <w:t>的规划是相符的。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jc w:val="center"/>
        </w:trPr>
        <w:tc>
          <w:tcPr>
            <w:tcW w:w="1682" w:type="dxa"/>
            <w:tcBorders>
              <w:top w:val="single" w:color="000000" w:sz="4" w:space="0"/>
              <w:bottom w:val="single" w:color="000000" w:sz="4" w:space="0"/>
              <w:right w:val="single" w:color="000000" w:sz="4" w:space="0"/>
            </w:tcBorders>
            <w:noWrap w:val="0"/>
            <w:vAlign w:val="center"/>
          </w:tcPr>
          <w:p>
            <w:pPr>
              <w:pStyle w:val="51"/>
              <w:spacing w:before="1" w:line="245" w:lineRule="auto"/>
              <w:ind w:left="244" w:right="119"/>
              <w:jc w:val="center"/>
              <w:rPr>
                <w:rFonts w:hint="default" w:ascii="Times New Roman" w:hAnsi="Times New Roman" w:cs="Times New Roman"/>
                <w:color w:val="FF0000"/>
                <w:spacing w:val="-3"/>
                <w:sz w:val="24"/>
                <w:szCs w:val="24"/>
              </w:rPr>
            </w:pPr>
            <w:r>
              <w:rPr>
                <w:rFonts w:hint="default" w:ascii="Times New Roman" w:hAnsi="Times New Roman" w:cs="Times New Roman"/>
                <w:sz w:val="24"/>
                <w:szCs w:val="24"/>
              </w:rPr>
              <w:t>其他符合性分析</w:t>
            </w:r>
          </w:p>
        </w:tc>
        <w:tc>
          <w:tcPr>
            <w:tcW w:w="7186" w:type="dxa"/>
            <w:gridSpan w:val="3"/>
            <w:tcBorders>
              <w:top w:val="single" w:color="000000" w:sz="4" w:space="0"/>
              <w:left w:val="single" w:color="000000" w:sz="4" w:space="0"/>
              <w:bottom w:val="single" w:color="000000" w:sz="4" w:space="0"/>
            </w:tcBorders>
            <w:noWrap w:val="0"/>
            <w:vAlign w:val="top"/>
          </w:tcPr>
          <w:p>
            <w:pPr>
              <w:pStyle w:val="23"/>
              <w:spacing w:beforeLines="0" w:line="360" w:lineRule="auto"/>
              <w:ind w:left="44" w:leftChars="20" w:right="44" w:rightChars="20" w:firstLine="482" w:firstLineChars="0"/>
              <w:jc w:val="both"/>
              <w:rPr>
                <w:rFonts w:hint="default" w:ascii="Times New Roman" w:hAnsi="Times New Roman" w:eastAsia="宋体" w:cs="Times New Roman"/>
                <w:b/>
                <w:bCs/>
                <w:sz w:val="24"/>
                <w:szCs w:val="24"/>
                <w:u w:val="single"/>
              </w:rPr>
            </w:pPr>
            <w:r>
              <w:rPr>
                <w:rFonts w:hint="default" w:ascii="Times New Roman" w:hAnsi="Times New Roman" w:eastAsia="宋体" w:cs="Times New Roman"/>
                <w:b/>
                <w:bCs/>
                <w:sz w:val="24"/>
                <w:szCs w:val="24"/>
                <w:u w:val="single"/>
                <w:lang w:val="en-US"/>
              </w:rPr>
              <w:t>一、</w:t>
            </w:r>
            <w:r>
              <w:rPr>
                <w:rFonts w:hint="default" w:ascii="Times New Roman" w:hAnsi="Times New Roman" w:eastAsia="宋体" w:cs="Times New Roman"/>
                <w:b/>
                <w:bCs/>
                <w:sz w:val="24"/>
                <w:szCs w:val="24"/>
                <w:u w:val="single"/>
              </w:rPr>
              <w:t>“三线一单”符合性分析</w:t>
            </w:r>
          </w:p>
          <w:p>
            <w:pPr>
              <w:pStyle w:val="33"/>
              <w:spacing w:line="360" w:lineRule="auto"/>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（1）与生态红线相符性</w:t>
            </w:r>
          </w:p>
          <w:p>
            <w:pPr>
              <w:pStyle w:val="33"/>
              <w:spacing w:line="360" w:lineRule="auto"/>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根据《关于</w:t>
            </w:r>
            <w:r>
              <w:rPr>
                <w:rFonts w:hint="default" w:ascii="Times New Roman" w:hAnsi="Times New Roman" w:cs="Times New Roman"/>
                <w:color w:val="auto"/>
                <w:sz w:val="24"/>
                <w:szCs w:val="24"/>
                <w:u w:val="single"/>
                <w:lang w:val="en-US" w:eastAsia="zh-CN"/>
              </w:rPr>
              <w:t>湖南</w:t>
            </w:r>
            <w:r>
              <w:rPr>
                <w:rFonts w:hint="default" w:ascii="Times New Roman" w:hAnsi="Times New Roman" w:cs="Times New Roman"/>
                <w:color w:val="auto"/>
                <w:sz w:val="24"/>
                <w:szCs w:val="24"/>
                <w:u w:val="single"/>
                <w:lang w:eastAsia="zh-CN"/>
              </w:rPr>
              <w:t>双牌工业集中区</w:t>
            </w:r>
            <w:r>
              <w:rPr>
                <w:rFonts w:hint="default" w:ascii="Times New Roman" w:hAnsi="Times New Roman" w:cs="Times New Roman"/>
                <w:color w:val="auto"/>
                <w:sz w:val="24"/>
                <w:szCs w:val="24"/>
                <w:u w:val="single"/>
              </w:rPr>
              <w:t>环境影响报告书的批复》（湘环评</w:t>
            </w:r>
            <w:r>
              <w:rPr>
                <w:rFonts w:hint="default" w:ascii="Times New Roman" w:hAnsi="Times New Roman" w:cs="Times New Roman"/>
                <w:color w:val="auto"/>
                <w:sz w:val="24"/>
                <w:szCs w:val="24"/>
                <w:u w:val="single"/>
                <w:lang w:eastAsia="zh-CN"/>
              </w:rPr>
              <w:t>[2012]335号</w:t>
            </w:r>
            <w:r>
              <w:rPr>
                <w:rFonts w:hint="default" w:ascii="Times New Roman" w:hAnsi="Times New Roman" w:cs="Times New Roman"/>
                <w:color w:val="auto"/>
                <w:sz w:val="24"/>
                <w:szCs w:val="24"/>
                <w:u w:val="single"/>
              </w:rPr>
              <w:t>文件，</w:t>
            </w:r>
            <w:r>
              <w:rPr>
                <w:rFonts w:hint="default" w:ascii="Times New Roman" w:hAnsi="Times New Roman" w:cs="Times New Roman"/>
                <w:color w:val="auto"/>
                <w:sz w:val="24"/>
                <w:szCs w:val="24"/>
                <w:u w:val="single"/>
                <w:lang w:eastAsia="zh-CN"/>
              </w:rPr>
              <w:t>双牌</w:t>
            </w:r>
            <w:r>
              <w:rPr>
                <w:rFonts w:hint="default" w:ascii="Times New Roman" w:hAnsi="Times New Roman" w:cs="Times New Roman"/>
                <w:color w:val="auto"/>
                <w:sz w:val="24"/>
                <w:szCs w:val="24"/>
                <w:u w:val="single"/>
                <w:lang w:val="en-US" w:eastAsia="zh-CN"/>
              </w:rPr>
              <w:t>工业集中区</w:t>
            </w:r>
            <w:r>
              <w:rPr>
                <w:rFonts w:hint="default" w:ascii="Times New Roman" w:hAnsi="Times New Roman" w:cs="Times New Roman"/>
                <w:color w:val="auto"/>
                <w:sz w:val="24"/>
                <w:szCs w:val="24"/>
                <w:u w:val="single"/>
              </w:rPr>
              <w:t>建设符合国家产业政策和</w:t>
            </w:r>
            <w:r>
              <w:rPr>
                <w:rFonts w:hint="default" w:ascii="Times New Roman" w:hAnsi="Times New Roman" w:cs="Times New Roman"/>
                <w:color w:val="auto"/>
                <w:sz w:val="24"/>
                <w:szCs w:val="24"/>
                <w:u w:val="single"/>
                <w:lang w:eastAsia="zh-CN"/>
              </w:rPr>
              <w:t>双牌</w:t>
            </w:r>
            <w:r>
              <w:rPr>
                <w:rFonts w:hint="default" w:ascii="Times New Roman" w:hAnsi="Times New Roman" w:cs="Times New Roman"/>
                <w:color w:val="auto"/>
                <w:sz w:val="24"/>
                <w:szCs w:val="24"/>
                <w:u w:val="single"/>
              </w:rPr>
              <w:t>县土地利用总体规划发展要求，本项目在</w:t>
            </w:r>
            <w:r>
              <w:rPr>
                <w:rFonts w:hint="default" w:ascii="Times New Roman" w:hAnsi="Times New Roman" w:cs="Times New Roman"/>
                <w:color w:val="auto"/>
                <w:sz w:val="24"/>
                <w:szCs w:val="24"/>
                <w:u w:val="single"/>
                <w:lang w:eastAsia="zh-CN"/>
              </w:rPr>
              <w:t>双牌</w:t>
            </w:r>
            <w:r>
              <w:rPr>
                <w:rFonts w:hint="default" w:ascii="Times New Roman" w:hAnsi="Times New Roman" w:cs="Times New Roman"/>
                <w:color w:val="auto"/>
                <w:sz w:val="24"/>
                <w:szCs w:val="24"/>
                <w:u w:val="single"/>
              </w:rPr>
              <w:t>工业园扩园区域内，且根据湖南省生态保护红线和</w:t>
            </w:r>
            <w:r>
              <w:rPr>
                <w:rFonts w:hint="default" w:ascii="Times New Roman" w:hAnsi="Times New Roman" w:cs="Times New Roman"/>
                <w:color w:val="auto"/>
                <w:sz w:val="24"/>
                <w:szCs w:val="24"/>
                <w:u w:val="single"/>
                <w:lang w:eastAsia="zh-CN"/>
              </w:rPr>
              <w:t>永州</w:t>
            </w:r>
            <w:r>
              <w:rPr>
                <w:rFonts w:hint="default" w:ascii="Times New Roman" w:hAnsi="Times New Roman" w:cs="Times New Roman"/>
                <w:color w:val="auto"/>
                <w:sz w:val="24"/>
                <w:szCs w:val="24"/>
                <w:u w:val="single"/>
              </w:rPr>
              <w:t>市生态保护红线区域分布图，本项目不在主导生态功能区范围内，亦不在当地饮用水源、风景区、自然保护区等生态保护区内，项目的建设不涉及生态红线。</w:t>
            </w:r>
          </w:p>
          <w:p>
            <w:pPr>
              <w:pStyle w:val="33"/>
              <w:spacing w:line="360" w:lineRule="auto"/>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（2）环境质量底线相符性</w:t>
            </w:r>
          </w:p>
          <w:p>
            <w:pPr>
              <w:pStyle w:val="33"/>
              <w:spacing w:line="360" w:lineRule="auto"/>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根据引用大气监测结果表明，评价区大气个监测点各项指标均满足《环境空气质量标准》（GB3095-2012）中的二级标准及其他相应标准，说明大气质量较好，有一定环境容量；正常工况下，本项目各污染物对环境保护目标影响较小。</w:t>
            </w:r>
          </w:p>
          <w:p>
            <w:pPr>
              <w:pStyle w:val="33"/>
              <w:spacing w:line="360" w:lineRule="auto"/>
              <w:ind w:firstLine="480" w:firstLineChars="200"/>
              <w:jc w:val="left"/>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根据引用地表水监测结果表明：</w:t>
            </w:r>
            <w:r>
              <w:rPr>
                <w:rFonts w:hint="default" w:ascii="Times New Roman" w:hAnsi="Times New Roman" w:cs="Times New Roman"/>
                <w:color w:val="auto"/>
                <w:sz w:val="24"/>
                <w:szCs w:val="24"/>
                <w:u w:val="single"/>
                <w:lang w:eastAsia="zh-CN"/>
              </w:rPr>
              <w:t>潇水河</w:t>
            </w:r>
            <w:r>
              <w:rPr>
                <w:rFonts w:hint="default" w:ascii="Times New Roman" w:hAnsi="Times New Roman" w:cs="Times New Roman"/>
                <w:color w:val="auto"/>
                <w:sz w:val="24"/>
                <w:szCs w:val="24"/>
                <w:u w:val="single"/>
              </w:rPr>
              <w:t>水质现状满足《地表水环境质量标准》（GB3838-2002）</w:t>
            </w:r>
            <w:r>
              <w:rPr>
                <w:rFonts w:hint="eastAsia" w:ascii="Times New Roman" w:hAnsi="Times New Roman" w:cs="Times New Roman"/>
                <w:color w:val="auto"/>
                <w:sz w:val="24"/>
                <w:szCs w:val="24"/>
                <w:u w:val="single"/>
                <w:lang w:eastAsia="zh-CN"/>
              </w:rPr>
              <w:t>Ⅲ类标</w:t>
            </w:r>
            <w:r>
              <w:rPr>
                <w:rFonts w:hint="default" w:ascii="Times New Roman" w:hAnsi="Times New Roman" w:cs="Times New Roman"/>
                <w:color w:val="auto"/>
                <w:sz w:val="24"/>
                <w:szCs w:val="24"/>
                <w:u w:val="single"/>
              </w:rPr>
              <w:t>准。本项目</w:t>
            </w:r>
            <w:r>
              <w:rPr>
                <w:rFonts w:hint="eastAsia" w:ascii="Times New Roman" w:cs="Times New Roman"/>
                <w:color w:val="auto"/>
                <w:sz w:val="24"/>
                <w:szCs w:val="24"/>
                <w:u w:val="single"/>
                <w:lang w:val="en-US" w:eastAsia="zh-CN"/>
              </w:rPr>
              <w:t>无生产废水产生</w:t>
            </w:r>
            <w:r>
              <w:rPr>
                <w:rFonts w:hint="default" w:ascii="Times New Roman" w:hAnsi="Times New Roman" w:cs="Times New Roman"/>
                <w:color w:val="auto"/>
                <w:sz w:val="24"/>
                <w:szCs w:val="24"/>
                <w:u w:val="single"/>
              </w:rPr>
              <w:t>，对区域地表水体影响较小。</w:t>
            </w:r>
          </w:p>
          <w:p>
            <w:pPr>
              <w:pStyle w:val="33"/>
              <w:spacing w:line="360" w:lineRule="auto"/>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根据噪声监测结果表明：昼夜间噪声均符合《声环境质量标准》（GB3096-2008）中3类标准，声环境质量现状较好，本项目各设备噪声经隔声降噪和距离削减后，厂界噪声不超标，对周围环境影响较小。</w:t>
            </w:r>
          </w:p>
          <w:p>
            <w:pPr>
              <w:pStyle w:val="33"/>
              <w:spacing w:line="360" w:lineRule="auto"/>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（3）资源利用上线相符性</w:t>
            </w:r>
          </w:p>
          <w:p>
            <w:pPr>
              <w:pStyle w:val="33"/>
              <w:spacing w:line="360" w:lineRule="auto"/>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本项目不属于“两高一资”型企业，本项目</w:t>
            </w:r>
            <w:r>
              <w:rPr>
                <w:rFonts w:hint="eastAsia" w:ascii="Times New Roman" w:cs="Times New Roman"/>
                <w:color w:val="auto"/>
                <w:sz w:val="24"/>
                <w:szCs w:val="24"/>
                <w:u w:val="single"/>
                <w:lang w:val="en-US" w:eastAsia="zh-CN"/>
              </w:rPr>
              <w:t>无</w:t>
            </w:r>
            <w:r>
              <w:rPr>
                <w:rFonts w:hint="default" w:ascii="Times New Roman" w:hAnsi="Times New Roman" w:cs="Times New Roman"/>
                <w:color w:val="auto"/>
                <w:sz w:val="24"/>
                <w:szCs w:val="24"/>
                <w:u w:val="single"/>
              </w:rPr>
              <w:t>生产废水</w:t>
            </w:r>
            <w:r>
              <w:rPr>
                <w:rFonts w:hint="eastAsia" w:ascii="Times New Roman" w:cs="Times New Roman"/>
                <w:color w:val="auto"/>
                <w:sz w:val="24"/>
                <w:szCs w:val="24"/>
                <w:u w:val="single"/>
                <w:lang w:val="en-US" w:eastAsia="zh-CN"/>
              </w:rPr>
              <w:t>产生</w:t>
            </w:r>
            <w:r>
              <w:rPr>
                <w:rFonts w:hint="default" w:ascii="Times New Roman" w:hAnsi="Times New Roman" w:cs="Times New Roman"/>
                <w:color w:val="auto"/>
                <w:sz w:val="24"/>
                <w:szCs w:val="24"/>
                <w:u w:val="single"/>
              </w:rPr>
              <w:t>，生活污水经隔油池、化粪池等处理后经污水管网排入</w:t>
            </w:r>
            <w:r>
              <w:rPr>
                <w:rFonts w:hint="default" w:ascii="Times New Roman" w:hAnsi="Times New Roman" w:cs="Times New Roman"/>
                <w:color w:val="auto"/>
                <w:sz w:val="24"/>
                <w:szCs w:val="24"/>
                <w:u w:val="single"/>
                <w:lang w:eastAsia="zh-CN"/>
              </w:rPr>
              <w:t>双牌县污水处理厂</w:t>
            </w:r>
            <w:r>
              <w:rPr>
                <w:rFonts w:hint="default" w:ascii="Times New Roman" w:hAnsi="Times New Roman" w:cs="Times New Roman"/>
                <w:color w:val="auto"/>
                <w:sz w:val="24"/>
                <w:szCs w:val="24"/>
                <w:u w:val="single"/>
              </w:rPr>
              <w:t>；本项目所在地不属于资源、能源紧缺区域，本项目用水来源为市政给水，用电来源为市政供电，配套能源供应有足够余量满足本项目的使用要求。</w:t>
            </w:r>
          </w:p>
          <w:p>
            <w:pPr>
              <w:pStyle w:val="33"/>
              <w:spacing w:line="360" w:lineRule="auto"/>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（4）负面清单</w:t>
            </w:r>
          </w:p>
          <w:p>
            <w:pPr>
              <w:pStyle w:val="33"/>
              <w:spacing w:line="360" w:lineRule="auto"/>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本项目位于</w:t>
            </w:r>
            <w:r>
              <w:rPr>
                <w:rFonts w:hint="default" w:ascii="Times New Roman" w:hAnsi="Times New Roman" w:cs="Times New Roman"/>
                <w:color w:val="auto"/>
                <w:sz w:val="24"/>
                <w:szCs w:val="24"/>
                <w:u w:val="single"/>
                <w:lang w:eastAsia="zh-CN"/>
              </w:rPr>
              <w:t>双牌工业集中区创新创业园6栋（1-4层）</w:t>
            </w:r>
            <w:r>
              <w:rPr>
                <w:rFonts w:hint="default" w:ascii="Times New Roman" w:hAnsi="Times New Roman" w:cs="Times New Roman"/>
                <w:color w:val="auto"/>
                <w:sz w:val="24"/>
                <w:szCs w:val="24"/>
                <w:u w:val="single"/>
              </w:rPr>
              <w:t>，不属于《</w:t>
            </w:r>
            <w:r>
              <w:rPr>
                <w:rFonts w:hint="default" w:ascii="Times New Roman" w:hAnsi="Times New Roman" w:cs="Times New Roman"/>
                <w:color w:val="auto"/>
                <w:sz w:val="24"/>
                <w:szCs w:val="24"/>
                <w:u w:val="single"/>
                <w:lang w:val="en-US" w:eastAsia="zh-CN"/>
              </w:rPr>
              <w:t>湖南双牌工业集中区</w:t>
            </w:r>
            <w:r>
              <w:rPr>
                <w:rFonts w:hint="default" w:ascii="Times New Roman" w:hAnsi="Times New Roman" w:cs="Times New Roman"/>
                <w:color w:val="auto"/>
                <w:sz w:val="24"/>
                <w:szCs w:val="24"/>
                <w:u w:val="single"/>
              </w:rPr>
              <w:t>环境影响报告书》中“</w:t>
            </w:r>
            <w:r>
              <w:rPr>
                <w:rFonts w:hint="default" w:ascii="Times New Roman" w:hAnsi="Times New Roman" w:cs="Times New Roman"/>
                <w:color w:val="auto"/>
                <w:sz w:val="24"/>
                <w:szCs w:val="24"/>
                <w:u w:val="single"/>
                <w:lang w:eastAsia="zh-CN"/>
              </w:rPr>
              <w:t>双牌</w:t>
            </w:r>
            <w:r>
              <w:rPr>
                <w:rFonts w:hint="default" w:ascii="Times New Roman" w:hAnsi="Times New Roman" w:cs="Times New Roman"/>
                <w:color w:val="auto"/>
                <w:sz w:val="24"/>
                <w:szCs w:val="24"/>
                <w:u w:val="single"/>
              </w:rPr>
              <w:t>工业园企业入园准入与限制行业类型一览表”中的行业类型。</w:t>
            </w:r>
          </w:p>
          <w:p>
            <w:pPr>
              <w:spacing w:line="360" w:lineRule="auto"/>
              <w:ind w:firstLine="480" w:firstLineChars="200"/>
              <w:jc w:val="left"/>
              <w:rPr>
                <w:rFonts w:hint="default" w:ascii="Times New Roman" w:hAnsi="Times New Roman" w:eastAsia="宋体" w:cs="Times New Roman"/>
                <w:color w:val="auto"/>
                <w:sz w:val="24"/>
                <w:szCs w:val="24"/>
                <w:u w:val="single"/>
                <w:lang w:val="en-US" w:eastAsia="zh-CN" w:bidi="ar-SA"/>
              </w:rPr>
            </w:pPr>
            <w:r>
              <w:rPr>
                <w:rFonts w:hint="default" w:ascii="Times New Roman" w:hAnsi="Times New Roman" w:eastAsia="宋体" w:cs="Times New Roman"/>
                <w:color w:val="auto"/>
                <w:sz w:val="24"/>
                <w:szCs w:val="24"/>
                <w:u w:val="single"/>
                <w:lang w:val="en-US" w:eastAsia="zh-CN" w:bidi="ar-SA"/>
              </w:rPr>
              <w:t>根据《湖南省“三线一单”生态环境总体管控要求暨省级以上产业园区生态环境准入清单》，本项目所在地为湖南双牌工业集中区竹产业科技园（环境管控单位编ZH43112320002），其主要管控要求及符合性分析如下：</w:t>
            </w:r>
          </w:p>
          <w:p>
            <w:pPr>
              <w:spacing w:line="240" w:lineRule="auto"/>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表1.3-4与《湖南省“三线一单”生态环境总体管控要求暨省级以上产业园区生态环境准入清单》符合性分析</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00"/>
              <w:gridCol w:w="431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67" w:type="dxa"/>
                  <w:noWrap w:val="0"/>
                  <w:vAlign w:val="center"/>
                </w:tcPr>
                <w:p>
                  <w:pPr>
                    <w:spacing w:line="240" w:lineRule="auto"/>
                    <w:jc w:val="center"/>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序号</w:t>
                  </w:r>
                </w:p>
              </w:tc>
              <w:tc>
                <w:tcPr>
                  <w:tcW w:w="800" w:type="dxa"/>
                  <w:noWrap w:val="0"/>
                  <w:vAlign w:val="center"/>
                </w:tcPr>
                <w:p>
                  <w:pPr>
                    <w:spacing w:line="240" w:lineRule="auto"/>
                    <w:jc w:val="center"/>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管控维度</w:t>
                  </w:r>
                </w:p>
              </w:tc>
              <w:tc>
                <w:tcPr>
                  <w:tcW w:w="4313" w:type="dxa"/>
                  <w:noWrap w:val="0"/>
                  <w:vAlign w:val="center"/>
                </w:tcPr>
                <w:p>
                  <w:pPr>
                    <w:spacing w:line="240" w:lineRule="auto"/>
                    <w:jc w:val="center"/>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管控要求</w:t>
                  </w:r>
                </w:p>
              </w:tc>
              <w:tc>
                <w:tcPr>
                  <w:tcW w:w="938" w:type="dxa"/>
                  <w:noWrap w:val="0"/>
                  <w:vAlign w:val="center"/>
                </w:tcPr>
                <w:p>
                  <w:pPr>
                    <w:spacing w:line="240" w:lineRule="auto"/>
                    <w:jc w:val="center"/>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67" w:type="dxa"/>
                  <w:noWrap w:val="0"/>
                  <w:vAlign w:val="center"/>
                </w:tcPr>
                <w:p>
                  <w:pPr>
                    <w:spacing w:line="240" w:lineRule="auto"/>
                    <w:jc w:val="center"/>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1</w:t>
                  </w:r>
                </w:p>
              </w:tc>
              <w:tc>
                <w:tcPr>
                  <w:tcW w:w="800" w:type="dxa"/>
                  <w:noWrap w:val="0"/>
                  <w:vAlign w:val="center"/>
                </w:tcPr>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空间布局约束</w:t>
                  </w:r>
                </w:p>
              </w:tc>
              <w:tc>
                <w:tcPr>
                  <w:tcW w:w="4313" w:type="dxa"/>
                  <w:noWrap w:val="0"/>
                  <w:vAlign w:val="center"/>
                </w:tcPr>
                <w:p>
                  <w:pPr>
                    <w:pStyle w:val="24"/>
                    <w:spacing w:after="0" w:line="240" w:lineRule="auto"/>
                    <w:ind w:left="0" w:leftChars="0" w:firstLine="0" w:firstLineChars="0"/>
                    <w:rPr>
                      <w:rFonts w:hint="default" w:ascii="Times New Roman" w:hAnsi="Times New Roman" w:cs="Times New Roman"/>
                      <w:sz w:val="24"/>
                      <w:szCs w:val="24"/>
                      <w:u w:val="single"/>
                    </w:rPr>
                  </w:pPr>
                  <w:r>
                    <w:rPr>
                      <w:rFonts w:hint="default" w:ascii="Times New Roman" w:hAnsi="Times New Roman" w:cs="Times New Roman"/>
                      <w:sz w:val="24"/>
                      <w:szCs w:val="24"/>
                      <w:u w:val="single"/>
                    </w:rPr>
                    <w:t>（1.1）集中区引入项目应符合“双牌县产业准入负面清单”的有关规定。</w:t>
                  </w:r>
                </w:p>
                <w:p>
                  <w:pPr>
                    <w:pStyle w:val="24"/>
                    <w:spacing w:after="0" w:line="240" w:lineRule="auto"/>
                    <w:ind w:left="0" w:leftChars="0" w:firstLine="0" w:firstLineChars="0"/>
                    <w:rPr>
                      <w:rFonts w:hint="default" w:ascii="Times New Roman" w:hAnsi="Times New Roman" w:cs="Times New Roman"/>
                      <w:sz w:val="24"/>
                      <w:szCs w:val="24"/>
                      <w:u w:val="single"/>
                    </w:rPr>
                  </w:pPr>
                  <w:r>
                    <w:rPr>
                      <w:rFonts w:hint="default" w:ascii="Times New Roman" w:hAnsi="Times New Roman" w:cs="Times New Roman"/>
                      <w:sz w:val="24"/>
                      <w:szCs w:val="24"/>
                      <w:u w:val="single"/>
                    </w:rPr>
                    <w:t>（1.2）禁止排放重金属企业入园，不得发展三类工业企业及项目。</w:t>
                  </w:r>
                </w:p>
                <w:p>
                  <w:pPr>
                    <w:pStyle w:val="24"/>
                    <w:spacing w:after="0" w:line="240" w:lineRule="auto"/>
                    <w:ind w:left="0" w:leftChars="0" w:firstLine="0" w:firstLineChars="0"/>
                    <w:rPr>
                      <w:rFonts w:hint="default" w:ascii="Times New Roman" w:hAnsi="Times New Roman" w:cs="Times New Roman"/>
                      <w:sz w:val="24"/>
                      <w:szCs w:val="24"/>
                      <w:u w:val="single"/>
                    </w:rPr>
                  </w:pPr>
                  <w:r>
                    <w:rPr>
                      <w:rFonts w:hint="default" w:ascii="Times New Roman" w:hAnsi="Times New Roman" w:cs="Times New Roman"/>
                      <w:sz w:val="24"/>
                      <w:szCs w:val="24"/>
                      <w:u w:val="single"/>
                    </w:rPr>
                    <w:t>（1.3）严格限制高能耗、高水耗、高污染的企业入园，优先引进技术工艺先进，低消耗、少污染、可循环、清洁生产水平高的企业。</w:t>
                  </w:r>
                </w:p>
                <w:p>
                  <w:pPr>
                    <w:pStyle w:val="24"/>
                    <w:spacing w:after="0" w:line="240" w:lineRule="auto"/>
                    <w:ind w:left="0" w:leftChars="0" w:firstLine="0" w:firstLineChars="0"/>
                    <w:rPr>
                      <w:rFonts w:hint="default" w:ascii="Times New Roman" w:hAnsi="Times New Roman" w:cs="Times New Roman"/>
                      <w:sz w:val="24"/>
                      <w:szCs w:val="24"/>
                      <w:u w:val="single"/>
                    </w:rPr>
                  </w:pPr>
                  <w:r>
                    <w:rPr>
                      <w:rFonts w:hint="default" w:ascii="Times New Roman" w:hAnsi="Times New Roman" w:cs="Times New Roman"/>
                      <w:sz w:val="24"/>
                      <w:szCs w:val="24"/>
                      <w:u w:val="single"/>
                    </w:rPr>
                    <w:t>（1.4）集中区靠近城北新区边界应布置噪声和大气污染较小的企业</w:t>
                  </w:r>
                </w:p>
              </w:tc>
              <w:tc>
                <w:tcPr>
                  <w:tcW w:w="938" w:type="dxa"/>
                  <w:noWrap w:val="0"/>
                  <w:vAlign w:val="center"/>
                </w:tcPr>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本项目为轻工制造产业，符合</w:t>
                  </w:r>
                  <w:r>
                    <w:rPr>
                      <w:rFonts w:hint="default" w:ascii="Times New Roman" w:hAnsi="Times New Roman" w:cs="Times New Roman"/>
                      <w:bCs/>
                      <w:sz w:val="24"/>
                      <w:szCs w:val="24"/>
                      <w:u w:val="single"/>
                      <w:lang w:val="en-US" w:eastAsia="zh-CN"/>
                    </w:rPr>
                    <w:t>园区</w:t>
                  </w:r>
                  <w:r>
                    <w:rPr>
                      <w:rFonts w:hint="default" w:ascii="Times New Roman" w:hAnsi="Times New Roman" w:cs="Times New Roman"/>
                      <w:bCs/>
                      <w:sz w:val="24"/>
                      <w:szCs w:val="24"/>
                      <w:u w:val="single"/>
                    </w:rPr>
                    <w:t>引进政策。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467" w:type="dxa"/>
                  <w:noWrap w:val="0"/>
                  <w:vAlign w:val="center"/>
                </w:tcPr>
                <w:p>
                  <w:pPr>
                    <w:spacing w:line="240" w:lineRule="auto"/>
                    <w:jc w:val="center"/>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2</w:t>
                  </w:r>
                </w:p>
              </w:tc>
              <w:tc>
                <w:tcPr>
                  <w:tcW w:w="800" w:type="dxa"/>
                  <w:noWrap w:val="0"/>
                  <w:vAlign w:val="center"/>
                </w:tcPr>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污染物排放管控</w:t>
                  </w:r>
                </w:p>
              </w:tc>
              <w:tc>
                <w:tcPr>
                  <w:tcW w:w="4313" w:type="dxa"/>
                  <w:noWrap w:val="0"/>
                  <w:vAlign w:val="center"/>
                </w:tcPr>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（2.1）废水：园区废污水依托双牌县污水处理厂处理达标后排入潇水。加快管网建设，完善“雨污分流”排水体制。</w:t>
                  </w:r>
                </w:p>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（2.2）废气：</w:t>
                  </w:r>
                </w:p>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（2.2.1）加强企业管理，对各企业有工艺废气产出的生产节点，应配置废气收集与处理净化装置，做到达标排放；加强生产工艺研究与技术改进，采取有效措施，减少工艺废气的无组织排放。</w:t>
                  </w:r>
                </w:p>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（2.2.2）全面推进生物医药、食品加工等工业VOCs综合治理，建立VOCs排放清单信息库，完善企业一企一档制度。</w:t>
                  </w:r>
                </w:p>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（2.2.3）深化木材加工行业污染治理。园区内医药制造等行业及涉锅炉大气污染物排放应满足《湖南省生态环境厅关于执行污染物特别排放限值（第一批）的公告》中的要求。</w:t>
                  </w:r>
                </w:p>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2.3）固废：做好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的固体废物特别是危险固废应按国家有关规定综合利用或妥善处置，严防二次污染。</w:t>
                  </w:r>
                </w:p>
              </w:tc>
              <w:tc>
                <w:tcPr>
                  <w:tcW w:w="938" w:type="dxa"/>
                  <w:noWrap w:val="0"/>
                  <w:vAlign w:val="center"/>
                </w:tcPr>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本项目污水进入污水处理厂处理后达标外排；废气经处理达标后外排；固废按要求处置，符合相应要求。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467" w:type="dxa"/>
                  <w:noWrap w:val="0"/>
                  <w:vAlign w:val="center"/>
                </w:tcPr>
                <w:p>
                  <w:pPr>
                    <w:spacing w:line="240" w:lineRule="auto"/>
                    <w:jc w:val="center"/>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3</w:t>
                  </w:r>
                </w:p>
              </w:tc>
              <w:tc>
                <w:tcPr>
                  <w:tcW w:w="800" w:type="dxa"/>
                  <w:noWrap w:val="0"/>
                  <w:vAlign w:val="center"/>
                </w:tcPr>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环境风险防控</w:t>
                  </w:r>
                </w:p>
              </w:tc>
              <w:tc>
                <w:tcPr>
                  <w:tcW w:w="4313" w:type="dxa"/>
                  <w:noWrap w:val="0"/>
                  <w:vAlign w:val="center"/>
                </w:tcPr>
                <w:p>
                  <w:pPr>
                    <w:pStyle w:val="24"/>
                    <w:spacing w:after="0" w:line="240" w:lineRule="auto"/>
                    <w:ind w:left="0" w:leftChars="0" w:firstLine="0" w:firstLineChars="0"/>
                    <w:rPr>
                      <w:rFonts w:hint="default" w:ascii="Times New Roman" w:hAnsi="Times New Roman" w:cs="Times New Roman"/>
                      <w:sz w:val="24"/>
                      <w:szCs w:val="24"/>
                      <w:u w:val="single"/>
                    </w:rPr>
                  </w:pPr>
                  <w:r>
                    <w:rPr>
                      <w:rFonts w:hint="default" w:ascii="Times New Roman" w:hAnsi="Times New Roman" w:cs="Times New Roman"/>
                      <w:sz w:val="24"/>
                      <w:szCs w:val="24"/>
                      <w:u w:val="single"/>
                    </w:rPr>
                    <w:t>（3.1）按照《双牌工业集中区突发环境事件应急预案》的相关要求，建立健全环境风险防控体系，加强区内重要风险源管控。加强危险化学品储运的环境风险管理，严格落实应急响应联动机制，确保区域水环境安全。</w:t>
                  </w:r>
                </w:p>
                <w:p>
                  <w:pPr>
                    <w:pStyle w:val="24"/>
                    <w:spacing w:after="0" w:line="240" w:lineRule="auto"/>
                    <w:ind w:left="0" w:leftChars="0" w:firstLine="0" w:firstLineChars="0"/>
                    <w:rPr>
                      <w:rFonts w:hint="default" w:ascii="Times New Roman" w:hAnsi="Times New Roman" w:cs="Times New Roman"/>
                      <w:sz w:val="24"/>
                      <w:szCs w:val="24"/>
                      <w:u w:val="single"/>
                    </w:rPr>
                  </w:pPr>
                  <w:r>
                    <w:rPr>
                      <w:rFonts w:hint="default" w:ascii="Times New Roman" w:hAnsi="Times New Roman" w:cs="Times New Roman"/>
                      <w:sz w:val="24"/>
                      <w:szCs w:val="24"/>
                      <w:u w:val="single"/>
                    </w:rPr>
                    <w:t>（3.2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pPr>
                    <w:pStyle w:val="24"/>
                    <w:spacing w:after="0" w:line="240" w:lineRule="auto"/>
                    <w:ind w:left="0" w:leftChars="0" w:firstLine="0" w:firstLineChars="0"/>
                    <w:rPr>
                      <w:rFonts w:hint="default" w:ascii="Times New Roman" w:hAnsi="Times New Roman" w:cs="Times New Roman"/>
                      <w:sz w:val="24"/>
                      <w:szCs w:val="24"/>
                      <w:u w:val="single"/>
                    </w:rPr>
                  </w:pPr>
                  <w:r>
                    <w:rPr>
                      <w:rFonts w:hint="default" w:ascii="Times New Roman" w:hAnsi="Times New Roman" w:cs="Times New Roman"/>
                      <w:sz w:val="24"/>
                      <w:szCs w:val="24"/>
                      <w:u w:val="single"/>
                    </w:rPr>
                    <w:t>（3.3）深入推进重金属行业企业排查整治，强化环境执法监管，加大涉重企业治污与清洁生产改造力度，强化园区集中治污，严厉打击超标排放与偷排漏排，规范企业无组织排放与物料、固体废物堆场堆存，稳步推进重金属减排工作。</w:t>
                  </w:r>
                </w:p>
              </w:tc>
              <w:tc>
                <w:tcPr>
                  <w:tcW w:w="938" w:type="dxa"/>
                  <w:noWrap w:val="0"/>
                  <w:vAlign w:val="center"/>
                </w:tcPr>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467" w:type="dxa"/>
                  <w:noWrap w:val="0"/>
                  <w:vAlign w:val="center"/>
                </w:tcPr>
                <w:p>
                  <w:pPr>
                    <w:spacing w:line="240" w:lineRule="auto"/>
                    <w:jc w:val="center"/>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4</w:t>
                  </w:r>
                </w:p>
              </w:tc>
              <w:tc>
                <w:tcPr>
                  <w:tcW w:w="800" w:type="dxa"/>
                  <w:noWrap w:val="0"/>
                  <w:vAlign w:val="center"/>
                </w:tcPr>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资源开发效率</w:t>
                  </w:r>
                </w:p>
              </w:tc>
              <w:tc>
                <w:tcPr>
                  <w:tcW w:w="4313" w:type="dxa"/>
                  <w:noWrap w:val="0"/>
                  <w:vAlign w:val="center"/>
                </w:tcPr>
                <w:p>
                  <w:pPr>
                    <w:numPr>
                      <w:ilvl w:val="0"/>
                      <w:numId w:val="0"/>
                    </w:num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4.1）能源：进一步优化园区能源消费结构，完善园区燃气及电力供应设施，扩大再生能源利用，严格控制新增煤炭消费量。预测到2020年末，园区能源消耗总量约为5655.62吨标煤（当量值），单位GDP能耗约为0.0199吨标煤/万元；预测到2025年，园区能源消费总量约为8826.08吨标煤（当量值），单位GDP能耗为0.0167吨标煤/万元，单位增加值能耗为0.0518吨标煤/万元。</w:t>
                  </w:r>
                </w:p>
                <w:p>
                  <w:pPr>
                    <w:numPr>
                      <w:ilvl w:val="0"/>
                      <w:numId w:val="0"/>
                    </w:num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4.2）水资源：强化用水定额管理，新建、改建、扩建工业项目必须满足用水定额标准要求。到2020年，食品发酵等高耗水行业达到先进定额标准。到2020年，双牌县水资源开发利用控制红线为7172万立方米、万元工业增加值用水量为50立方米/万元。</w:t>
                  </w:r>
                </w:p>
                <w:p>
                  <w:pPr>
                    <w:numPr>
                      <w:ilvl w:val="0"/>
                      <w:numId w:val="0"/>
                    </w:num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（4.3）土地资源：凡入驻工业园且固定资产投资（不含土地款）在2000万元以上（含2000万元）的工业项目，按投资强度不低于</w:t>
                  </w:r>
                  <w:r>
                    <w:rPr>
                      <w:rFonts w:hint="eastAsia" w:ascii="Times New Roman" w:hAnsi="Times New Roman" w:cs="Times New Roman"/>
                      <w:bCs/>
                      <w:sz w:val="24"/>
                      <w:szCs w:val="24"/>
                      <w:u w:val="single"/>
                      <w:lang w:eastAsia="zh-CN"/>
                    </w:rPr>
                    <w:t>2000万</w:t>
                  </w:r>
                  <w:r>
                    <w:rPr>
                      <w:rFonts w:hint="default" w:ascii="Times New Roman" w:hAnsi="Times New Roman" w:cs="Times New Roman"/>
                      <w:bCs/>
                      <w:sz w:val="24"/>
                      <w:szCs w:val="24"/>
                      <w:u w:val="single"/>
                    </w:rPr>
                    <w:t>元/亩或容积率不低于1.0的标准确定供地面积。</w:t>
                  </w:r>
                </w:p>
              </w:tc>
              <w:tc>
                <w:tcPr>
                  <w:tcW w:w="938" w:type="dxa"/>
                  <w:noWrap w:val="0"/>
                  <w:vAlign w:val="center"/>
                </w:tcPr>
                <w:p>
                  <w:pPr>
                    <w:spacing w:line="240" w:lineRule="auto"/>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符合</w:t>
                  </w:r>
                </w:p>
              </w:tc>
            </w:tr>
          </w:tbl>
          <w:p>
            <w:pPr>
              <w:pStyle w:val="23"/>
              <w:spacing w:beforeLines="0"/>
              <w:ind w:left="44" w:leftChars="20" w:right="44" w:rightChars="20" w:firstLine="482" w:firstLineChars="0"/>
              <w:jc w:val="both"/>
              <w:rPr>
                <w:rFonts w:hint="default" w:ascii="Times New Roman" w:hAnsi="Times New Roman" w:eastAsia="宋体" w:cs="Times New Roman"/>
                <w:sz w:val="24"/>
                <w:szCs w:val="24"/>
              </w:rPr>
            </w:pPr>
          </w:p>
          <w:p>
            <w:pPr>
              <w:spacing w:line="360" w:lineRule="auto"/>
              <w:ind w:left="44" w:leftChars="20" w:right="44" w:rightChars="20" w:firstLine="241" w:firstLineChars="100"/>
              <w:rPr>
                <w:rFonts w:hint="default" w:ascii="Times New Roman" w:hAnsi="Times New Roman" w:cs="Times New Roman"/>
                <w:b/>
                <w:sz w:val="24"/>
                <w:szCs w:val="24"/>
              </w:rPr>
            </w:pPr>
            <w:r>
              <w:rPr>
                <w:rFonts w:hint="default" w:ascii="Times New Roman" w:hAnsi="Times New Roman" w:cs="Times New Roman"/>
                <w:b/>
                <w:sz w:val="24"/>
                <w:szCs w:val="24"/>
                <w:lang w:val="en-US"/>
              </w:rPr>
              <w:t>二、</w:t>
            </w:r>
            <w:r>
              <w:rPr>
                <w:rFonts w:hint="default" w:ascii="Times New Roman" w:hAnsi="Times New Roman" w:cs="Times New Roman"/>
                <w:b/>
                <w:sz w:val="24"/>
                <w:szCs w:val="24"/>
              </w:rPr>
              <w:t>项目选址、平面布局合理性分析</w:t>
            </w:r>
          </w:p>
          <w:p>
            <w:pPr>
              <w:spacing w:line="360" w:lineRule="auto"/>
              <w:ind w:left="44" w:leftChars="20" w:right="44" w:rightChars="20" w:firstLine="472" w:firstLineChars="196"/>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（1）用地、选址可行性分析</w:t>
            </w:r>
          </w:p>
          <w:p>
            <w:pPr>
              <w:spacing w:line="360" w:lineRule="auto"/>
              <w:ind w:left="44" w:leftChars="20" w:right="44" w:rightChars="20" w:firstLine="480" w:firstLineChars="200"/>
              <w:jc w:val="both"/>
              <w:rPr>
                <w:rFonts w:hint="default" w:ascii="Times New Roman" w:hAnsi="Times New Roman" w:cs="Times New Roman"/>
                <w:sz w:val="24"/>
                <w:szCs w:val="24"/>
                <w:u w:val="single"/>
              </w:rPr>
            </w:pPr>
            <w:r>
              <w:rPr>
                <w:rFonts w:hint="default" w:ascii="Times New Roman" w:hAnsi="Times New Roman" w:cs="Times New Roman"/>
                <w:sz w:val="24"/>
                <w:szCs w:val="24"/>
                <w:u w:val="single"/>
              </w:rPr>
              <w:t>根据《关于</w:t>
            </w:r>
            <w:r>
              <w:rPr>
                <w:rFonts w:hint="default" w:ascii="Times New Roman" w:hAnsi="Times New Roman" w:cs="Times New Roman"/>
                <w:sz w:val="24"/>
                <w:szCs w:val="24"/>
                <w:u w:val="single"/>
                <w:lang w:val="en-US" w:eastAsia="zh-CN"/>
              </w:rPr>
              <w:t>湖南</w:t>
            </w:r>
            <w:r>
              <w:rPr>
                <w:rFonts w:hint="default" w:ascii="Times New Roman" w:hAnsi="Times New Roman" w:cs="Times New Roman"/>
                <w:sz w:val="24"/>
                <w:szCs w:val="24"/>
                <w:u w:val="single"/>
                <w:lang w:eastAsia="zh-CN"/>
              </w:rPr>
              <w:t>双牌工业集中区</w:t>
            </w:r>
            <w:r>
              <w:rPr>
                <w:rFonts w:hint="default" w:ascii="Times New Roman" w:hAnsi="Times New Roman" w:cs="Times New Roman"/>
                <w:sz w:val="24"/>
                <w:szCs w:val="24"/>
                <w:u w:val="single"/>
              </w:rPr>
              <w:t>环境影响报告书的批复》（湘环评[2012]33</w:t>
            </w:r>
            <w:r>
              <w:rPr>
                <w:rFonts w:hint="default" w:ascii="Times New Roman" w:hAnsi="Times New Roman" w:cs="Times New Roman"/>
                <w:sz w:val="24"/>
                <w:szCs w:val="24"/>
                <w:u w:val="single"/>
                <w:lang w:val="en-US" w:eastAsia="zh-CN"/>
              </w:rPr>
              <w:t>5</w:t>
            </w:r>
            <w:r>
              <w:rPr>
                <w:rFonts w:hint="default" w:ascii="Times New Roman" w:hAnsi="Times New Roman" w:cs="Times New Roman"/>
                <w:sz w:val="24"/>
                <w:szCs w:val="24"/>
                <w:u w:val="single"/>
              </w:rPr>
              <w:t>号文件，双牌工业集中区以农林产品加工、生物医药、食品加工业三大支柱产业为主，以电子信息产业为辅助产业，并配套建设科研创新中心的工业基地，是以招商引资、促进产业聚群发展、增加本县财政收入、扩大就业容量为目标的新型工业区。</w:t>
            </w:r>
          </w:p>
          <w:p>
            <w:pPr>
              <w:spacing w:line="360" w:lineRule="auto"/>
              <w:ind w:left="44" w:leftChars="20" w:right="44" w:rightChars="20" w:firstLine="480" w:firstLineChars="200"/>
              <w:jc w:val="both"/>
              <w:rPr>
                <w:rFonts w:hint="default" w:ascii="Times New Roman" w:hAnsi="Times New Roman" w:cs="Times New Roman"/>
                <w:sz w:val="24"/>
                <w:szCs w:val="24"/>
                <w:u w:val="single"/>
              </w:rPr>
            </w:pPr>
            <w:r>
              <w:rPr>
                <w:rFonts w:hint="default" w:ascii="Times New Roman" w:hAnsi="Times New Roman" w:cs="Times New Roman"/>
                <w:sz w:val="24"/>
                <w:szCs w:val="24"/>
                <w:u w:val="single"/>
              </w:rPr>
              <w:t>本项目为</w:t>
            </w:r>
            <w:r>
              <w:rPr>
                <w:rFonts w:hint="default" w:ascii="Times New Roman" w:hAnsi="Times New Roman" w:cs="Times New Roman"/>
                <w:sz w:val="24"/>
                <w:szCs w:val="24"/>
                <w:u w:val="single"/>
                <w:lang w:val="en-US" w:eastAsia="zh-CN"/>
              </w:rPr>
              <w:t>工艺品制造项目，为轻型工业</w:t>
            </w:r>
            <w:r>
              <w:rPr>
                <w:rFonts w:hint="default" w:ascii="Times New Roman" w:hAnsi="Times New Roman" w:cs="Times New Roman"/>
                <w:sz w:val="24"/>
                <w:szCs w:val="24"/>
                <w:u w:val="single"/>
              </w:rPr>
              <w:t>，符合</w:t>
            </w:r>
            <w:r>
              <w:rPr>
                <w:rFonts w:hint="default" w:ascii="Times New Roman" w:hAnsi="Times New Roman" w:cs="Times New Roman"/>
                <w:sz w:val="24"/>
                <w:szCs w:val="24"/>
                <w:u w:val="single"/>
                <w:lang w:val="en-US" w:eastAsia="zh-CN"/>
              </w:rPr>
              <w:t>园区规划</w:t>
            </w:r>
            <w:r>
              <w:rPr>
                <w:rFonts w:hint="default" w:ascii="Times New Roman" w:hAnsi="Times New Roman" w:cs="Times New Roman"/>
                <w:sz w:val="24"/>
                <w:szCs w:val="24"/>
                <w:u w:val="single"/>
              </w:rPr>
              <w:t>，因此，本项目选址合理</w:t>
            </w:r>
            <w:r>
              <w:rPr>
                <w:rFonts w:hint="default" w:ascii="Times New Roman" w:hAnsi="Times New Roman" w:cs="Times New Roman"/>
                <w:sz w:val="24"/>
                <w:szCs w:val="24"/>
                <w:u w:val="single"/>
                <w:lang w:val="en-US"/>
              </w:rPr>
              <w:t>，厂址四周道路、水、电等基础设施完善，交通方便，</w:t>
            </w:r>
            <w:r>
              <w:rPr>
                <w:rFonts w:hint="default" w:ascii="Times New Roman" w:hAnsi="Times New Roman" w:cs="Times New Roman"/>
                <w:sz w:val="24"/>
                <w:szCs w:val="24"/>
                <w:u w:val="single"/>
              </w:rPr>
              <w:t>根据本项目工程分析及环境影响预测，建设项目正常运营不会对周边环境敏感保护目标造成不利影响。</w:t>
            </w:r>
          </w:p>
          <w:p>
            <w:pPr>
              <w:spacing w:line="360" w:lineRule="auto"/>
              <w:ind w:left="44" w:leftChars="20" w:right="44" w:rightChars="20" w:firstLine="480" w:firstLineChars="200"/>
              <w:jc w:val="both"/>
              <w:rPr>
                <w:rFonts w:hint="default" w:ascii="Times New Roman" w:hAnsi="Times New Roman" w:cs="Times New Roman"/>
                <w:sz w:val="24"/>
                <w:szCs w:val="24"/>
                <w:u w:val="single"/>
              </w:rPr>
            </w:pPr>
            <w:r>
              <w:rPr>
                <w:rFonts w:hint="default" w:ascii="Times New Roman" w:hAnsi="Times New Roman" w:cs="Times New Roman"/>
                <w:sz w:val="24"/>
                <w:szCs w:val="24"/>
                <w:u w:val="single"/>
              </w:rPr>
              <w:t>综上所述，项目建设选址可行。</w:t>
            </w:r>
          </w:p>
          <w:p>
            <w:pPr>
              <w:spacing w:line="360" w:lineRule="auto"/>
              <w:ind w:left="44" w:leftChars="20" w:right="44" w:rightChars="20" w:firstLine="482" w:firstLineChars="200"/>
              <w:jc w:val="both"/>
              <w:rPr>
                <w:rFonts w:hint="default" w:ascii="Times New Roman" w:hAnsi="Times New Roman" w:cs="Times New Roman"/>
                <w:b/>
                <w:sz w:val="24"/>
                <w:szCs w:val="24"/>
              </w:rPr>
            </w:pPr>
            <w:r>
              <w:rPr>
                <w:rFonts w:hint="default" w:ascii="Times New Roman" w:hAnsi="Times New Roman" w:cs="Times New Roman"/>
                <w:b/>
                <w:sz w:val="24"/>
                <w:szCs w:val="24"/>
              </w:rPr>
              <w:t>（2）平面布局合理性分析</w:t>
            </w:r>
          </w:p>
          <w:p>
            <w:pPr>
              <w:spacing w:line="360" w:lineRule="auto"/>
              <w:ind w:left="44" w:leftChars="20" w:right="44" w:rightChars="20" w:firstLine="480" w:firstLineChars="200"/>
              <w:jc w:val="both"/>
              <w:rPr>
                <w:rFonts w:hint="default" w:ascii="Times New Roman" w:hAnsi="Times New Roman" w:cs="Times New Roman"/>
                <w:sz w:val="24"/>
                <w:szCs w:val="24"/>
                <w:lang w:val="en-US"/>
              </w:rPr>
            </w:pPr>
            <w:r>
              <w:rPr>
                <w:rFonts w:hint="default" w:ascii="Times New Roman" w:hAnsi="Times New Roman" w:cs="Times New Roman"/>
                <w:sz w:val="24"/>
                <w:szCs w:val="24"/>
              </w:rPr>
              <w:t>本项目位于</w:t>
            </w:r>
            <w:r>
              <w:rPr>
                <w:rFonts w:hint="default" w:ascii="Times New Roman" w:hAnsi="Times New Roman" w:cs="Times New Roman"/>
                <w:sz w:val="24"/>
                <w:szCs w:val="24"/>
                <w:lang w:val="en-US" w:eastAsia="zh-CN"/>
              </w:rPr>
              <w:t>双牌工业集中区创新创业园6栋（1-4层）</w:t>
            </w:r>
            <w:r>
              <w:rPr>
                <w:rFonts w:hint="default" w:ascii="Times New Roman" w:hAnsi="Times New Roman" w:cs="Times New Roman"/>
                <w:sz w:val="24"/>
                <w:szCs w:val="24"/>
              </w:rPr>
              <w:t>，</w:t>
            </w:r>
            <w:r>
              <w:rPr>
                <w:rFonts w:hint="default" w:ascii="Times New Roman" w:hAnsi="Times New Roman" w:cs="Times New Roman"/>
                <w:sz w:val="24"/>
                <w:szCs w:val="24"/>
                <w:lang w:val="en-US"/>
              </w:rPr>
              <w:t>租赁</w:t>
            </w:r>
            <w:r>
              <w:rPr>
                <w:rFonts w:hint="default" w:ascii="Times New Roman" w:hAnsi="Times New Roman" w:cs="Times New Roman"/>
                <w:sz w:val="24"/>
                <w:szCs w:val="24"/>
              </w:rPr>
              <w:t>工业园现有</w:t>
            </w:r>
            <w:r>
              <w:rPr>
                <w:rFonts w:hint="default" w:ascii="Times New Roman" w:hAnsi="Times New Roman" w:cs="Times New Roman"/>
                <w:sz w:val="24"/>
                <w:szCs w:val="24"/>
                <w:lang w:val="en-US"/>
              </w:rPr>
              <w:t>厂房，其中</w:t>
            </w:r>
            <w:r>
              <w:rPr>
                <w:rFonts w:hint="eastAsia" w:ascii="Times New Roman" w:hAnsi="Times New Roman" w:cs="Times New Roman"/>
                <w:sz w:val="24"/>
                <w:szCs w:val="24"/>
                <w:lang w:val="en-US" w:eastAsia="zh-CN"/>
              </w:rPr>
              <w:t>一楼为成品仓库及注塑车间，二楼为办公室，三楼为成品仓库，四楼为原料仓库及喷漆房</w:t>
            </w:r>
            <w:r>
              <w:rPr>
                <w:rFonts w:hint="default" w:ascii="Times New Roman" w:hAnsi="Times New Roman" w:cs="Times New Roman"/>
                <w:sz w:val="24"/>
                <w:szCs w:val="24"/>
                <w:lang w:val="en-US" w:eastAsia="zh-CN"/>
              </w:rPr>
              <w:t>。</w:t>
            </w:r>
            <w:r>
              <w:rPr>
                <w:rFonts w:hint="default" w:ascii="Times New Roman" w:hAnsi="Times New Roman" w:cs="Times New Roman"/>
                <w:color w:val="000000"/>
                <w:sz w:val="24"/>
                <w:szCs w:val="24"/>
              </w:rPr>
              <w:t>废气处理装置位于屋顶，</w:t>
            </w:r>
            <w:r>
              <w:rPr>
                <w:rFonts w:hint="default" w:ascii="Times New Roman" w:hAnsi="Times New Roman" w:cs="Times New Roman"/>
                <w:sz w:val="24"/>
                <w:szCs w:val="24"/>
              </w:rPr>
              <w:t>项目总平面布置充分考虑生产及物流要求，生产车间均按照工艺流程合理紧凑地布置生产设备，</w:t>
            </w:r>
            <w:r>
              <w:rPr>
                <w:rFonts w:hint="default" w:ascii="Times New Roman" w:hAnsi="Times New Roman" w:cs="Times New Roman"/>
                <w:color w:val="000000"/>
                <w:sz w:val="24"/>
                <w:szCs w:val="24"/>
              </w:rPr>
              <w:t>综上所述，项目厂房内功能分区明确，布局合理。</w:t>
            </w:r>
          </w:p>
          <w:p>
            <w:pPr>
              <w:spacing w:line="360" w:lineRule="auto"/>
              <w:ind w:left="44" w:leftChars="20" w:right="44" w:rightChars="20" w:firstLine="482"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二、</w:t>
            </w:r>
            <w:r>
              <w:rPr>
                <w:rFonts w:hint="default" w:ascii="Times New Roman" w:hAnsi="Times New Roman" w:cs="Times New Roman"/>
                <w:b/>
                <w:bCs/>
                <w:sz w:val="24"/>
                <w:szCs w:val="24"/>
              </w:rPr>
              <w:t>产业政策符合性分析</w:t>
            </w:r>
          </w:p>
          <w:p>
            <w:pPr>
              <w:pStyle w:val="23"/>
              <w:spacing w:beforeLines="0"/>
              <w:ind w:left="44" w:leftChars="20" w:right="44" w:rightChars="20" w:firstLine="482" w:firstLineChars="0"/>
              <w:jc w:val="both"/>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u w:val="single"/>
                <w:lang w:val="en-US"/>
              </w:rPr>
              <w:t>本项目是塑胶玩具制造行业，根据国家《产业结构调整指导目录（2019年本）》，本项目不属于上述目录所列的限制类和禁止（淘汰）类项目以及鼓励类，属于允许类项目，项目建设符</w:t>
            </w:r>
            <w:r>
              <w:rPr>
                <w:rFonts w:hint="default" w:ascii="Times New Roman" w:hAnsi="Times New Roman" w:eastAsia="宋体" w:cs="Times New Roman"/>
                <w:sz w:val="24"/>
                <w:szCs w:val="24"/>
                <w:highlight w:val="none"/>
                <w:u w:val="single"/>
                <w:lang w:val="en-US"/>
              </w:rPr>
              <w:t>合相关的产业政策要求。</w:t>
            </w:r>
          </w:p>
          <w:p>
            <w:pPr>
              <w:pStyle w:val="23"/>
              <w:spacing w:beforeLines="0"/>
              <w:ind w:left="44" w:leftChars="20" w:right="44" w:rightChars="20" w:firstLine="48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b/>
                <w:sz w:val="24"/>
                <w:szCs w:val="24"/>
                <w:lang w:val="en-US" w:eastAsia="zh-CN"/>
              </w:rPr>
              <w:t>三</w:t>
            </w: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rPr>
              <w:t>与《</w:t>
            </w:r>
            <w:r>
              <w:rPr>
                <w:rFonts w:hint="default" w:ascii="Times New Roman" w:hAnsi="Times New Roman" w:eastAsia="宋体" w:cs="Times New Roman"/>
                <w:b/>
                <w:bCs/>
                <w:sz w:val="24"/>
                <w:szCs w:val="24"/>
                <w:lang w:val="en-US"/>
              </w:rPr>
              <w:t>“</w:t>
            </w:r>
            <w:r>
              <w:rPr>
                <w:rFonts w:hint="default" w:ascii="Times New Roman" w:hAnsi="Times New Roman" w:eastAsia="宋体" w:cs="Times New Roman"/>
                <w:b/>
                <w:sz w:val="24"/>
                <w:szCs w:val="24"/>
                <w:lang w:val="en-US"/>
              </w:rPr>
              <w:t>十三五</w:t>
            </w:r>
            <w:r>
              <w:rPr>
                <w:rFonts w:hint="default" w:ascii="Times New Roman" w:hAnsi="Times New Roman" w:eastAsia="宋体" w:cs="Times New Roman"/>
                <w:b/>
                <w:bCs/>
                <w:sz w:val="24"/>
                <w:szCs w:val="24"/>
                <w:lang w:val="en-US"/>
              </w:rPr>
              <w:t>”</w:t>
            </w:r>
            <w:r>
              <w:rPr>
                <w:rFonts w:hint="default" w:ascii="Times New Roman" w:hAnsi="Times New Roman" w:eastAsia="宋体" w:cs="Times New Roman"/>
                <w:b/>
                <w:sz w:val="24"/>
                <w:szCs w:val="24"/>
                <w:lang w:val="en-US"/>
              </w:rPr>
              <w:t>挥发性有机物污染防治工作方案》（环大气</w:t>
            </w:r>
            <w:r>
              <w:rPr>
                <w:rFonts w:hint="default" w:ascii="Times New Roman" w:hAnsi="Times New Roman" w:eastAsia="宋体" w:cs="Times New Roman"/>
                <w:b/>
                <w:bCs/>
                <w:sz w:val="24"/>
                <w:szCs w:val="24"/>
                <w:lang w:val="en-US"/>
              </w:rPr>
              <w:t>[2017]121</w:t>
            </w:r>
            <w:r>
              <w:rPr>
                <w:rFonts w:hint="default" w:ascii="Times New Roman" w:hAnsi="Times New Roman" w:eastAsia="宋体" w:cs="Times New Roman"/>
                <w:b/>
                <w:sz w:val="24"/>
                <w:szCs w:val="24"/>
                <w:lang w:val="en-US"/>
              </w:rPr>
              <w:t>号）相符性分析</w:t>
            </w:r>
          </w:p>
          <w:p>
            <w:pPr>
              <w:pStyle w:val="23"/>
              <w:spacing w:beforeLines="0"/>
              <w:ind w:left="44" w:leftChars="20" w:right="44" w:rightChars="20" w:firstLine="482" w:firstLineChars="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污染防治工作方案》要求：（一）加大产业结构调整力度（2）严格建设项目环境准入。提高VOCs排放重点行业环保准入门槛，严格控制新增污染物排放量。重点地区要严格限制石化、化工、包装印刷、工业涂装等高VOCs排放建设项目。新建涉VOCs排放的工业企业要入园区。新、改、扩建涉VOCs排放项目，应从源头加强控制，使用低（无）VOCs含量的原辅材料，加强废气收集，安装高效治理设施。</w:t>
            </w:r>
          </w:p>
          <w:p>
            <w:pPr>
              <w:pStyle w:val="23"/>
              <w:spacing w:beforeLines="0"/>
              <w:ind w:left="44" w:leftChars="20" w:right="44" w:rightChars="20" w:firstLine="482" w:firstLineChars="0"/>
              <w:jc w:val="both"/>
              <w:rPr>
                <w:rFonts w:hint="default" w:ascii="Times New Roman" w:hAnsi="Times New Roman" w:eastAsia="宋体" w:cs="Times New Roman"/>
                <w:sz w:val="24"/>
                <w:szCs w:val="24"/>
                <w:u w:val="none"/>
                <w:lang w:val="en-US"/>
              </w:rPr>
            </w:pPr>
            <w:r>
              <w:rPr>
                <w:rFonts w:hint="default" w:ascii="Times New Roman" w:hAnsi="Times New Roman" w:eastAsia="宋体" w:cs="Times New Roman"/>
                <w:sz w:val="24"/>
                <w:szCs w:val="24"/>
                <w:u w:val="none"/>
                <w:lang w:val="en-US"/>
              </w:rPr>
              <w:t>本项目位于</w:t>
            </w:r>
            <w:r>
              <w:rPr>
                <w:rFonts w:hint="default" w:ascii="Times New Roman" w:hAnsi="Times New Roman" w:eastAsia="宋体" w:cs="Times New Roman"/>
                <w:sz w:val="24"/>
                <w:szCs w:val="24"/>
                <w:u w:val="none"/>
                <w:lang w:val="en-US" w:eastAsia="zh-CN"/>
              </w:rPr>
              <w:t>双牌工业集中区创新创业园6栋（1-4层）</w:t>
            </w:r>
            <w:r>
              <w:rPr>
                <w:rFonts w:hint="default" w:ascii="Times New Roman" w:hAnsi="Times New Roman" w:eastAsia="宋体" w:cs="Times New Roman"/>
                <w:sz w:val="24"/>
                <w:szCs w:val="24"/>
                <w:u w:val="none"/>
                <w:lang w:val="en-US"/>
              </w:rPr>
              <w:t>，原辅材料使用了有机溶剂油漆，本项目</w:t>
            </w:r>
            <w:r>
              <w:rPr>
                <w:rFonts w:hint="default" w:ascii="Times New Roman" w:hAnsi="Times New Roman" w:eastAsia="宋体" w:cs="Times New Roman"/>
                <w:bCs/>
                <w:sz w:val="24"/>
                <w:szCs w:val="24"/>
                <w:u w:val="none"/>
                <w:lang w:val="en-US"/>
              </w:rPr>
              <w:t>直接购入油漆、稀释剂按一定比例已经调配好的油漆，不在厂区内调配</w:t>
            </w:r>
            <w:r>
              <w:rPr>
                <w:rFonts w:hint="default" w:ascii="Times New Roman" w:hAnsi="Times New Roman" w:eastAsia="宋体" w:cs="Times New Roman"/>
                <w:sz w:val="24"/>
                <w:szCs w:val="24"/>
                <w:u w:val="none"/>
                <w:lang w:val="en-US"/>
              </w:rPr>
              <w:t>，</w:t>
            </w:r>
            <w:ins w:id="0" w:author="呼呼" w:date="2023-01-18T10:38:06Z">
              <w:r>
                <w:rPr>
                  <w:rFonts w:hint="eastAsia" w:ascii="Times New Roman" w:hAnsi="Times New Roman" w:eastAsia="宋体" w:cs="Times New Roman"/>
                  <w:sz w:val="24"/>
                  <w:szCs w:val="24"/>
                  <w:u w:val="none"/>
                  <w:lang w:val="en-US" w:eastAsia="zh-CN"/>
                </w:rPr>
                <w:t>染色、喷漆</w:t>
              </w:r>
            </w:ins>
            <w:r>
              <w:rPr>
                <w:rFonts w:hint="default" w:ascii="Times New Roman" w:hAnsi="Times New Roman" w:eastAsia="宋体" w:cs="Times New Roman"/>
                <w:sz w:val="24"/>
                <w:szCs w:val="24"/>
                <w:u w:val="none"/>
                <w:lang w:val="en-US"/>
              </w:rPr>
              <w:t>、移印工序分别在夹膜喷</w:t>
            </w:r>
            <w:r>
              <w:rPr>
                <w:rFonts w:hint="eastAsia" w:ascii="Times New Roman" w:hAnsi="Times New Roman" w:eastAsia="宋体" w:cs="Times New Roman"/>
                <w:sz w:val="24"/>
                <w:szCs w:val="24"/>
                <w:u w:val="none"/>
                <w:lang w:val="en-US" w:eastAsia="zh-CN"/>
              </w:rPr>
              <w:t>漆房</w:t>
            </w:r>
            <w:r>
              <w:rPr>
                <w:rFonts w:hint="default" w:ascii="Times New Roman" w:hAnsi="Times New Roman" w:eastAsia="宋体" w:cs="Times New Roman"/>
                <w:sz w:val="24"/>
                <w:szCs w:val="24"/>
                <w:u w:val="none"/>
                <w:lang w:val="en-US"/>
              </w:rPr>
              <w:t>、移印机封闭空间内完成，每批物料在夹膜喷油柜、移印机里面完全固定在工艺品表面后再往后工序。夹膜喷油柜、移印机配备抽风系统进行集气，经引风机</w:t>
            </w:r>
            <w:r>
              <w:rPr>
                <w:rFonts w:hint="default" w:ascii="Times New Roman" w:hAnsi="Times New Roman" w:eastAsia="宋体" w:cs="Times New Roman"/>
                <w:sz w:val="24"/>
                <w:szCs w:val="24"/>
                <w:u w:val="none"/>
                <w:lang w:val="en-US" w:eastAsia="zh-CN"/>
              </w:rPr>
              <w:t>+活性炭吸附</w:t>
            </w:r>
            <w:r>
              <w:rPr>
                <w:rFonts w:hint="default" w:ascii="Times New Roman" w:hAnsi="Times New Roman" w:eastAsia="宋体" w:cs="Times New Roman"/>
                <w:sz w:val="24"/>
                <w:szCs w:val="24"/>
                <w:u w:val="none"/>
                <w:lang w:val="en-US"/>
              </w:rPr>
              <w:t>处理后，经</w:t>
            </w:r>
            <w:r>
              <w:rPr>
                <w:rFonts w:hint="eastAsia" w:ascii="Times New Roman" w:hAnsi="Times New Roman" w:eastAsia="宋体" w:cs="Times New Roman"/>
                <w:sz w:val="24"/>
                <w:szCs w:val="24"/>
                <w:u w:val="none"/>
                <w:lang w:val="en-US" w:eastAsia="zh-CN"/>
              </w:rPr>
              <w:t>20m(高于本栋四楼楼顶3m)</w:t>
            </w:r>
            <w:r>
              <w:rPr>
                <w:rFonts w:hint="default" w:ascii="Times New Roman" w:hAnsi="Times New Roman" w:eastAsia="宋体" w:cs="Times New Roman"/>
                <w:sz w:val="24"/>
                <w:szCs w:val="24"/>
                <w:u w:val="none"/>
                <w:lang w:val="en-US"/>
              </w:rPr>
              <w:t>排气筒高空有组织达标排放，废气能满足</w:t>
            </w:r>
            <w:r>
              <w:rPr>
                <w:rFonts w:hint="default" w:ascii="Times New Roman" w:hAnsi="Times New Roman" w:eastAsia="宋体" w:cs="Times New Roman"/>
                <w:bCs/>
                <w:sz w:val="24"/>
                <w:szCs w:val="24"/>
                <w:u w:val="none"/>
                <w:lang w:val="en-US"/>
              </w:rPr>
              <w:t>《湖南省家具制造行业挥发性有机物排放标准》（DB43/1355-2017）表1最高允许排放限值。本项目符合《“十三五”挥发性有机物污染防治工作方案》（环大气[2017]121号）的相关要求。</w:t>
            </w:r>
          </w:p>
          <w:p>
            <w:pPr>
              <w:pStyle w:val="23"/>
              <w:spacing w:beforeLines="0"/>
              <w:ind w:left="44" w:leftChars="20" w:right="44" w:rightChars="20" w:firstLine="48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五、</w:t>
            </w:r>
            <w:r>
              <w:rPr>
                <w:rFonts w:hint="default" w:ascii="Times New Roman" w:hAnsi="Times New Roman" w:eastAsia="宋体" w:cs="Times New Roman"/>
                <w:b/>
                <w:sz w:val="24"/>
                <w:szCs w:val="24"/>
                <w:lang w:val="en-US"/>
              </w:rPr>
              <w:t>与《挥发性有机物无组织排放控制标准》（</w:t>
            </w:r>
            <w:r>
              <w:rPr>
                <w:rFonts w:hint="default" w:ascii="Times New Roman" w:hAnsi="Times New Roman" w:eastAsia="宋体" w:cs="Times New Roman"/>
                <w:b/>
                <w:bCs/>
                <w:sz w:val="24"/>
                <w:szCs w:val="24"/>
                <w:lang w:val="en-US"/>
              </w:rPr>
              <w:t>GB37822-2019</w:t>
            </w:r>
            <w:r>
              <w:rPr>
                <w:rFonts w:hint="default" w:ascii="Times New Roman" w:hAnsi="Times New Roman" w:eastAsia="宋体" w:cs="Times New Roman"/>
                <w:b/>
                <w:sz w:val="24"/>
                <w:szCs w:val="24"/>
                <w:lang w:val="en-US"/>
              </w:rPr>
              <w:t>）相符性分析</w:t>
            </w:r>
          </w:p>
          <w:p>
            <w:pPr>
              <w:pStyle w:val="23"/>
              <w:spacing w:beforeLines="0"/>
              <w:ind w:left="44" w:leftChars="20" w:right="44" w:rightChars="20" w:firstLine="48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rPr>
              <w:t>VOCs物料应储存于密闭的容器、包装袋、储罐、储库、料仓内。盛装VOCs物料的容器或包装袋应存放于室内，或存放于设置有雨棚、遮阳和防渗设施的专用场地。盛装VOCs物料的容器或包装袋在非取用状态时应加盖、封口，保持密闭；企业应建立台账，记录含VOCs原辅材料和含VOCs产品的名称、使用量、回收量、废弃量去向以及VOCs含量等信息。台账保存期限不少于3年。</w:t>
            </w:r>
          </w:p>
          <w:p>
            <w:pPr>
              <w:pStyle w:val="23"/>
              <w:spacing w:beforeLines="0"/>
              <w:ind w:left="44" w:leftChars="20" w:right="44" w:rightChars="20" w:firstLine="482" w:firstLineChars="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本项目油漆等VOCs物料储存于密闭容器中</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且存放于室内</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在非取用状态下加盖保持密闭，</w:t>
            </w:r>
            <w:ins w:id="1" w:author="呼呼" w:date="2023-01-18T10:38:07Z">
              <w:r>
                <w:rPr>
                  <w:rFonts w:hint="eastAsia" w:ascii="Times New Roman" w:hAnsi="Times New Roman" w:eastAsia="宋体" w:cs="Times New Roman"/>
                  <w:sz w:val="24"/>
                  <w:szCs w:val="24"/>
                  <w:lang w:val="en-US" w:eastAsia="zh-CN"/>
                </w:rPr>
                <w:t>染色、喷漆</w:t>
              </w:r>
            </w:ins>
            <w:r>
              <w:rPr>
                <w:rFonts w:hint="default" w:ascii="Times New Roman" w:hAnsi="Times New Roman" w:eastAsia="宋体" w:cs="Times New Roman"/>
                <w:sz w:val="24"/>
                <w:szCs w:val="24"/>
                <w:lang w:val="en-US"/>
              </w:rPr>
              <w:t>、移印工序分别在夹膜喷油柜、移印机封闭空间内完成</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且设置抽风装置将其产生的废气排至废气处理系统，符合要求。本评价要求建设单位建立台账</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且台账保存期限不少于3年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故符合要求。</w:t>
            </w:r>
          </w:p>
          <w:p>
            <w:pPr>
              <w:pStyle w:val="23"/>
              <w:spacing w:beforeLines="0"/>
              <w:ind w:right="44" w:rightChars="20" w:firstLine="0" w:firstLineChars="0"/>
              <w:jc w:val="both"/>
              <w:rPr>
                <w:rFonts w:hint="default" w:ascii="Times New Roman" w:hAnsi="Times New Roman" w:eastAsia="宋体" w:cs="Times New Roman"/>
                <w:sz w:val="24"/>
                <w:szCs w:val="24"/>
              </w:rPr>
            </w:pPr>
          </w:p>
        </w:tc>
      </w:tr>
    </w:tbl>
    <w:p>
      <w:pPr>
        <w:jc w:val="center"/>
        <w:rPr>
          <w:sz w:val="21"/>
        </w:rPr>
        <w:sectPr>
          <w:footerReference r:id="rId3" w:type="default"/>
          <w:footerReference r:id="rId4" w:type="even"/>
          <w:pgSz w:w="11910" w:h="16840"/>
          <w:pgMar w:top="1580" w:right="1320" w:bottom="1240" w:left="1340" w:header="0" w:footer="1043" w:gutter="0"/>
          <w:pgNumType w:fmt="numberInDash" w:start="1"/>
          <w:cols w:space="720" w:num="1"/>
        </w:sectPr>
      </w:pPr>
    </w:p>
    <w:p>
      <w:pPr>
        <w:pStyle w:val="11"/>
        <w:spacing w:before="8"/>
        <w:rPr>
          <w:sz w:val="25"/>
        </w:rPr>
      </w:pPr>
    </w:p>
    <w:p>
      <w:pPr>
        <w:pStyle w:val="11"/>
        <w:spacing w:before="58"/>
        <w:ind w:left="635" w:right="653"/>
        <w:jc w:val="center"/>
        <w:outlineLvl w:val="0"/>
      </w:pPr>
      <w:r>
        <w:t>二、建设项目工程分析</w:t>
      </w:r>
    </w:p>
    <w:p>
      <w:pPr>
        <w:pStyle w:val="11"/>
        <w:spacing w:before="11" w:after="1"/>
        <w:rPr>
          <w:sz w:val="21"/>
        </w:rPr>
      </w:pPr>
    </w:p>
    <w:tbl>
      <w:tblPr>
        <w:tblStyle w:val="25"/>
        <w:tblW w:w="8984" w:type="dxa"/>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23"/>
        <w:gridCol w:w="81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80" w:hRule="atLeast"/>
        </w:trPr>
        <w:tc>
          <w:tcPr>
            <w:tcW w:w="823" w:type="dxa"/>
            <w:tcBorders>
              <w:bottom w:val="single" w:color="000000" w:sz="4" w:space="0"/>
              <w:right w:val="single" w:color="000000" w:sz="4" w:space="0"/>
            </w:tcBorders>
            <w:noWrap w:val="0"/>
            <w:vAlign w:val="center"/>
          </w:tcPr>
          <w:p>
            <w:pPr>
              <w:pStyle w:val="51"/>
              <w:jc w:val="center"/>
              <w:rPr>
                <w:rFonts w:hint="default" w:ascii="Times New Roman" w:hAnsi="Times New Roman" w:cs="Times New Roman"/>
                <w:sz w:val="21"/>
                <w:szCs w:val="21"/>
              </w:rPr>
            </w:pPr>
          </w:p>
          <w:p>
            <w:pPr>
              <w:pStyle w:val="51"/>
              <w:jc w:val="center"/>
              <w:rPr>
                <w:rFonts w:hint="default" w:ascii="Times New Roman" w:hAnsi="Times New Roman" w:cs="Times New Roman"/>
                <w:sz w:val="21"/>
                <w:szCs w:val="21"/>
              </w:rPr>
            </w:pPr>
          </w:p>
          <w:p>
            <w:pPr>
              <w:pStyle w:val="51"/>
              <w:jc w:val="center"/>
              <w:rPr>
                <w:rFonts w:hint="default" w:ascii="Times New Roman" w:hAnsi="Times New Roman" w:cs="Times New Roman"/>
                <w:sz w:val="21"/>
                <w:szCs w:val="21"/>
              </w:rPr>
            </w:pPr>
          </w:p>
          <w:p>
            <w:pPr>
              <w:pStyle w:val="51"/>
              <w:jc w:val="center"/>
              <w:rPr>
                <w:rFonts w:hint="default" w:ascii="Times New Roman" w:hAnsi="Times New Roman" w:cs="Times New Roman"/>
                <w:sz w:val="21"/>
                <w:szCs w:val="21"/>
              </w:rPr>
            </w:pPr>
          </w:p>
          <w:p>
            <w:pPr>
              <w:pStyle w:val="51"/>
              <w:jc w:val="center"/>
              <w:rPr>
                <w:rFonts w:hint="default" w:ascii="Times New Roman" w:hAnsi="Times New Roman" w:cs="Times New Roman"/>
                <w:sz w:val="21"/>
                <w:szCs w:val="21"/>
              </w:rPr>
            </w:pPr>
          </w:p>
          <w:p>
            <w:pPr>
              <w:pStyle w:val="51"/>
              <w:jc w:val="center"/>
              <w:rPr>
                <w:rFonts w:hint="default" w:ascii="Times New Roman" w:hAnsi="Times New Roman" w:cs="Times New Roman"/>
                <w:sz w:val="21"/>
                <w:szCs w:val="21"/>
              </w:rPr>
            </w:pPr>
          </w:p>
          <w:p>
            <w:pPr>
              <w:pStyle w:val="51"/>
              <w:jc w:val="center"/>
              <w:rPr>
                <w:rFonts w:hint="default" w:ascii="Times New Roman" w:hAnsi="Times New Roman" w:cs="Times New Roman"/>
                <w:sz w:val="21"/>
                <w:szCs w:val="21"/>
              </w:rPr>
            </w:pPr>
          </w:p>
          <w:p>
            <w:pPr>
              <w:pStyle w:val="51"/>
              <w:jc w:val="center"/>
              <w:rPr>
                <w:rFonts w:hint="default" w:ascii="Times New Roman" w:hAnsi="Times New Roman" w:cs="Times New Roman"/>
                <w:sz w:val="21"/>
                <w:szCs w:val="21"/>
              </w:rPr>
            </w:pPr>
          </w:p>
          <w:p>
            <w:pPr>
              <w:pStyle w:val="51"/>
              <w:spacing w:before="7"/>
              <w:jc w:val="center"/>
              <w:rPr>
                <w:rFonts w:hint="default" w:ascii="Times New Roman" w:hAnsi="Times New Roman" w:cs="Times New Roman"/>
                <w:sz w:val="21"/>
                <w:szCs w:val="21"/>
              </w:rPr>
            </w:pPr>
          </w:p>
          <w:p>
            <w:pPr>
              <w:pStyle w:val="51"/>
              <w:spacing w:line="242" w:lineRule="auto"/>
              <w:ind w:left="201" w:right="79"/>
              <w:jc w:val="center"/>
              <w:rPr>
                <w:rFonts w:hint="default" w:ascii="Times New Roman" w:hAnsi="Times New Roman" w:cs="Times New Roman"/>
                <w:sz w:val="21"/>
                <w:szCs w:val="21"/>
              </w:rPr>
            </w:pPr>
            <w:r>
              <w:rPr>
                <w:rFonts w:hint="default" w:ascii="Times New Roman" w:hAnsi="Times New Roman" w:cs="Times New Roman"/>
                <w:sz w:val="24"/>
                <w:szCs w:val="24"/>
              </w:rPr>
              <w:t>建设内容</w:t>
            </w:r>
          </w:p>
        </w:tc>
        <w:tc>
          <w:tcPr>
            <w:tcW w:w="8161" w:type="dxa"/>
            <w:tcBorders>
              <w:left w:val="single" w:color="000000" w:sz="4" w:space="0"/>
              <w:bottom w:val="single" w:color="000000" w:sz="4" w:space="0"/>
            </w:tcBorders>
            <w:noWrap w:val="0"/>
            <w:vAlign w:val="center"/>
          </w:tcPr>
          <w:p>
            <w:pPr>
              <w:pStyle w:val="23"/>
              <w:spacing w:beforeLines="0"/>
              <w:ind w:left="44" w:leftChars="20" w:right="44" w:rightChars="20" w:firstLine="0" w:firstLineChars="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1.工程内容及规模</w:t>
            </w:r>
          </w:p>
          <w:p>
            <w:pPr>
              <w:pStyle w:val="23"/>
              <w:spacing w:beforeLines="0"/>
              <w:ind w:left="44" w:leftChars="20" w:right="44" w:rightChars="20" w:firstLine="0" w:firstLineChars="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1.1项目由来</w:t>
            </w:r>
          </w:p>
          <w:p>
            <w:pPr>
              <w:pStyle w:val="23"/>
              <w:spacing w:beforeLines="0"/>
              <w:ind w:left="44" w:leftChars="20" w:right="44" w:rightChars="20" w:firstLine="420"/>
              <w:jc w:val="both"/>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lang w:val="en-US" w:eastAsia="zh-CN"/>
              </w:rPr>
              <w:t>湖南丰盛塑胶制品有限公司年产2000万件塑胶工艺品生产项目位于</w:t>
            </w:r>
            <w:r>
              <w:rPr>
                <w:rFonts w:hint="default" w:ascii="Times New Roman" w:hAnsi="Times New Roman" w:eastAsia="宋体" w:cs="Times New Roman"/>
                <w:sz w:val="24"/>
                <w:szCs w:val="24"/>
                <w:u w:val="none"/>
                <w:lang w:eastAsia="zh-CN"/>
              </w:rPr>
              <w:t>双牌工业集中区创新创业园6栋（1-4层），</w:t>
            </w:r>
            <w:r>
              <w:rPr>
                <w:rFonts w:hint="default" w:ascii="Times New Roman" w:hAnsi="Times New Roman" w:eastAsia="宋体" w:cs="Times New Roman"/>
                <w:sz w:val="24"/>
                <w:szCs w:val="24"/>
                <w:u w:val="none"/>
                <w:lang w:val="en-US" w:eastAsia="zh-CN"/>
              </w:rPr>
              <w:t>项目租用园区已建标准厂房作为生产厂场（4800平方米），购置</w:t>
            </w:r>
            <w:r>
              <w:rPr>
                <w:rFonts w:hint="default" w:ascii="Times New Roman" w:hAnsi="Times New Roman" w:eastAsia="宋体" w:cs="Times New Roman"/>
                <w:sz w:val="24"/>
                <w:szCs w:val="24"/>
                <w:u w:val="none"/>
                <w:lang w:eastAsia="zh-CN"/>
              </w:rPr>
              <w:t>注塑机、冲床、射骨机、定型机、搅拌机</w:t>
            </w:r>
            <w:r>
              <w:rPr>
                <w:rFonts w:hint="default" w:ascii="Times New Roman" w:hAnsi="Times New Roman" w:eastAsia="宋体" w:cs="Times New Roman"/>
                <w:sz w:val="24"/>
                <w:szCs w:val="24"/>
                <w:u w:val="none"/>
                <w:lang w:val="en-US" w:eastAsia="zh-CN"/>
              </w:rPr>
              <w:t>等生产设备，设计年产2000万件塑胶工艺品。</w:t>
            </w:r>
          </w:p>
          <w:p>
            <w:pPr>
              <w:pStyle w:val="23"/>
              <w:spacing w:beforeLines="0"/>
              <w:ind w:left="44" w:leftChars="20" w:right="44" w:rightChars="20" w:firstLine="420"/>
              <w:jc w:val="both"/>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lang w:eastAsia="zh-CN"/>
              </w:rPr>
              <w:t>根据《中华人民共和国环境影响评价法》、《建设项目环境保护管理条例》、《建设项目环境影响评价分类管理名录》（20</w:t>
            </w:r>
            <w:r>
              <w:rPr>
                <w:rFonts w:hint="default" w:ascii="Times New Roman" w:hAnsi="Times New Roman" w:eastAsia="宋体" w:cs="Times New Roman"/>
                <w:sz w:val="24"/>
                <w:szCs w:val="24"/>
                <w:u w:val="none"/>
                <w:lang w:val="en-US" w:eastAsia="zh-CN"/>
              </w:rPr>
              <w:t>21</w:t>
            </w:r>
            <w:r>
              <w:rPr>
                <w:rFonts w:hint="default" w:ascii="Times New Roman" w:hAnsi="Times New Roman" w:eastAsia="宋体" w:cs="Times New Roman"/>
                <w:sz w:val="24"/>
                <w:szCs w:val="24"/>
                <w:u w:val="none"/>
                <w:lang w:eastAsia="zh-CN"/>
              </w:rPr>
              <w:t>年</w:t>
            </w:r>
            <w:r>
              <w:rPr>
                <w:rFonts w:hint="default" w:ascii="Times New Roman" w:hAnsi="Times New Roman" w:eastAsia="宋体" w:cs="Times New Roman"/>
                <w:sz w:val="24"/>
                <w:szCs w:val="24"/>
                <w:u w:val="none"/>
                <w:lang w:val="en-US" w:eastAsia="zh-CN"/>
              </w:rPr>
              <w:t>1</w:t>
            </w:r>
            <w:r>
              <w:rPr>
                <w:rFonts w:hint="default" w:ascii="Times New Roman" w:hAnsi="Times New Roman" w:eastAsia="宋体" w:cs="Times New Roman"/>
                <w:sz w:val="24"/>
                <w:szCs w:val="24"/>
                <w:u w:val="none"/>
                <w:lang w:eastAsia="zh-CN"/>
              </w:rPr>
              <w:t>月1日施行）的有关规定，该项目属“</w:t>
            </w:r>
            <w:r>
              <w:rPr>
                <w:rFonts w:hint="default" w:ascii="Times New Roman" w:hAnsi="Times New Roman" w:eastAsia="宋体" w:cs="Times New Roman"/>
                <w:sz w:val="24"/>
                <w:szCs w:val="24"/>
                <w:u w:val="none"/>
                <w:lang w:val="en-US" w:eastAsia="zh-CN"/>
              </w:rPr>
              <w:t>二十一、文教、工美、体育和娱乐用品制造业</w:t>
            </w:r>
            <w:r>
              <w:rPr>
                <w:rFonts w:hint="eastAsia" w:ascii="Times New Roman" w:hAnsi="Times New Roman" w:eastAsia="宋体" w:cs="Times New Roman"/>
                <w:sz w:val="24"/>
                <w:szCs w:val="24"/>
                <w:u w:val="none"/>
                <w:lang w:val="en-US" w:eastAsia="zh-CN"/>
              </w:rPr>
              <w:t>”中“41工艺美术及礼仪用品制造”中的“其它</w:t>
            </w:r>
            <w:r>
              <w:rPr>
                <w:rFonts w:hint="default" w:ascii="Times New Roman" w:hAnsi="Times New Roman" w:eastAsia="宋体" w:cs="Times New Roman"/>
                <w:sz w:val="24"/>
                <w:szCs w:val="24"/>
                <w:u w:val="none"/>
                <w:lang w:eastAsia="zh-CN"/>
              </w:rPr>
              <w:t>”，</w:t>
            </w:r>
            <w:r>
              <w:rPr>
                <w:rFonts w:hint="default" w:ascii="Times New Roman" w:hAnsi="Times New Roman" w:eastAsia="宋体" w:cs="Times New Roman"/>
                <w:sz w:val="24"/>
                <w:szCs w:val="24"/>
                <w:u w:val="none"/>
                <w:lang w:val="en-US" w:eastAsia="zh-CN"/>
              </w:rPr>
              <w:t>项目须进行环境影响评价，编制环境影响报告表</w:t>
            </w:r>
            <w:r>
              <w:rPr>
                <w:rFonts w:hint="default" w:ascii="Times New Roman" w:hAnsi="Times New Roman" w:eastAsia="宋体" w:cs="Times New Roman"/>
                <w:sz w:val="24"/>
                <w:szCs w:val="24"/>
                <w:u w:val="none"/>
                <w:lang w:eastAsia="zh-CN"/>
              </w:rPr>
              <w:t>。为此，建设单位委托我公司承担“湖南丰盛塑胶制品有限公司年产2000万件塑胶工艺品生产项目”的环境影响评价工作。</w:t>
            </w:r>
            <w:r>
              <w:rPr>
                <w:rFonts w:hint="eastAsia" w:ascii="Times New Roman" w:hAnsi="Times New Roman" w:eastAsia="宋体" w:cs="Times New Roman"/>
                <w:sz w:val="24"/>
                <w:szCs w:val="24"/>
                <w:u w:val="none"/>
                <w:lang w:val="en-US" w:eastAsia="zh-CN"/>
              </w:rPr>
              <w:t>湖南绿清源环保科技有限公司</w:t>
            </w:r>
            <w:r>
              <w:rPr>
                <w:rFonts w:hint="default" w:ascii="Times New Roman" w:hAnsi="Times New Roman" w:eastAsia="宋体" w:cs="Times New Roman"/>
                <w:sz w:val="24"/>
                <w:szCs w:val="24"/>
                <w:u w:val="none"/>
                <w:lang w:val="en-US" w:eastAsia="zh-CN"/>
              </w:rPr>
              <w:t>接受委托后，立即组织技术人员进行现场踏勘，同时根据项目的工程特征和项目建设区域的环境状况，对项目环境影响因素进行了识别和筛选，在此基础上编制了本项目环境影响报告表，供建设单位上报审批。</w:t>
            </w:r>
          </w:p>
          <w:p>
            <w:pPr>
              <w:pStyle w:val="23"/>
              <w:spacing w:beforeLines="0"/>
              <w:ind w:left="44" w:leftChars="20" w:right="44" w:rightChars="20" w:firstLine="0" w:firstLineChars="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1.2工程概况</w:t>
            </w:r>
          </w:p>
          <w:p>
            <w:pPr>
              <w:pStyle w:val="23"/>
              <w:spacing w:beforeLines="0"/>
              <w:ind w:left="44" w:leftChars="20" w:right="44" w:rightChars="2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lang w:val="en-US"/>
              </w:rPr>
              <w:t>1</w:t>
            </w:r>
            <w:r>
              <w:rPr>
                <w:rFonts w:hint="default" w:ascii="Times New Roman" w:hAnsi="Times New Roman" w:eastAsia="宋体" w:cs="Times New Roman"/>
                <w:sz w:val="24"/>
                <w:szCs w:val="24"/>
              </w:rPr>
              <w:t>建设内容及规模</w:t>
            </w:r>
          </w:p>
          <w:p>
            <w:pPr>
              <w:pStyle w:val="23"/>
              <w:spacing w:beforeLines="0"/>
              <w:ind w:left="44" w:leftChars="20" w:right="44" w:rightChars="20" w:firstLine="420"/>
              <w:jc w:val="both"/>
              <w:rPr>
                <w:rFonts w:hint="default" w:ascii="Times New Roman" w:hAnsi="Times New Roman" w:eastAsia="宋体" w:cs="Times New Roman"/>
                <w:sz w:val="24"/>
                <w:szCs w:val="24"/>
                <w:u w:val="none"/>
                <w:lang w:val="en-US"/>
              </w:rPr>
            </w:pPr>
            <w:r>
              <w:rPr>
                <w:rFonts w:hint="default" w:ascii="Times New Roman" w:hAnsi="Times New Roman" w:eastAsia="宋体" w:cs="Times New Roman"/>
                <w:sz w:val="24"/>
                <w:szCs w:val="24"/>
                <w:u w:val="none"/>
                <w:lang w:eastAsia="zh-CN"/>
              </w:rPr>
              <w:t>湖南丰盛塑胶制品有限公司</w:t>
            </w:r>
            <w:r>
              <w:rPr>
                <w:rFonts w:hint="default" w:ascii="Times New Roman" w:hAnsi="Times New Roman" w:eastAsia="宋体" w:cs="Times New Roman"/>
                <w:sz w:val="24"/>
                <w:szCs w:val="24"/>
                <w:u w:val="none"/>
                <w:lang w:val="en-US"/>
              </w:rPr>
              <w:t>拟投资</w:t>
            </w:r>
            <w:r>
              <w:rPr>
                <w:rFonts w:hint="default" w:ascii="Times New Roman" w:hAnsi="Times New Roman" w:eastAsia="宋体" w:cs="Times New Roman"/>
                <w:sz w:val="24"/>
                <w:szCs w:val="24"/>
                <w:u w:val="none"/>
                <w:lang w:val="en-US" w:eastAsia="zh-CN"/>
              </w:rPr>
              <w:t>2000万</w:t>
            </w:r>
            <w:r>
              <w:rPr>
                <w:rFonts w:hint="default" w:ascii="Times New Roman" w:hAnsi="Times New Roman" w:eastAsia="宋体" w:cs="Times New Roman"/>
                <w:sz w:val="24"/>
                <w:szCs w:val="24"/>
                <w:u w:val="none"/>
                <w:lang w:val="en-US"/>
              </w:rPr>
              <w:t>元，在</w:t>
            </w:r>
            <w:r>
              <w:rPr>
                <w:rFonts w:hint="default" w:ascii="Times New Roman" w:hAnsi="Times New Roman" w:eastAsia="宋体" w:cs="Times New Roman"/>
                <w:kern w:val="0"/>
                <w:sz w:val="24"/>
                <w:szCs w:val="24"/>
                <w:highlight w:val="none"/>
                <w:u w:val="none"/>
                <w:lang w:eastAsia="zh-CN"/>
              </w:rPr>
              <w:t>双牌工业集中区创新创业园6栋</w:t>
            </w:r>
            <w:r>
              <w:rPr>
                <w:rFonts w:hint="default" w:ascii="Times New Roman" w:hAnsi="Times New Roman" w:eastAsia="宋体" w:cs="Times New Roman"/>
                <w:kern w:val="0"/>
                <w:sz w:val="24"/>
                <w:szCs w:val="24"/>
                <w:highlight w:val="none"/>
                <w:u w:val="none"/>
                <w:lang w:val="en-US" w:eastAsia="zh-CN"/>
              </w:rPr>
              <w:t>（1-4层）</w:t>
            </w:r>
            <w:r>
              <w:rPr>
                <w:rFonts w:hint="default" w:ascii="Times New Roman" w:hAnsi="Times New Roman" w:eastAsia="宋体" w:cs="Times New Roman"/>
                <w:sz w:val="24"/>
                <w:szCs w:val="24"/>
                <w:u w:val="none"/>
              </w:rPr>
              <w:t>建设</w:t>
            </w:r>
            <w:r>
              <w:rPr>
                <w:rFonts w:hint="default" w:ascii="Times New Roman" w:hAnsi="Times New Roman" w:eastAsia="宋体" w:cs="Times New Roman"/>
                <w:sz w:val="24"/>
                <w:szCs w:val="24"/>
                <w:u w:val="none"/>
                <w:lang w:eastAsia="zh-CN"/>
              </w:rPr>
              <w:t>湖南丰盛塑胶制品有限公司年产2000万件塑胶工艺品生产项目</w:t>
            </w:r>
            <w:r>
              <w:rPr>
                <w:rFonts w:hint="eastAsia" w:ascii="Times New Roman" w:hAnsi="Times New Roman" w:eastAsia="宋体" w:cs="Times New Roman"/>
                <w:sz w:val="24"/>
                <w:szCs w:val="24"/>
                <w:u w:val="none"/>
                <w:lang w:eastAsia="zh-CN"/>
              </w:rPr>
              <w:t>，</w:t>
            </w:r>
            <w:r>
              <w:rPr>
                <w:rFonts w:hint="eastAsia" w:ascii="Times New Roman" w:hAnsi="Times New Roman" w:eastAsia="宋体" w:cs="Times New Roman"/>
                <w:sz w:val="24"/>
                <w:szCs w:val="24"/>
                <w:u w:val="none"/>
                <w:lang w:val="en-US" w:eastAsia="zh-CN"/>
              </w:rPr>
              <w:t>主要产品为塑胶工艺品（如玩具、摆件、塑料装饰品等）</w:t>
            </w:r>
            <w:r>
              <w:rPr>
                <w:rFonts w:hint="default" w:ascii="Times New Roman" w:hAnsi="Times New Roman" w:eastAsia="宋体" w:cs="Times New Roman"/>
                <w:sz w:val="24"/>
                <w:szCs w:val="24"/>
                <w:u w:val="none"/>
                <w:lang w:val="en-US"/>
              </w:rPr>
              <w:t>，租赁工业园现有厂房</w:t>
            </w:r>
            <w:r>
              <w:rPr>
                <w:rFonts w:hint="default" w:ascii="Times New Roman" w:hAnsi="Times New Roman" w:eastAsia="宋体" w:cs="Times New Roman"/>
                <w:sz w:val="24"/>
                <w:szCs w:val="24"/>
                <w:u w:val="none"/>
                <w:lang w:val="en-US" w:eastAsia="zh-CN"/>
              </w:rPr>
              <w:t>进行生产，项目员工食宿依托园区的宿舍及餐厅</w:t>
            </w:r>
            <w:r>
              <w:rPr>
                <w:rFonts w:hint="default" w:ascii="Times New Roman" w:hAnsi="Times New Roman" w:eastAsia="宋体" w:cs="Times New Roman"/>
                <w:sz w:val="24"/>
                <w:szCs w:val="24"/>
                <w:u w:val="none"/>
                <w:lang w:val="en-US"/>
              </w:rPr>
              <w:t>，项目总建筑面积</w:t>
            </w:r>
            <w:r>
              <w:rPr>
                <w:rFonts w:hint="default" w:ascii="Times New Roman" w:hAnsi="Times New Roman" w:eastAsia="宋体" w:cs="Times New Roman"/>
                <w:sz w:val="24"/>
                <w:szCs w:val="24"/>
                <w:u w:val="none"/>
                <w:lang w:val="en-US" w:eastAsia="zh-CN"/>
              </w:rPr>
              <w:t>4800</w:t>
            </w:r>
            <w:r>
              <w:rPr>
                <w:rFonts w:hint="default" w:ascii="Times New Roman" w:hAnsi="Times New Roman" w:eastAsia="宋体" w:cs="Times New Roman"/>
                <w:sz w:val="24"/>
                <w:szCs w:val="24"/>
                <w:u w:val="none"/>
                <w:lang w:val="en-US"/>
              </w:rPr>
              <w:t>平方米，</w:t>
            </w:r>
            <w:r>
              <w:rPr>
                <w:rFonts w:hint="default" w:ascii="Times New Roman" w:hAnsi="Times New Roman" w:eastAsia="宋体" w:cs="Times New Roman"/>
                <w:sz w:val="24"/>
                <w:szCs w:val="24"/>
                <w:u w:val="none"/>
              </w:rPr>
              <w:t>具体建设内容详见下表。</w:t>
            </w:r>
          </w:p>
          <w:p>
            <w:pPr>
              <w:pStyle w:val="23"/>
              <w:spacing w:beforeLines="0"/>
              <w:ind w:left="44" w:leftChars="20" w:right="44" w:rightChars="20"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项目建设内容具体见表</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w:t>
            </w:r>
          </w:p>
          <w:p>
            <w:pPr>
              <w:pStyle w:val="23"/>
              <w:spacing w:beforeLines="0" w:line="240" w:lineRule="auto"/>
              <w:ind w:firstLine="0" w:firstLineChars="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表2-1主要建设内容及规模一览表</w:t>
            </w:r>
          </w:p>
          <w:tbl>
            <w:tblPr>
              <w:tblStyle w:val="25"/>
              <w:tblW w:w="77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664"/>
              <w:gridCol w:w="3737"/>
              <w:gridCol w:w="1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3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类别</w:t>
                  </w:r>
                </w:p>
              </w:tc>
              <w:tc>
                <w:tcPr>
                  <w:tcW w:w="1664" w:type="dxa"/>
                  <w:noWrap w:val="0"/>
                  <w:vAlign w:val="center"/>
                </w:tcPr>
                <w:p>
                  <w:pPr>
                    <w:spacing w:line="3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项目名称</w:t>
                  </w:r>
                </w:p>
              </w:tc>
              <w:tc>
                <w:tcPr>
                  <w:tcW w:w="3737" w:type="dxa"/>
                  <w:noWrap w:val="0"/>
                  <w:vAlign w:val="center"/>
                </w:tcPr>
                <w:p>
                  <w:pPr>
                    <w:spacing w:line="3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建设规模</w:t>
                  </w:r>
                </w:p>
              </w:tc>
              <w:tc>
                <w:tcPr>
                  <w:tcW w:w="1691" w:type="dxa"/>
                  <w:noWrap w:val="0"/>
                  <w:vAlign w:val="top"/>
                </w:tcPr>
                <w:p>
                  <w:pPr>
                    <w:spacing w:line="3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679" w:type="dxa"/>
                  <w:noWrap w:val="0"/>
                  <w:vAlign w:val="center"/>
                </w:tcPr>
                <w:p>
                  <w:pPr>
                    <w:spacing w:line="320" w:lineRule="exact"/>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主体工程</w:t>
                  </w:r>
                </w:p>
              </w:tc>
              <w:tc>
                <w:tcPr>
                  <w:tcW w:w="1664" w:type="dxa"/>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生产厂房</w:t>
                  </w:r>
                </w:p>
              </w:tc>
              <w:tc>
                <w:tcPr>
                  <w:tcW w:w="3737" w:type="dxa"/>
                  <w:noWrap w:val="0"/>
                  <w:vAlign w:val="center"/>
                </w:tcPr>
                <w:p>
                  <w:pPr>
                    <w:jc w:val="center"/>
                    <w:rPr>
                      <w:rFonts w:hint="default"/>
                      <w:lang w:val="en-US" w:eastAsia="zh-CN"/>
                    </w:rPr>
                  </w:pPr>
                  <w:r>
                    <w:rPr>
                      <w:rFonts w:hint="default"/>
                      <w:lang w:val="en-US" w:eastAsia="zh-CN"/>
                    </w:rPr>
                    <w:t>总</w:t>
                  </w:r>
                  <w:r>
                    <w:rPr>
                      <w:rFonts w:hint="default"/>
                    </w:rPr>
                    <w:t>建筑面积</w:t>
                  </w:r>
                  <w:r>
                    <w:rPr>
                      <w:rFonts w:hint="default"/>
                      <w:lang w:val="en-US" w:eastAsia="zh-CN"/>
                    </w:rPr>
                    <w:t>4800</w:t>
                  </w:r>
                  <w:r>
                    <w:rPr>
                      <w:rFonts w:hint="default"/>
                    </w:rPr>
                    <w:t>m2</w:t>
                  </w:r>
                  <w:r>
                    <w:rPr>
                      <w:rFonts w:hint="default"/>
                      <w:lang w:val="en-US" w:eastAsia="zh-CN"/>
                    </w:rPr>
                    <w:t>。</w:t>
                  </w:r>
                </w:p>
                <w:p>
                  <w:pPr>
                    <w:jc w:val="center"/>
                    <w:rPr>
                      <w:rFonts w:hint="default"/>
                      <w:lang w:eastAsia="zh-CN"/>
                    </w:rPr>
                  </w:pPr>
                  <w:r>
                    <w:rPr>
                      <w:rFonts w:hint="default"/>
                    </w:rPr>
                    <w:t>租用</w:t>
                  </w:r>
                  <w:r>
                    <w:rPr>
                      <w:rFonts w:hint="default"/>
                      <w:lang w:val="en-US" w:eastAsia="zh-CN"/>
                    </w:rPr>
                    <w:t>园区已建标准</w:t>
                  </w:r>
                  <w:r>
                    <w:rPr>
                      <w:rFonts w:hint="default"/>
                    </w:rPr>
                    <w:t>厂房</w:t>
                  </w:r>
                </w:p>
                <w:p>
                  <w:pPr>
                    <w:jc w:val="center"/>
                    <w:rPr>
                      <w:rFonts w:hint="default"/>
                      <w:lang w:eastAsia="zh-CN"/>
                    </w:rPr>
                  </w:pPr>
                  <w:r>
                    <w:rPr>
                      <w:rFonts w:hint="default"/>
                      <w:lang w:eastAsia="zh-CN"/>
                    </w:rPr>
                    <w:t>（共四层）</w:t>
                  </w:r>
                </w:p>
                <w:p>
                  <w:pPr>
                    <w:jc w:val="center"/>
                    <w:rPr>
                      <w:rFonts w:hint="default"/>
                    </w:rPr>
                  </w:pPr>
                </w:p>
                <w:p>
                  <w:pPr>
                    <w:pStyle w:val="2"/>
                    <w:rPr>
                      <w:rFonts w:hint="default"/>
                    </w:rPr>
                  </w:pPr>
                </w:p>
              </w:tc>
              <w:tc>
                <w:tcPr>
                  <w:tcW w:w="1691" w:type="dxa"/>
                  <w:noWrap w:val="0"/>
                  <w:vAlign w:val="center"/>
                </w:tcPr>
                <w:p>
                  <w:pPr>
                    <w:spacing w:line="320" w:lineRule="exact"/>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租用已建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9" w:type="dxa"/>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辅助工程</w:t>
                  </w:r>
                </w:p>
              </w:tc>
              <w:tc>
                <w:tcPr>
                  <w:tcW w:w="1664" w:type="dxa"/>
                  <w:noWrap w:val="0"/>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办公区</w:t>
                  </w:r>
                </w:p>
              </w:tc>
              <w:tc>
                <w:tcPr>
                  <w:tcW w:w="37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位于三楼，约200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1691" w:type="dxa"/>
                  <w:noWrap w:val="0"/>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Merge w:val="restart"/>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公用工程</w:t>
                  </w:r>
                </w:p>
              </w:tc>
              <w:tc>
                <w:tcPr>
                  <w:tcW w:w="1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供水</w:t>
                  </w:r>
                </w:p>
              </w:tc>
              <w:tc>
                <w:tcPr>
                  <w:tcW w:w="3737" w:type="dxa"/>
                  <w:noWrap w:val="0"/>
                  <w:vAlign w:val="center"/>
                </w:tcPr>
                <w:p>
                  <w:pPr>
                    <w:spacing w:line="320" w:lineRule="exact"/>
                    <w:jc w:val="center"/>
                    <w:rPr>
                      <w:rFonts w:hint="default" w:ascii="Times New Roman" w:hAnsi="Times New Roman" w:cs="Times New Roman"/>
                      <w:sz w:val="21"/>
                      <w:szCs w:val="21"/>
                      <w:lang w:val="en-US"/>
                    </w:rPr>
                  </w:pPr>
                  <w:r>
                    <w:rPr>
                      <w:rFonts w:hint="default" w:ascii="Times New Roman" w:hAnsi="Times New Roman" w:cs="Times New Roman"/>
                      <w:sz w:val="21"/>
                      <w:szCs w:val="21"/>
                    </w:rPr>
                    <w:t>由</w:t>
                  </w:r>
                  <w:r>
                    <w:rPr>
                      <w:rFonts w:hint="default" w:ascii="Times New Roman" w:hAnsi="Times New Roman" w:cs="Times New Roman"/>
                      <w:sz w:val="21"/>
                      <w:szCs w:val="21"/>
                      <w:lang w:val="en-US"/>
                    </w:rPr>
                    <w:t>园区自来水管网</w:t>
                  </w:r>
                  <w:r>
                    <w:rPr>
                      <w:rFonts w:hint="default" w:ascii="Times New Roman" w:hAnsi="Times New Roman" w:cs="Times New Roman"/>
                      <w:sz w:val="21"/>
                      <w:szCs w:val="21"/>
                    </w:rPr>
                    <w:t>供</w:t>
                  </w:r>
                  <w:r>
                    <w:rPr>
                      <w:rFonts w:hint="default" w:ascii="Times New Roman" w:hAnsi="Times New Roman" w:cs="Times New Roman"/>
                      <w:sz w:val="21"/>
                      <w:szCs w:val="21"/>
                      <w:lang w:val="en-US"/>
                    </w:rPr>
                    <w:t>应</w:t>
                  </w:r>
                </w:p>
              </w:tc>
              <w:tc>
                <w:tcPr>
                  <w:tcW w:w="1691" w:type="dxa"/>
                  <w:noWrap w:val="0"/>
                  <w:vAlign w:val="center"/>
                </w:tcPr>
                <w:p>
                  <w:pPr>
                    <w:spacing w:line="320" w:lineRule="exact"/>
                    <w:jc w:val="center"/>
                    <w:rPr>
                      <w:rFonts w:hint="default" w:ascii="Times New Roman" w:hAnsi="Times New Roman" w:cs="Times New Roman"/>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noWrap w:val="0"/>
                  <w:vAlign w:val="center"/>
                </w:tcPr>
                <w:p>
                  <w:pPr>
                    <w:spacing w:line="320" w:lineRule="exact"/>
                    <w:jc w:val="center"/>
                    <w:rPr>
                      <w:rFonts w:hint="default" w:ascii="Times New Roman" w:hAnsi="Times New Roman" w:cs="Times New Roman"/>
                      <w:sz w:val="21"/>
                      <w:szCs w:val="21"/>
                    </w:rPr>
                  </w:pPr>
                </w:p>
              </w:tc>
              <w:tc>
                <w:tcPr>
                  <w:tcW w:w="1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排水</w:t>
                  </w:r>
                </w:p>
              </w:tc>
              <w:tc>
                <w:tcPr>
                  <w:tcW w:w="3737" w:type="dxa"/>
                  <w:noWrap w:val="0"/>
                  <w:vAlign w:val="center"/>
                </w:tcPr>
                <w:p>
                  <w:pPr>
                    <w:spacing w:line="320" w:lineRule="exact"/>
                    <w:jc w:val="both"/>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生活废水经过化粪池处理达到三级排放标准后经园区管网进入</w:t>
                  </w:r>
                  <w:r>
                    <w:rPr>
                      <w:rFonts w:hint="default" w:ascii="Times New Roman" w:hAnsi="Times New Roman" w:cs="Times New Roman"/>
                      <w:sz w:val="21"/>
                      <w:szCs w:val="21"/>
                      <w:lang w:val="en-US" w:eastAsia="zh-CN"/>
                    </w:rPr>
                    <w:t>双牌县污水处理厂</w:t>
                  </w:r>
                  <w:r>
                    <w:rPr>
                      <w:rFonts w:hint="default" w:ascii="Times New Roman" w:hAnsi="Times New Roman" w:cs="Times New Roman"/>
                      <w:sz w:val="21"/>
                      <w:szCs w:val="21"/>
                    </w:rPr>
                    <w:t>处理后达标排放</w:t>
                  </w:r>
                  <w:r>
                    <w:rPr>
                      <w:rFonts w:hint="default" w:ascii="Times New Roman" w:hAnsi="Times New Roman" w:cs="Times New Roman"/>
                      <w:sz w:val="21"/>
                      <w:szCs w:val="21"/>
                      <w:lang w:eastAsia="zh-CN"/>
                    </w:rPr>
                    <w:t>。</w:t>
                  </w:r>
                </w:p>
              </w:tc>
              <w:tc>
                <w:tcPr>
                  <w:tcW w:w="1691" w:type="dxa"/>
                  <w:noWrap w:val="0"/>
                  <w:vAlign w:val="center"/>
                </w:tcPr>
                <w:p>
                  <w:pPr>
                    <w:spacing w:line="320" w:lineRule="exact"/>
                    <w:jc w:val="center"/>
                    <w:rPr>
                      <w:rFonts w:hint="default" w:ascii="Times New Roman" w:hAnsi="Times New Roman" w:cs="Times New Roman"/>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noWrap w:val="0"/>
                  <w:vAlign w:val="center"/>
                </w:tcPr>
                <w:p>
                  <w:pPr>
                    <w:spacing w:line="320" w:lineRule="exact"/>
                    <w:jc w:val="center"/>
                    <w:rPr>
                      <w:rFonts w:hint="default" w:ascii="Times New Roman" w:hAnsi="Times New Roman" w:cs="Times New Roman"/>
                      <w:sz w:val="21"/>
                      <w:szCs w:val="21"/>
                    </w:rPr>
                  </w:pPr>
                </w:p>
              </w:tc>
              <w:tc>
                <w:tcPr>
                  <w:tcW w:w="1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供电</w:t>
                  </w:r>
                </w:p>
              </w:tc>
              <w:tc>
                <w:tcPr>
                  <w:tcW w:w="3737" w:type="dxa"/>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由</w:t>
                  </w:r>
                  <w:r>
                    <w:rPr>
                      <w:rFonts w:hint="default" w:ascii="Times New Roman" w:hAnsi="Times New Roman" w:cs="Times New Roman"/>
                      <w:sz w:val="21"/>
                      <w:szCs w:val="21"/>
                      <w:lang w:val="en-US" w:eastAsia="zh-CN"/>
                    </w:rPr>
                    <w:t>园区电网</w:t>
                  </w:r>
                  <w:r>
                    <w:rPr>
                      <w:rFonts w:hint="default" w:ascii="Times New Roman" w:hAnsi="Times New Roman" w:cs="Times New Roman"/>
                      <w:sz w:val="21"/>
                      <w:szCs w:val="21"/>
                    </w:rPr>
                    <w:t>供电</w:t>
                  </w:r>
                </w:p>
              </w:tc>
              <w:tc>
                <w:tcPr>
                  <w:tcW w:w="1691" w:type="dxa"/>
                  <w:noWrap w:val="0"/>
                  <w:vAlign w:val="center"/>
                </w:tcPr>
                <w:p>
                  <w:pPr>
                    <w:spacing w:line="320" w:lineRule="exact"/>
                    <w:jc w:val="center"/>
                    <w:rPr>
                      <w:rFonts w:hint="default" w:ascii="Times New Roman" w:hAnsi="Times New Roman" w:cs="Times New Roman"/>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9" w:type="dxa"/>
                  <w:vMerge w:val="restart"/>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环保工</w:t>
                  </w:r>
                  <w:r>
                    <w:rPr>
                      <w:rFonts w:hint="default" w:ascii="Times New Roman" w:hAnsi="Times New Roman" w:cs="Times New Roman"/>
                      <w:sz w:val="21"/>
                      <w:szCs w:val="21"/>
                    </w:rPr>
                    <w:cr/>
                  </w:r>
                </w:p>
              </w:tc>
              <w:tc>
                <w:tcPr>
                  <w:tcW w:w="1664" w:type="dxa"/>
                  <w:noWrap w:val="0"/>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废水</w:t>
                  </w:r>
                </w:p>
              </w:tc>
              <w:tc>
                <w:tcPr>
                  <w:tcW w:w="3737" w:type="dxa"/>
                  <w:noWrap w:val="0"/>
                  <w:vAlign w:val="center"/>
                </w:tcPr>
                <w:p>
                  <w:pPr>
                    <w:spacing w:line="320" w:lineRule="exact"/>
                    <w:jc w:val="both"/>
                    <w:rPr>
                      <w:rFonts w:hint="default" w:ascii="Times New Roman" w:hAnsi="Times New Roman" w:cs="Times New Roman"/>
                      <w:sz w:val="21"/>
                      <w:szCs w:val="21"/>
                    </w:rPr>
                  </w:pPr>
                  <w:r>
                    <w:rPr>
                      <w:rFonts w:hint="default" w:ascii="Times New Roman" w:hAnsi="Times New Roman" w:cs="Times New Roman"/>
                      <w:sz w:val="21"/>
                      <w:szCs w:val="21"/>
                    </w:rPr>
                    <w:t>生活废水经过化粪池处理达到三级排放标准后经园区管网进入</w:t>
                  </w:r>
                  <w:r>
                    <w:rPr>
                      <w:rFonts w:hint="default" w:ascii="Times New Roman" w:hAnsi="Times New Roman" w:cs="Times New Roman"/>
                      <w:sz w:val="21"/>
                      <w:szCs w:val="21"/>
                      <w:lang w:val="en-US" w:eastAsia="zh-CN"/>
                    </w:rPr>
                    <w:t>双牌县污水处理厂</w:t>
                  </w:r>
                  <w:r>
                    <w:rPr>
                      <w:rFonts w:hint="default" w:ascii="Times New Roman" w:hAnsi="Times New Roman" w:cs="Times New Roman"/>
                      <w:sz w:val="21"/>
                      <w:szCs w:val="21"/>
                    </w:rPr>
                    <w:t>处理后达标排放</w:t>
                  </w:r>
                </w:p>
              </w:tc>
              <w:tc>
                <w:tcPr>
                  <w:tcW w:w="1691" w:type="dxa"/>
                  <w:noWrap w:val="0"/>
                  <w:vAlign w:val="center"/>
                </w:tcPr>
                <w:p>
                  <w:pPr>
                    <w:spacing w:line="320" w:lineRule="exact"/>
                    <w:jc w:val="center"/>
                    <w:rPr>
                      <w:rFonts w:hint="default" w:ascii="Times New Roman" w:hAnsi="Times New Roman" w:cs="Times New Roman"/>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9" w:type="dxa"/>
                  <w:vMerge w:val="continue"/>
                  <w:noWrap w:val="0"/>
                  <w:vAlign w:val="center"/>
                </w:tcPr>
                <w:p>
                  <w:pPr>
                    <w:spacing w:line="320" w:lineRule="exact"/>
                    <w:jc w:val="both"/>
                    <w:rPr>
                      <w:rFonts w:hint="default" w:ascii="Times New Roman" w:hAnsi="Times New Roman" w:cs="Times New Roman"/>
                      <w:sz w:val="21"/>
                      <w:szCs w:val="21"/>
                    </w:rPr>
                  </w:pPr>
                </w:p>
              </w:tc>
              <w:tc>
                <w:tcPr>
                  <w:tcW w:w="1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废气</w:t>
                  </w:r>
                </w:p>
              </w:tc>
              <w:tc>
                <w:tcPr>
                  <w:tcW w:w="3737" w:type="dxa"/>
                  <w:noWrap w:val="0"/>
                  <w:vAlign w:val="center"/>
                </w:tcPr>
                <w:p>
                  <w:pPr>
                    <w:spacing w:line="320" w:lineRule="exact"/>
                    <w:jc w:val="both"/>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14:textFill>
                        <w14:solidFill>
                          <w14:schemeClr w14:val="tx1"/>
                        </w14:solidFill>
                      </w14:textFill>
                    </w:rPr>
                    <w:t>注塑</w:t>
                  </w:r>
                  <w:r>
                    <w:rPr>
                      <w:rFonts w:hint="default" w:ascii="Times New Roman" w:hAnsi="Times New Roman" w:cs="Times New Roman"/>
                      <w:color w:val="000000" w:themeColor="text1"/>
                      <w:sz w:val="21"/>
                      <w:szCs w:val="21"/>
                      <w:lang w:eastAsia="zh-CN"/>
                      <w14:textFill>
                        <w14:solidFill>
                          <w14:schemeClr w14:val="tx1"/>
                        </w14:solidFill>
                      </w14:textFill>
                    </w:rPr>
                    <w:t>、</w:t>
                  </w:r>
                  <w:ins w:id="2" w:author="呼呼" w:date="2023-01-18T10:38:08Z">
                    <w:r>
                      <w:rPr>
                        <w:rFonts w:hint="eastAsia" w:ascii="Times New Roman" w:hAnsi="Times New Roman" w:cs="Times New Roman"/>
                        <w:bCs/>
                        <w:color w:val="000000" w:themeColor="text1"/>
                        <w:sz w:val="21"/>
                        <w:szCs w:val="21"/>
                        <w:lang w:val="en-US" w:eastAsia="zh-CN"/>
                        <w14:textFill>
                          <w14:solidFill>
                            <w14:schemeClr w14:val="tx1"/>
                          </w14:solidFill>
                        </w14:textFill>
                      </w:rPr>
                      <w:t>染色、喷漆</w:t>
                    </w:r>
                  </w:ins>
                  <w:r>
                    <w:rPr>
                      <w:rFonts w:hint="eastAsia" w:ascii="Times New Roman" w:hAnsi="Times New Roman" w:cs="Times New Roman"/>
                      <w:bCs/>
                      <w:color w:val="000000" w:themeColor="text1"/>
                      <w:sz w:val="21"/>
                      <w:szCs w:val="21"/>
                      <w:lang w:val="en-US" w:eastAsia="zh-CN"/>
                      <w14:textFill>
                        <w14:solidFill>
                          <w14:schemeClr w14:val="tx1"/>
                        </w14:solidFill>
                      </w14:textFill>
                    </w:rPr>
                    <w:t>、</w:t>
                  </w:r>
                  <w:r>
                    <w:rPr>
                      <w:rFonts w:hint="default" w:ascii="Times New Roman" w:hAnsi="Times New Roman" w:cs="Times New Roman"/>
                      <w:bCs/>
                      <w:sz w:val="21"/>
                      <w:szCs w:val="21"/>
                      <w:lang w:val="en-US"/>
                    </w:rPr>
                    <w:t>移印产生的有组织VOCs废气：</w:t>
                  </w:r>
                  <w:r>
                    <w:rPr>
                      <w:rFonts w:hint="eastAsia" w:ascii="Times New Roman" w:hAnsi="Times New Roman" w:cs="Times New Roman"/>
                      <w:bCs/>
                      <w:sz w:val="21"/>
                      <w:szCs w:val="21"/>
                      <w:lang w:val="en-US" w:eastAsia="zh-CN"/>
                    </w:rPr>
                    <w:t>由</w:t>
                  </w:r>
                  <w:r>
                    <w:rPr>
                      <w:rFonts w:hint="default" w:ascii="Times New Roman" w:hAnsi="Times New Roman" w:cs="Times New Roman"/>
                      <w:bCs/>
                      <w:sz w:val="21"/>
                      <w:szCs w:val="21"/>
                      <w:lang w:val="en-US"/>
                    </w:rPr>
                    <w:t>集气罩收集通过</w:t>
                  </w:r>
                  <w:r>
                    <w:rPr>
                      <w:rFonts w:hint="default" w:ascii="Times New Roman" w:hAnsi="Times New Roman" w:cs="Times New Roman"/>
                      <w:sz w:val="21"/>
                      <w:szCs w:val="21"/>
                      <w:lang w:val="en-US" w:eastAsia="zh-CN"/>
                    </w:rPr>
                    <w:t>活性炭吸附</w:t>
                  </w:r>
                  <w:r>
                    <w:rPr>
                      <w:rFonts w:hint="default" w:ascii="Times New Roman" w:hAnsi="Times New Roman" w:cs="Times New Roman"/>
                      <w:sz w:val="21"/>
                      <w:szCs w:val="21"/>
                      <w:lang w:val="en-US"/>
                    </w:rPr>
                    <w:t>处理</w:t>
                  </w:r>
                  <w:r>
                    <w:rPr>
                      <w:rFonts w:hint="eastAsia" w:ascii="Times New Roman" w:hAnsi="Times New Roman" w:cs="Times New Roman"/>
                      <w:sz w:val="21"/>
                      <w:szCs w:val="21"/>
                      <w:lang w:val="en-US" w:eastAsia="zh-CN"/>
                    </w:rPr>
                    <w:t>后经20m(高于本栋四楼楼顶3m)</w:t>
                  </w:r>
                  <w:r>
                    <w:rPr>
                      <w:rFonts w:hint="default" w:ascii="Times New Roman" w:hAnsi="Times New Roman" w:cs="Times New Roman"/>
                      <w:sz w:val="21"/>
                      <w:szCs w:val="21"/>
                      <w:lang w:val="en-US"/>
                    </w:rPr>
                    <w:t>排气筒排放。</w:t>
                  </w:r>
                </w:p>
                <w:p>
                  <w:pPr>
                    <w:spacing w:line="320" w:lineRule="exact"/>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无组织VOCs、粉尘：加强车间通风。</w:t>
                  </w:r>
                </w:p>
              </w:tc>
              <w:tc>
                <w:tcPr>
                  <w:tcW w:w="1691" w:type="dxa"/>
                  <w:noWrap w:val="0"/>
                  <w:vAlign w:val="center"/>
                </w:tcPr>
                <w:p>
                  <w:pPr>
                    <w:spacing w:line="320" w:lineRule="exact"/>
                    <w:jc w:val="center"/>
                    <w:rPr>
                      <w:rFonts w:hint="default" w:ascii="Times New Roman" w:hAnsi="Times New Roman" w:cs="Times New Roman"/>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noWrap w:val="0"/>
                  <w:vAlign w:val="center"/>
                </w:tcPr>
                <w:p>
                  <w:pPr>
                    <w:spacing w:line="320" w:lineRule="exact"/>
                    <w:jc w:val="both"/>
                    <w:rPr>
                      <w:rFonts w:hint="default" w:ascii="Times New Roman" w:hAnsi="Times New Roman" w:cs="Times New Roman"/>
                      <w:color w:val="FF0000"/>
                      <w:sz w:val="21"/>
                      <w:szCs w:val="21"/>
                    </w:rPr>
                  </w:pPr>
                </w:p>
              </w:tc>
              <w:tc>
                <w:tcPr>
                  <w:tcW w:w="1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3737" w:type="dxa"/>
                  <w:noWrap w:val="0"/>
                  <w:vAlign w:val="center"/>
                </w:tcPr>
                <w:p>
                  <w:pPr>
                    <w:spacing w:line="320" w:lineRule="exact"/>
                    <w:jc w:val="both"/>
                    <w:rPr>
                      <w:rFonts w:hint="default" w:ascii="Times New Roman" w:hAnsi="Times New Roman" w:cs="Times New Roman"/>
                      <w:sz w:val="21"/>
                      <w:szCs w:val="21"/>
                    </w:rPr>
                  </w:pPr>
                  <w:r>
                    <w:rPr>
                      <w:rFonts w:hint="default" w:ascii="Times New Roman" w:hAnsi="Times New Roman" w:cs="Times New Roman"/>
                      <w:sz w:val="21"/>
                      <w:szCs w:val="21"/>
                      <w:lang w:val="en-US"/>
                    </w:rPr>
                    <w:t>选用低噪设备，合理布局，噪声设备采取基础减振、隔声等降噪措施。</w:t>
                  </w:r>
                </w:p>
              </w:tc>
              <w:tc>
                <w:tcPr>
                  <w:tcW w:w="1691" w:type="dxa"/>
                  <w:noWrap w:val="0"/>
                  <w:vAlign w:val="center"/>
                </w:tcPr>
                <w:p>
                  <w:pPr>
                    <w:spacing w:line="320" w:lineRule="exact"/>
                    <w:jc w:val="center"/>
                    <w:rPr>
                      <w:rFonts w:hint="default" w:ascii="Times New Roman" w:hAnsi="Times New Roman" w:cs="Times New Roman"/>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noWrap w:val="0"/>
                  <w:vAlign w:val="center"/>
                </w:tcPr>
                <w:p>
                  <w:pPr>
                    <w:spacing w:line="320" w:lineRule="exact"/>
                    <w:jc w:val="both"/>
                    <w:rPr>
                      <w:rFonts w:hint="default" w:ascii="Times New Roman" w:hAnsi="Times New Roman" w:cs="Times New Roman"/>
                      <w:color w:val="FF0000"/>
                      <w:sz w:val="21"/>
                      <w:szCs w:val="21"/>
                    </w:rPr>
                  </w:pPr>
                </w:p>
              </w:tc>
              <w:tc>
                <w:tcPr>
                  <w:tcW w:w="1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固废</w:t>
                  </w:r>
                </w:p>
              </w:tc>
              <w:tc>
                <w:tcPr>
                  <w:tcW w:w="3737" w:type="dxa"/>
                  <w:noWrap w:val="0"/>
                  <w:vAlign w:val="center"/>
                </w:tcPr>
                <w:p>
                  <w:pPr>
                    <w:spacing w:line="320" w:lineRule="exact"/>
                    <w:jc w:val="both"/>
                    <w:rPr>
                      <w:rFonts w:hint="default" w:ascii="Times New Roman" w:hAnsi="Times New Roman" w:cs="Times New Roman"/>
                      <w:sz w:val="21"/>
                      <w:szCs w:val="21"/>
                      <w:u w:val="none"/>
                    </w:rPr>
                  </w:pPr>
                  <w:r>
                    <w:rPr>
                      <w:rFonts w:hint="default" w:ascii="Times New Roman" w:hAnsi="Times New Roman" w:cs="Times New Roman"/>
                      <w:sz w:val="21"/>
                      <w:szCs w:val="21"/>
                      <w:u w:val="none"/>
                    </w:rPr>
                    <w:t>生活垃圾：收集装置</w:t>
                  </w:r>
                </w:p>
                <w:p>
                  <w:pPr>
                    <w:spacing w:line="320" w:lineRule="exact"/>
                    <w:jc w:val="both"/>
                    <w:rPr>
                      <w:rFonts w:hint="default" w:ascii="Times New Roman" w:hAnsi="Times New Roman" w:cs="Times New Roman"/>
                      <w:sz w:val="21"/>
                      <w:szCs w:val="21"/>
                      <w:u w:val="none"/>
                    </w:rPr>
                  </w:pPr>
                  <w:r>
                    <w:rPr>
                      <w:rFonts w:hint="default" w:ascii="Times New Roman" w:hAnsi="Times New Roman" w:cs="Times New Roman"/>
                      <w:sz w:val="21"/>
                      <w:szCs w:val="21"/>
                      <w:u w:val="none"/>
                    </w:rPr>
                    <w:t>质检过程产生的废次品：一般固废暂存间</w:t>
                  </w:r>
                </w:p>
                <w:p>
                  <w:pPr>
                    <w:spacing w:line="320" w:lineRule="exact"/>
                    <w:jc w:val="both"/>
                    <w:rPr>
                      <w:rFonts w:hint="default" w:ascii="Times New Roman" w:hAnsi="Times New Roman" w:cs="Times New Roman"/>
                      <w:sz w:val="21"/>
                      <w:szCs w:val="21"/>
                    </w:rPr>
                  </w:pPr>
                  <w:r>
                    <w:rPr>
                      <w:rFonts w:hint="default" w:ascii="Times New Roman" w:hAnsi="Times New Roman" w:cs="Times New Roman"/>
                      <w:sz w:val="21"/>
                      <w:szCs w:val="21"/>
                      <w:u w:val="none"/>
                    </w:rPr>
                    <w:t>危险废物：危险废物暂存间</w:t>
                  </w:r>
                  <w:r>
                    <w:rPr>
                      <w:rFonts w:hint="default" w:ascii="Times New Roman" w:hAnsi="Times New Roman" w:cs="Times New Roman"/>
                      <w:sz w:val="21"/>
                      <w:szCs w:val="21"/>
                      <w:lang w:eastAsia="zh-CN"/>
                    </w:rPr>
                    <w:t>（20m</w:t>
                  </w:r>
                  <w:r>
                    <w:rPr>
                      <w:rFonts w:hint="default" w:ascii="Times New Roman" w:hAnsi="Times New Roman" w:cs="Times New Roman"/>
                      <w:sz w:val="21"/>
                      <w:szCs w:val="21"/>
                      <w:vertAlign w:val="superscript"/>
                      <w:lang w:eastAsia="zh-CN"/>
                    </w:rPr>
                    <w:t>2</w:t>
                  </w:r>
                  <w:r>
                    <w:rPr>
                      <w:rFonts w:hint="default" w:ascii="Times New Roman" w:hAnsi="Times New Roman" w:cs="Times New Roman"/>
                      <w:sz w:val="21"/>
                      <w:szCs w:val="21"/>
                      <w:lang w:eastAsia="zh-CN"/>
                    </w:rPr>
                    <w:t>）</w:t>
                  </w:r>
                </w:p>
              </w:tc>
              <w:tc>
                <w:tcPr>
                  <w:tcW w:w="1691" w:type="dxa"/>
                  <w:noWrap w:val="0"/>
                  <w:vAlign w:val="center"/>
                </w:tcPr>
                <w:p>
                  <w:pPr>
                    <w:spacing w:line="320" w:lineRule="exact"/>
                    <w:jc w:val="center"/>
                    <w:rPr>
                      <w:rFonts w:hint="default" w:ascii="Times New Roman" w:hAnsi="Times New Roman" w:cs="Times New Roman"/>
                      <w:sz w:val="21"/>
                      <w:szCs w:val="21"/>
                      <w:lang w:val="en-US"/>
                    </w:rPr>
                  </w:pPr>
                </w:p>
              </w:tc>
            </w:tr>
          </w:tbl>
          <w:p>
            <w:pPr>
              <w:pStyle w:val="23"/>
              <w:spacing w:beforeLines="0"/>
              <w:ind w:left="44" w:leftChars="20" w:right="44" w:rightChars="20" w:firstLine="0" w:firstLineChars="0"/>
              <w:jc w:val="both"/>
              <w:rPr>
                <w:rFonts w:hint="default" w:ascii="Times New Roman" w:hAnsi="Times New Roman" w:eastAsia="宋体" w:cs="Times New Roman"/>
                <w:sz w:val="21"/>
                <w:szCs w:val="21"/>
              </w:rPr>
            </w:pPr>
          </w:p>
          <w:p>
            <w:pPr>
              <w:pStyle w:val="23"/>
              <w:spacing w:beforeLines="0"/>
              <w:ind w:left="44" w:leftChars="20" w:right="44" w:rightChars="2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lang w:val="en-US"/>
              </w:rPr>
              <w:t>2</w:t>
            </w:r>
            <w:r>
              <w:rPr>
                <w:rFonts w:hint="default" w:ascii="Times New Roman" w:hAnsi="Times New Roman" w:eastAsia="宋体" w:cs="Times New Roman"/>
                <w:sz w:val="24"/>
                <w:szCs w:val="24"/>
              </w:rPr>
              <w:t>主要设备</w:t>
            </w:r>
          </w:p>
          <w:p>
            <w:pPr>
              <w:pStyle w:val="23"/>
              <w:spacing w:beforeLines="0"/>
              <w:ind w:left="44" w:leftChars="20" w:right="44" w:rightChars="20" w:firstLine="42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本项目主要设备详见表2-2。</w:t>
            </w:r>
          </w:p>
          <w:p>
            <w:pPr>
              <w:pStyle w:val="23"/>
              <w:spacing w:beforeLines="0" w:line="240" w:lineRule="auto"/>
              <w:ind w:firstLine="0" w:firstLineChars="0"/>
              <w:jc w:val="center"/>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u w:val="single"/>
              </w:rPr>
              <w:t>表2-2项目主要设备一览表</w:t>
            </w:r>
          </w:p>
          <w:tbl>
            <w:tblPr>
              <w:tblStyle w:val="25"/>
              <w:tblW w:w="78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2416"/>
              <w:gridCol w:w="2477"/>
              <w:gridCol w:w="1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adjustRightInd w:val="0"/>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序号</w:t>
                  </w:r>
                </w:p>
              </w:tc>
              <w:tc>
                <w:tcPr>
                  <w:tcW w:w="2416" w:type="dxa"/>
                  <w:noWrap w:val="0"/>
                  <w:vAlign w:val="center"/>
                </w:tcPr>
                <w:p>
                  <w:pPr>
                    <w:adjustRightInd w:val="0"/>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设备名称</w:t>
                  </w:r>
                </w:p>
              </w:tc>
              <w:tc>
                <w:tcPr>
                  <w:tcW w:w="2477" w:type="dxa"/>
                  <w:noWrap w:val="0"/>
                  <w:vAlign w:val="center"/>
                </w:tcPr>
                <w:p>
                  <w:pPr>
                    <w:adjustRightInd w:val="0"/>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数量（台、套</w:t>
                  </w:r>
                </w:p>
              </w:tc>
              <w:tc>
                <w:tcPr>
                  <w:tcW w:w="1920" w:type="dxa"/>
                  <w:noWrap w:val="0"/>
                  <w:vAlign w:val="center"/>
                </w:tcPr>
                <w:p>
                  <w:pPr>
                    <w:adjustRightInd w:val="0"/>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1</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注塑机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eastAsia="zh-CN"/>
                    </w:rPr>
                  </w:pPr>
                  <w:r>
                    <w:rPr>
                      <w:rFonts w:hint="default" w:ascii="Times New Roman" w:hAnsi="Times New Roman" w:cs="Times New Roman"/>
                      <w:sz w:val="21"/>
                      <w:szCs w:val="21"/>
                      <w:u w:val="single"/>
                      <w:lang w:val="en-US" w:eastAsia="zh-CN"/>
                    </w:rPr>
                    <w:t>2</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120吨1台、160吨1台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2</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全自动啤机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5</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JS-132S-4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3</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冲床</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3C3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4</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射骨机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3</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SC63200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5</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定型机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4</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32C32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6</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拔果机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0.75KW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7</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拌胶机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Y132S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8</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混料机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1</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Y90S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9</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粉料机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1</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PC-250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10</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空压机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Y-160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11</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搅拌机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5.5kw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12</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抽湿机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2</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AS-480D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widowControl/>
                    <w:spacing w:line="20" w:lineRule="atLeast"/>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13</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手捲机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4</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Y3L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adjustRightInd w:val="0"/>
                    <w:snapToGrid w:val="0"/>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14</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移印机</w:t>
                  </w:r>
                </w:p>
              </w:tc>
              <w:tc>
                <w:tcPr>
                  <w:tcW w:w="2477" w:type="dxa"/>
                  <w:noWrap w:val="0"/>
                  <w:vAlign w:val="center"/>
                </w:tcPr>
                <w:p>
                  <w:pPr>
                    <w:widowControl/>
                    <w:spacing w:line="20" w:lineRule="atLeast"/>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20</w:t>
                  </w:r>
                </w:p>
              </w:tc>
              <w:tc>
                <w:tcPr>
                  <w:tcW w:w="1920" w:type="dxa"/>
                  <w:noWrap w:val="0"/>
                  <w:vAlign w:val="center"/>
                </w:tcPr>
                <w:p>
                  <w:pPr>
                    <w:widowControl/>
                    <w:spacing w:line="20" w:lineRule="atLeas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adjustRightInd w:val="0"/>
                    <w:snapToGrid w:val="0"/>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w:t>
                  </w:r>
                  <w:r>
                    <w:rPr>
                      <w:rFonts w:hint="default" w:ascii="Times New Roman" w:hAnsi="Times New Roman" w:cs="Times New Roman"/>
                      <w:sz w:val="21"/>
                      <w:szCs w:val="21"/>
                      <w:u w:val="single"/>
                    </w:rPr>
                    <w:t>5</w:t>
                  </w:r>
                </w:p>
              </w:tc>
              <w:tc>
                <w:tcPr>
                  <w:tcW w:w="2416" w:type="dxa"/>
                  <w:noWrap w:val="0"/>
                  <w:vAlign w:val="center"/>
                </w:tcPr>
                <w:p>
                  <w:pPr>
                    <w:widowControl/>
                    <w:spacing w:line="20" w:lineRule="atLeast"/>
                    <w:jc w:val="center"/>
                    <w:rPr>
                      <w:rFonts w:hint="eastAsia"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rPr>
                    <w:t>喷油</w:t>
                  </w:r>
                  <w:r>
                    <w:rPr>
                      <w:rFonts w:hint="eastAsia" w:ascii="Times New Roman" w:hAnsi="Times New Roman" w:cs="Times New Roman"/>
                      <w:sz w:val="21"/>
                      <w:szCs w:val="21"/>
                      <w:u w:val="single"/>
                      <w:lang w:val="en-US" w:eastAsia="zh-CN"/>
                    </w:rPr>
                    <w:t>柜</w:t>
                  </w:r>
                </w:p>
              </w:tc>
              <w:tc>
                <w:tcPr>
                  <w:tcW w:w="2477" w:type="dxa"/>
                  <w:noWrap w:val="0"/>
                  <w:vAlign w:val="center"/>
                </w:tcPr>
                <w:p>
                  <w:pPr>
                    <w:widowControl/>
                    <w:spacing w:line="20" w:lineRule="atLeast"/>
                    <w:jc w:val="center"/>
                    <w:rPr>
                      <w:rFonts w:hint="eastAsia" w:ascii="Times New Roman" w:hAnsi="Times New Roman" w:eastAsia="宋体" w:cs="Times New Roman"/>
                      <w:sz w:val="21"/>
                      <w:szCs w:val="21"/>
                      <w:u w:val="single"/>
                      <w:lang w:eastAsia="zh-CN"/>
                    </w:rPr>
                  </w:pPr>
                  <w:r>
                    <w:rPr>
                      <w:rFonts w:hint="eastAsia" w:ascii="Times New Roman" w:hAnsi="Times New Roman" w:cs="Times New Roman"/>
                      <w:sz w:val="21"/>
                      <w:szCs w:val="21"/>
                      <w:u w:val="single"/>
                      <w:lang w:val="en-US" w:eastAsia="zh-CN"/>
                    </w:rPr>
                    <w:t>4</w:t>
                  </w:r>
                </w:p>
              </w:tc>
              <w:tc>
                <w:tcPr>
                  <w:tcW w:w="1920" w:type="dxa"/>
                  <w:noWrap w:val="0"/>
                  <w:vAlign w:val="center"/>
                </w:tcPr>
                <w:p>
                  <w:pPr>
                    <w:widowControl/>
                    <w:spacing w:line="20" w:lineRule="atLeast"/>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WQCO-15-1.1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65" w:type="dxa"/>
                  <w:noWrap w:val="0"/>
                  <w:vAlign w:val="center"/>
                </w:tcPr>
                <w:p>
                  <w:pPr>
                    <w:adjustRightInd w:val="0"/>
                    <w:snapToGrid w:val="0"/>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16</w:t>
                  </w:r>
                </w:p>
              </w:tc>
              <w:tc>
                <w:tcPr>
                  <w:tcW w:w="2416" w:type="dxa"/>
                  <w:noWrap w:val="0"/>
                  <w:vAlign w:val="center"/>
                </w:tcPr>
                <w:p>
                  <w:pPr>
                    <w:widowControl/>
                    <w:spacing w:line="20" w:lineRule="atLeas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装配车间</w:t>
                  </w:r>
                </w:p>
              </w:tc>
              <w:tc>
                <w:tcPr>
                  <w:tcW w:w="2477" w:type="dxa"/>
                  <w:noWrap w:val="0"/>
                  <w:vAlign w:val="center"/>
                </w:tcPr>
                <w:p>
                  <w:pPr>
                    <w:spacing w:line="20" w:lineRule="atLeas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1</w:t>
                  </w:r>
                </w:p>
              </w:tc>
              <w:tc>
                <w:tcPr>
                  <w:tcW w:w="1920" w:type="dxa"/>
                  <w:noWrap w:val="0"/>
                  <w:vAlign w:val="center"/>
                </w:tcPr>
                <w:p>
                  <w:pPr>
                    <w:adjustRightInd w:val="0"/>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065" w:type="dxa"/>
                  <w:noWrap w:val="0"/>
                  <w:vAlign w:val="center"/>
                </w:tcPr>
                <w:p>
                  <w:pPr>
                    <w:adjustRightInd w:val="0"/>
                    <w:snapToGrid w:val="0"/>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17</w:t>
                  </w:r>
                </w:p>
              </w:tc>
              <w:tc>
                <w:tcPr>
                  <w:tcW w:w="2416" w:type="dxa"/>
                  <w:noWrap w:val="0"/>
                  <w:vAlign w:val="center"/>
                </w:tcPr>
                <w:p>
                  <w:pPr>
                    <w:spacing w:line="20" w:lineRule="atLeas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装配流水线</w:t>
                  </w:r>
                </w:p>
              </w:tc>
              <w:tc>
                <w:tcPr>
                  <w:tcW w:w="2477" w:type="dxa"/>
                  <w:noWrap w:val="0"/>
                  <w:vAlign w:val="center"/>
                </w:tcPr>
                <w:p>
                  <w:pPr>
                    <w:spacing w:line="20" w:lineRule="atLeas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4</w:t>
                  </w:r>
                </w:p>
              </w:tc>
              <w:tc>
                <w:tcPr>
                  <w:tcW w:w="1920" w:type="dxa"/>
                  <w:noWrap w:val="0"/>
                  <w:vAlign w:val="center"/>
                </w:tcPr>
                <w:p>
                  <w:pPr>
                    <w:adjustRightInd w:val="0"/>
                    <w:snapToGrid w:val="0"/>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GH32</w:t>
                  </w:r>
                </w:p>
              </w:tc>
            </w:tr>
          </w:tbl>
          <w:p>
            <w:pPr>
              <w:pStyle w:val="23"/>
              <w:ind w:left="40" w:right="51" w:firstLine="480"/>
              <w:rPr>
                <w:rFonts w:hint="eastAsia" w:ascii="宋体" w:hAnsi="宋体" w:eastAsia="宋体" w:cs="宋体"/>
                <w:b w:val="0"/>
                <w:bCs w:val="0"/>
                <w:szCs w:val="24"/>
                <w:u w:val="single"/>
                <w:lang w:val="en-US" w:eastAsia="zh-CN"/>
              </w:rPr>
            </w:pPr>
            <w:r>
              <w:rPr>
                <w:rFonts w:hint="eastAsia" w:ascii="宋体" w:hAnsi="宋体" w:eastAsia="宋体" w:cs="宋体"/>
                <w:b w:val="0"/>
                <w:bCs w:val="0"/>
                <w:szCs w:val="24"/>
                <w:u w:val="single"/>
                <w:lang w:val="en-US" w:eastAsia="zh-CN"/>
              </w:rPr>
              <w:t>注：本项目生产设置均不属于</w:t>
            </w:r>
            <w:r>
              <w:rPr>
                <w:rFonts w:hint="eastAsia" w:ascii="宋体" w:hAnsi="宋体" w:eastAsia="宋体" w:cs="宋体"/>
                <w:b w:val="0"/>
                <w:bCs w:val="0"/>
                <w:szCs w:val="24"/>
                <w:u w:val="single"/>
              </w:rPr>
              <w:t>淘汰落后</w:t>
            </w:r>
            <w:r>
              <w:rPr>
                <w:rFonts w:hint="eastAsia" w:ascii="宋体" w:hAnsi="宋体" w:eastAsia="宋体" w:cs="宋体"/>
                <w:b w:val="0"/>
                <w:bCs w:val="0"/>
                <w:szCs w:val="24"/>
                <w:u w:val="single"/>
                <w:lang w:val="en-US" w:eastAsia="zh-CN"/>
              </w:rPr>
              <w:t>设备。</w:t>
            </w:r>
          </w:p>
          <w:p>
            <w:pPr>
              <w:pStyle w:val="23"/>
              <w:spacing w:beforeLines="0"/>
              <w:ind w:firstLine="0" w:firstLineChars="0"/>
              <w:jc w:val="both"/>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1.2.</w:t>
            </w:r>
            <w:r>
              <w:rPr>
                <w:rFonts w:hint="default" w:ascii="Times New Roman" w:hAnsi="Times New Roman" w:eastAsia="宋体" w:cs="Times New Roman"/>
                <w:b/>
                <w:sz w:val="24"/>
                <w:szCs w:val="24"/>
                <w:lang w:val="en-US"/>
              </w:rPr>
              <w:t>3</w:t>
            </w:r>
            <w:r>
              <w:rPr>
                <w:rFonts w:hint="default" w:ascii="Times New Roman" w:hAnsi="Times New Roman" w:eastAsia="宋体" w:cs="Times New Roman"/>
                <w:b/>
                <w:bCs/>
                <w:sz w:val="24"/>
                <w:szCs w:val="24"/>
                <w:lang w:val="en-US"/>
              </w:rPr>
              <w:t>主要原辅材料及能源消耗</w:t>
            </w:r>
          </w:p>
          <w:p>
            <w:pPr>
              <w:pStyle w:val="23"/>
              <w:ind w:left="40" w:right="51" w:firstLine="480"/>
              <w:rPr>
                <w:rFonts w:hint="eastAsia" w:ascii="宋体" w:hAnsi="宋体" w:eastAsia="宋体" w:cs="宋体"/>
                <w:b w:val="0"/>
                <w:bCs w:val="0"/>
                <w:szCs w:val="24"/>
                <w:u w:val="single"/>
              </w:rPr>
            </w:pPr>
            <w:r>
              <w:rPr>
                <w:rFonts w:hint="eastAsia" w:ascii="宋体" w:hAnsi="宋体" w:eastAsia="宋体" w:cs="宋体"/>
                <w:b w:val="0"/>
                <w:bCs w:val="0"/>
                <w:szCs w:val="24"/>
                <w:u w:val="single"/>
              </w:rPr>
              <w:t>根据建设方提供资料，项目原辅材料消耗量见表</w:t>
            </w:r>
            <w:r>
              <w:rPr>
                <w:rFonts w:hint="eastAsia" w:ascii="宋体" w:hAnsi="宋体" w:eastAsia="宋体" w:cs="宋体"/>
                <w:b w:val="0"/>
                <w:bCs w:val="0"/>
                <w:szCs w:val="24"/>
                <w:u w:val="single"/>
                <w:lang w:val="en-US" w:eastAsia="zh-CN"/>
              </w:rPr>
              <w:t>2-3</w:t>
            </w:r>
            <w:r>
              <w:rPr>
                <w:rFonts w:hint="eastAsia" w:ascii="宋体" w:hAnsi="宋体" w:eastAsia="宋体" w:cs="宋体"/>
                <w:b w:val="0"/>
                <w:bCs w:val="0"/>
                <w:szCs w:val="24"/>
                <w:u w:val="single"/>
              </w:rPr>
              <w:t>。</w:t>
            </w:r>
          </w:p>
          <w:p>
            <w:pPr>
              <w:ind w:firstLine="442" w:firstLineChars="200"/>
              <w:jc w:val="center"/>
              <w:rPr>
                <w:rFonts w:hint="default" w:ascii="Times New Roman" w:hAnsi="Times New Roman" w:cs="Times New Roman"/>
                <w:b/>
                <w:u w:val="single"/>
              </w:rPr>
            </w:pPr>
            <w:r>
              <w:rPr>
                <w:rFonts w:hint="default" w:ascii="Times New Roman" w:hAnsi="Times New Roman" w:cs="Times New Roman"/>
                <w:b/>
                <w:u w:val="single"/>
              </w:rPr>
              <w:t>表</w:t>
            </w:r>
            <w:r>
              <w:rPr>
                <w:rFonts w:hint="eastAsia" w:ascii="Times New Roman" w:hAnsi="Times New Roman" w:cs="Times New Roman"/>
                <w:b/>
                <w:u w:val="single"/>
                <w:lang w:val="en-US" w:eastAsia="zh-CN"/>
              </w:rPr>
              <w:t>2-3</w:t>
            </w:r>
            <w:r>
              <w:rPr>
                <w:rFonts w:hint="default" w:ascii="Times New Roman" w:hAnsi="Times New Roman" w:cs="Times New Roman"/>
                <w:b/>
                <w:u w:val="single"/>
              </w:rPr>
              <w:t>本项目主要原辅材料消耗表</w:t>
            </w:r>
          </w:p>
          <w:tbl>
            <w:tblPr>
              <w:tblStyle w:val="25"/>
              <w:tblW w:w="71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0"/>
              <w:gridCol w:w="1335"/>
              <w:gridCol w:w="670"/>
              <w:gridCol w:w="1212"/>
              <w:gridCol w:w="1895"/>
              <w:gridCol w:w="1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序号</w:t>
                  </w:r>
                </w:p>
              </w:tc>
              <w:tc>
                <w:tcPr>
                  <w:tcW w:w="1335" w:type="dxa"/>
                  <w:noWrap w:val="0"/>
                  <w:vAlign w:val="center"/>
                </w:tcPr>
                <w:p>
                  <w:pPr>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原材料名称</w:t>
                  </w:r>
                </w:p>
              </w:tc>
              <w:tc>
                <w:tcPr>
                  <w:tcW w:w="670" w:type="dxa"/>
                  <w:noWrap w:val="0"/>
                  <w:vAlign w:val="center"/>
                </w:tcPr>
                <w:p>
                  <w:pPr>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单位</w:t>
                  </w:r>
                </w:p>
              </w:tc>
              <w:tc>
                <w:tcPr>
                  <w:tcW w:w="1212" w:type="dxa"/>
                  <w:noWrap w:val="0"/>
                  <w:vAlign w:val="center"/>
                </w:tcPr>
                <w:p>
                  <w:pPr>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年耗量</w:t>
                  </w:r>
                </w:p>
              </w:tc>
              <w:tc>
                <w:tcPr>
                  <w:tcW w:w="1895" w:type="dxa"/>
                  <w:noWrap w:val="0"/>
                  <w:vAlign w:val="center"/>
                </w:tcPr>
                <w:p>
                  <w:pPr>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来源</w:t>
                  </w:r>
                </w:p>
              </w:tc>
              <w:tc>
                <w:tcPr>
                  <w:tcW w:w="1445" w:type="dxa"/>
                  <w:noWrap w:val="0"/>
                  <w:vAlign w:val="center"/>
                </w:tcPr>
                <w:p>
                  <w:pPr>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1</w:t>
                  </w:r>
                </w:p>
              </w:tc>
              <w:tc>
                <w:tcPr>
                  <w:tcW w:w="1335"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铁线</w:t>
                  </w:r>
                </w:p>
              </w:tc>
              <w:tc>
                <w:tcPr>
                  <w:tcW w:w="670"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3</w:t>
                  </w:r>
                </w:p>
              </w:tc>
              <w:tc>
                <w:tcPr>
                  <w:tcW w:w="1895" w:type="dxa"/>
                  <w:noWrap w:val="0"/>
                  <w:vAlign w:val="center"/>
                </w:tcPr>
                <w:p>
                  <w:pPr>
                    <w:jc w:val="center"/>
                    <w:rPr>
                      <w:rFonts w:hint="default" w:ascii="Times New Roman" w:hAnsi="Times New Roman" w:cs="Times New Roman"/>
                      <w:b/>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b/>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2</w:t>
                  </w:r>
                </w:p>
              </w:tc>
              <w:tc>
                <w:tcPr>
                  <w:tcW w:w="1335"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竹，木</w:t>
                  </w:r>
                </w:p>
              </w:tc>
              <w:tc>
                <w:tcPr>
                  <w:tcW w:w="670"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4</w:t>
                  </w:r>
                </w:p>
              </w:tc>
              <w:tc>
                <w:tcPr>
                  <w:tcW w:w="1895" w:type="dxa"/>
                  <w:noWrap w:val="0"/>
                  <w:vAlign w:val="center"/>
                </w:tcPr>
                <w:p>
                  <w:pPr>
                    <w:jc w:val="center"/>
                    <w:rPr>
                      <w:rFonts w:hint="default" w:ascii="Times New Roman" w:hAnsi="Times New Roman" w:cs="Times New Roman"/>
                      <w:b/>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b/>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3</w:t>
                  </w:r>
                </w:p>
              </w:tc>
              <w:tc>
                <w:tcPr>
                  <w:tcW w:w="1335"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陶瓷</w:t>
                  </w:r>
                </w:p>
              </w:tc>
              <w:tc>
                <w:tcPr>
                  <w:tcW w:w="670"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30万件</w:t>
                  </w:r>
                </w:p>
              </w:tc>
              <w:tc>
                <w:tcPr>
                  <w:tcW w:w="1895" w:type="dxa"/>
                  <w:noWrap w:val="0"/>
                  <w:vAlign w:val="center"/>
                </w:tcPr>
                <w:p>
                  <w:pPr>
                    <w:jc w:val="center"/>
                    <w:rPr>
                      <w:rFonts w:hint="default" w:ascii="Times New Roman" w:hAnsi="Times New Roman" w:cs="Times New Roman"/>
                      <w:b/>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b/>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4</w:t>
                  </w:r>
                </w:p>
              </w:tc>
              <w:tc>
                <w:tcPr>
                  <w:tcW w:w="1335"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玻璃</w:t>
                  </w:r>
                </w:p>
              </w:tc>
              <w:tc>
                <w:tcPr>
                  <w:tcW w:w="670"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20万件</w:t>
                  </w:r>
                </w:p>
              </w:tc>
              <w:tc>
                <w:tcPr>
                  <w:tcW w:w="1895" w:type="dxa"/>
                  <w:noWrap w:val="0"/>
                  <w:vAlign w:val="center"/>
                </w:tcPr>
                <w:p>
                  <w:pPr>
                    <w:jc w:val="center"/>
                    <w:rPr>
                      <w:rFonts w:hint="default" w:ascii="Times New Roman" w:hAnsi="Times New Roman" w:cs="Times New Roman"/>
                      <w:b/>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b/>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5</w:t>
                  </w:r>
                </w:p>
              </w:tc>
              <w:tc>
                <w:tcPr>
                  <w:tcW w:w="1335"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PET金葱粉</w:t>
                  </w:r>
                </w:p>
              </w:tc>
              <w:tc>
                <w:tcPr>
                  <w:tcW w:w="670"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5</w:t>
                  </w:r>
                </w:p>
              </w:tc>
              <w:tc>
                <w:tcPr>
                  <w:tcW w:w="1895" w:type="dxa"/>
                  <w:noWrap w:val="0"/>
                  <w:vAlign w:val="center"/>
                </w:tcPr>
                <w:p>
                  <w:pPr>
                    <w:jc w:val="center"/>
                    <w:rPr>
                      <w:rFonts w:hint="default" w:ascii="Times New Roman" w:hAnsi="Times New Roman" w:cs="Times New Roman"/>
                      <w:b/>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b/>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6</w:t>
                  </w:r>
                </w:p>
              </w:tc>
              <w:tc>
                <w:tcPr>
                  <w:tcW w:w="1335"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PE塑胶粒</w:t>
                  </w:r>
                </w:p>
              </w:tc>
              <w:tc>
                <w:tcPr>
                  <w:tcW w:w="670"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500</w:t>
                  </w:r>
                </w:p>
              </w:tc>
              <w:tc>
                <w:tcPr>
                  <w:tcW w:w="1895" w:type="dxa"/>
                  <w:noWrap w:val="0"/>
                  <w:vAlign w:val="center"/>
                </w:tcPr>
                <w:p>
                  <w:pPr>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7</w:t>
                  </w:r>
                </w:p>
              </w:tc>
              <w:tc>
                <w:tcPr>
                  <w:tcW w:w="1335"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PVC塑胶粒</w:t>
                  </w:r>
                </w:p>
              </w:tc>
              <w:tc>
                <w:tcPr>
                  <w:tcW w:w="670"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80</w:t>
                  </w:r>
                </w:p>
              </w:tc>
              <w:tc>
                <w:tcPr>
                  <w:tcW w:w="1895"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8</w:t>
                  </w:r>
                </w:p>
              </w:tc>
              <w:tc>
                <w:tcPr>
                  <w:tcW w:w="1335"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950白</w:t>
                  </w:r>
                  <w:r>
                    <w:rPr>
                      <w:rFonts w:hint="eastAsia" w:ascii="Times New Roman" w:hAnsi="Times New Roman" w:cs="Times New Roman"/>
                      <w:sz w:val="21"/>
                      <w:szCs w:val="21"/>
                      <w:u w:val="single"/>
                      <w:lang w:val="en-US" w:eastAsia="zh-CN"/>
                    </w:rPr>
                    <w:t>乳</w:t>
                  </w:r>
                  <w:r>
                    <w:rPr>
                      <w:rFonts w:hint="default" w:ascii="Times New Roman" w:hAnsi="Times New Roman" w:cs="Times New Roman"/>
                      <w:sz w:val="21"/>
                      <w:szCs w:val="21"/>
                      <w:u w:val="single"/>
                    </w:rPr>
                    <w:t>胶</w:t>
                  </w:r>
                </w:p>
              </w:tc>
              <w:tc>
                <w:tcPr>
                  <w:tcW w:w="670"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2.5</w:t>
                  </w:r>
                </w:p>
              </w:tc>
              <w:tc>
                <w:tcPr>
                  <w:tcW w:w="1895"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9</w:t>
                  </w:r>
                </w:p>
              </w:tc>
              <w:tc>
                <w:tcPr>
                  <w:tcW w:w="1335"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5842手感胶</w:t>
                  </w:r>
                </w:p>
              </w:tc>
              <w:tc>
                <w:tcPr>
                  <w:tcW w:w="670"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3.5</w:t>
                  </w:r>
                </w:p>
              </w:tc>
              <w:tc>
                <w:tcPr>
                  <w:tcW w:w="1895"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10</w:t>
                  </w:r>
                </w:p>
              </w:tc>
              <w:tc>
                <w:tcPr>
                  <w:tcW w:w="1335"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水性色桨</w:t>
                  </w:r>
                </w:p>
              </w:tc>
              <w:tc>
                <w:tcPr>
                  <w:tcW w:w="670"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1.5</w:t>
                  </w:r>
                </w:p>
              </w:tc>
              <w:tc>
                <w:tcPr>
                  <w:tcW w:w="1895"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11</w:t>
                  </w:r>
                </w:p>
              </w:tc>
              <w:tc>
                <w:tcPr>
                  <w:tcW w:w="1335"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水性色粉</w:t>
                  </w:r>
                </w:p>
              </w:tc>
              <w:tc>
                <w:tcPr>
                  <w:tcW w:w="670"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0.2</w:t>
                  </w:r>
                </w:p>
              </w:tc>
              <w:tc>
                <w:tcPr>
                  <w:tcW w:w="1895"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12</w:t>
                  </w:r>
                </w:p>
              </w:tc>
              <w:tc>
                <w:tcPr>
                  <w:tcW w:w="1335"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PE</w:t>
                  </w:r>
                  <w:r>
                    <w:rPr>
                      <w:rFonts w:hint="default" w:ascii="Times New Roman" w:hAnsi="Times New Roman" w:cs="Times New Roman"/>
                      <w:sz w:val="21"/>
                      <w:szCs w:val="21"/>
                      <w:u w:val="single"/>
                    </w:rPr>
                    <w:t>油漆</w:t>
                  </w:r>
                </w:p>
              </w:tc>
              <w:tc>
                <w:tcPr>
                  <w:tcW w:w="670"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1</w:t>
                  </w:r>
                </w:p>
              </w:tc>
              <w:tc>
                <w:tcPr>
                  <w:tcW w:w="1895"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20kg/桶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13</w:t>
                  </w:r>
                </w:p>
              </w:tc>
              <w:tc>
                <w:tcPr>
                  <w:tcW w:w="1335" w:type="dxa"/>
                  <w:noWrap w:val="0"/>
                  <w:vAlign w:val="center"/>
                </w:tcPr>
                <w:p>
                  <w:pPr>
                    <w:jc w:val="center"/>
                    <w:rPr>
                      <w:rFonts w:hint="eastAsia"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水</w:t>
                  </w:r>
                  <w:r>
                    <w:rPr>
                      <w:rFonts w:hint="eastAsia" w:ascii="Times New Roman" w:hAnsi="Times New Roman" w:cs="Times New Roman"/>
                      <w:sz w:val="21"/>
                      <w:szCs w:val="21"/>
                      <w:u w:val="single"/>
                      <w:lang w:val="en-US" w:eastAsia="zh-CN"/>
                    </w:rPr>
                    <w:t>性油漆</w:t>
                  </w:r>
                </w:p>
              </w:tc>
              <w:tc>
                <w:tcPr>
                  <w:tcW w:w="670" w:type="dxa"/>
                  <w:noWrap w:val="0"/>
                  <w:vAlign w:val="center"/>
                </w:tcPr>
                <w:p>
                  <w:pPr>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吨</w:t>
                  </w:r>
                </w:p>
              </w:tc>
              <w:tc>
                <w:tcPr>
                  <w:tcW w:w="1212" w:type="dxa"/>
                  <w:noWrap w:val="0"/>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4</w:t>
                  </w:r>
                </w:p>
              </w:tc>
              <w:tc>
                <w:tcPr>
                  <w:tcW w:w="1895" w:type="dxa"/>
                  <w:noWrap w:val="0"/>
                  <w:vAlign w:val="center"/>
                </w:tcPr>
                <w:p>
                  <w:pPr>
                    <w:jc w:val="center"/>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外购</w:t>
                  </w:r>
                </w:p>
              </w:tc>
              <w:tc>
                <w:tcPr>
                  <w:tcW w:w="1445"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20kg/桶</w:t>
                  </w:r>
                  <w:r>
                    <w:rPr>
                      <w:rFonts w:hint="default" w:ascii="Times New Roman" w:hAnsi="Times New Roman" w:cs="Times New Roman"/>
                      <w:sz w:val="21"/>
                      <w:szCs w:val="21"/>
                      <w:u w:val="single"/>
                    </w:rPr>
                    <w:t>（成份:聚氨酯</w:t>
                  </w:r>
                  <w:r>
                    <w:rPr>
                      <w:rFonts w:hint="default" w:ascii="Times New Roman" w:hAnsi="Times New Roman" w:cs="Times New Roman"/>
                      <w:sz w:val="21"/>
                      <w:szCs w:val="21"/>
                      <w:u w:val="single"/>
                    </w:rPr>
                    <w:fldChar w:fldCharType="begin"/>
                  </w:r>
                  <w:r>
                    <w:rPr>
                      <w:rFonts w:hint="default" w:ascii="Times New Roman" w:hAnsi="Times New Roman" w:cs="Times New Roman"/>
                      <w:sz w:val="21"/>
                      <w:szCs w:val="21"/>
                      <w:u w:val="single"/>
                    </w:rPr>
                    <w:instrText xml:space="preserve"> HYPERLINK "https://baike.baidu.com/item/%E5%90%88%E6%88%90%E6%A0%91%E8%84%82" \t "_blank" </w:instrText>
                  </w:r>
                  <w:r>
                    <w:rPr>
                      <w:rFonts w:hint="default" w:ascii="Times New Roman" w:hAnsi="Times New Roman" w:cs="Times New Roman"/>
                      <w:sz w:val="21"/>
                      <w:szCs w:val="21"/>
                      <w:u w:val="single"/>
                    </w:rPr>
                    <w:fldChar w:fldCharType="separate"/>
                  </w:r>
                  <w:r>
                    <w:rPr>
                      <w:rFonts w:hint="default" w:ascii="Times New Roman" w:hAnsi="Times New Roman" w:cs="Times New Roman"/>
                      <w:sz w:val="21"/>
                      <w:szCs w:val="21"/>
                      <w:u w:val="single"/>
                    </w:rPr>
                    <w:t>合成树脂</w:t>
                  </w:r>
                  <w:r>
                    <w:rPr>
                      <w:rFonts w:hint="default" w:ascii="Times New Roman" w:hAnsi="Times New Roman" w:cs="Times New Roman"/>
                      <w:sz w:val="21"/>
                      <w:szCs w:val="21"/>
                      <w:u w:val="single"/>
                    </w:rPr>
                    <w:fldChar w:fldCharType="end"/>
                  </w:r>
                  <w:r>
                    <w:rPr>
                      <w:rFonts w:hint="default" w:ascii="Times New Roman" w:hAnsi="Times New Roman" w:cs="Times New Roman"/>
                      <w:sz w:val="21"/>
                      <w:szCs w:val="21"/>
                      <w:u w:val="single"/>
                    </w:rPr>
                    <w:t>、水）挥发性成份约占15%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14</w:t>
                  </w:r>
                </w:p>
              </w:tc>
              <w:tc>
                <w:tcPr>
                  <w:tcW w:w="1335" w:type="dxa"/>
                  <w:noWrap w:val="0"/>
                  <w:vAlign w:val="center"/>
                </w:tcPr>
                <w:p>
                  <w:pPr>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活性炭</w:t>
                  </w:r>
                </w:p>
              </w:tc>
              <w:tc>
                <w:tcPr>
                  <w:tcW w:w="670" w:type="dxa"/>
                  <w:noWrap w:val="0"/>
                  <w:vAlign w:val="center"/>
                </w:tcPr>
                <w:p>
                  <w:pPr>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吨</w:t>
                  </w:r>
                </w:p>
              </w:tc>
              <w:tc>
                <w:tcPr>
                  <w:tcW w:w="1212" w:type="dxa"/>
                  <w:noWrap w:val="0"/>
                  <w:vAlign w:val="center"/>
                </w:tcPr>
                <w:p>
                  <w:pPr>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w:t>
                  </w:r>
                </w:p>
              </w:tc>
              <w:tc>
                <w:tcPr>
                  <w:tcW w:w="1895" w:type="dxa"/>
                  <w:noWrap w:val="0"/>
                  <w:vAlign w:val="center"/>
                </w:tcPr>
                <w:p>
                  <w:pPr>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1445" w:type="dxa"/>
                  <w:noWrap w:val="0"/>
                  <w:vAlign w:val="center"/>
                </w:tcPr>
                <w:p>
                  <w:pPr>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废气处理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val="en-US" w:eastAsia="zh-CN"/>
                    </w:rPr>
                    <w:t>15</w:t>
                  </w:r>
                </w:p>
              </w:tc>
              <w:tc>
                <w:tcPr>
                  <w:tcW w:w="1335"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水</w:t>
                  </w:r>
                </w:p>
              </w:tc>
              <w:tc>
                <w:tcPr>
                  <w:tcW w:w="670"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m</w:t>
                  </w:r>
                  <w:r>
                    <w:rPr>
                      <w:rFonts w:hint="default" w:ascii="Times New Roman" w:hAnsi="Times New Roman" w:cs="Times New Roman"/>
                      <w:sz w:val="21"/>
                      <w:szCs w:val="21"/>
                      <w:u w:val="single"/>
                      <w:vertAlign w:val="superscript"/>
                    </w:rPr>
                    <w:t>3</w:t>
                  </w:r>
                </w:p>
              </w:tc>
              <w:tc>
                <w:tcPr>
                  <w:tcW w:w="1212" w:type="dxa"/>
                  <w:noWrap w:val="0"/>
                  <w:vAlign w:val="center"/>
                </w:tcPr>
                <w:p>
                  <w:pPr>
                    <w:jc w:val="cente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5850</w:t>
                  </w:r>
                </w:p>
              </w:tc>
              <w:tc>
                <w:tcPr>
                  <w:tcW w:w="1895"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园区供水管网</w:t>
                  </w:r>
                </w:p>
              </w:tc>
              <w:tc>
                <w:tcPr>
                  <w:tcW w:w="1445" w:type="dxa"/>
                  <w:noWrap w:val="0"/>
                  <w:vAlign w:val="center"/>
                </w:tcPr>
                <w:p>
                  <w:pPr>
                    <w:jc w:val="center"/>
                    <w:rPr>
                      <w:rFonts w:hint="default" w:ascii="Times New Roman" w:hAnsi="Times New Roman" w:cs="Times New Roman"/>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jc w:val="center"/>
                    <w:rPr>
                      <w:rFonts w:hint="eastAsia" w:ascii="Times New Roman" w:hAnsi="Times New Roman" w:eastAsia="宋体" w:cs="Times New Roman"/>
                      <w:sz w:val="21"/>
                      <w:szCs w:val="21"/>
                      <w:u w:val="single"/>
                      <w:lang w:eastAsia="zh-CN"/>
                    </w:rPr>
                  </w:pPr>
                  <w:r>
                    <w:rPr>
                      <w:rFonts w:hint="eastAsia" w:ascii="Times New Roman" w:hAnsi="Times New Roman" w:cs="Times New Roman"/>
                      <w:sz w:val="21"/>
                      <w:szCs w:val="21"/>
                      <w:u w:val="single"/>
                      <w:lang w:val="en-US" w:eastAsia="zh-CN"/>
                    </w:rPr>
                    <w:t>16</w:t>
                  </w:r>
                </w:p>
              </w:tc>
              <w:tc>
                <w:tcPr>
                  <w:tcW w:w="1335"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电</w:t>
                  </w:r>
                </w:p>
              </w:tc>
              <w:tc>
                <w:tcPr>
                  <w:tcW w:w="670"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kWh</w:t>
                  </w:r>
                </w:p>
              </w:tc>
              <w:tc>
                <w:tcPr>
                  <w:tcW w:w="1212"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100万</w:t>
                  </w:r>
                </w:p>
              </w:tc>
              <w:tc>
                <w:tcPr>
                  <w:tcW w:w="1895" w:type="dxa"/>
                  <w:noWrap w:val="0"/>
                  <w:vAlign w:val="center"/>
                </w:tcPr>
                <w:p>
                  <w:pPr>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园区供电网</w:t>
                  </w:r>
                </w:p>
              </w:tc>
              <w:tc>
                <w:tcPr>
                  <w:tcW w:w="1445" w:type="dxa"/>
                  <w:noWrap w:val="0"/>
                  <w:vAlign w:val="center"/>
                </w:tcPr>
                <w:p>
                  <w:pPr>
                    <w:jc w:val="center"/>
                    <w:rPr>
                      <w:rFonts w:hint="default" w:ascii="Times New Roman" w:hAnsi="Times New Roman" w:cs="Times New Roman"/>
                      <w:sz w:val="21"/>
                      <w:szCs w:val="21"/>
                      <w:u w:val="single"/>
                    </w:rPr>
                  </w:pPr>
                </w:p>
              </w:tc>
            </w:tr>
          </w:tbl>
          <w:p>
            <w:pPr>
              <w:spacing w:line="360" w:lineRule="auto"/>
              <w:ind w:firstLine="480" w:firstLineChars="200"/>
              <w:contextualSpacing/>
              <w:rPr>
                <w:rFonts w:hint="default" w:ascii="Times New Roman" w:hAnsi="Times New Roman" w:cs="Times New Roman"/>
                <w:sz w:val="24"/>
                <w:szCs w:val="24"/>
                <w:u w:val="single"/>
              </w:rPr>
            </w:pPr>
            <w:r>
              <w:rPr>
                <w:rFonts w:hint="default" w:ascii="Times New Roman" w:hAnsi="Times New Roman" w:cs="Times New Roman"/>
                <w:sz w:val="24"/>
                <w:szCs w:val="24"/>
                <w:u w:val="single"/>
              </w:rPr>
              <w:t>水性油漆： 聚氨酯水性漆，主要成分聚氨酯</w:t>
            </w: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"https://baike.baidu.com/item/%E5%90%88%E6%88%90%E6%A0%91%E8%84%82" \t "_blank" </w:instrText>
            </w:r>
            <w:r>
              <w:rPr>
                <w:rFonts w:hint="default" w:ascii="Times New Roman" w:hAnsi="Times New Roman" w:cs="Times New Roman"/>
                <w:sz w:val="24"/>
                <w:szCs w:val="24"/>
                <w:u w:val="single"/>
              </w:rPr>
              <w:fldChar w:fldCharType="separate"/>
            </w:r>
            <w:r>
              <w:rPr>
                <w:rFonts w:hint="default" w:ascii="Times New Roman" w:hAnsi="Times New Roman" w:cs="Times New Roman"/>
                <w:sz w:val="24"/>
                <w:szCs w:val="24"/>
                <w:u w:val="single"/>
              </w:rPr>
              <w:t>合成树脂</w:t>
            </w:r>
            <w:r>
              <w:rPr>
                <w:rFonts w:hint="default" w:ascii="Times New Roman" w:hAnsi="Times New Roman" w:cs="Times New Roman"/>
                <w:sz w:val="24"/>
                <w:szCs w:val="24"/>
                <w:u w:val="single"/>
              </w:rPr>
              <w:fldChar w:fldCharType="end"/>
            </w:r>
            <w:r>
              <w:rPr>
                <w:rFonts w:hint="default" w:ascii="Times New Roman" w:hAnsi="Times New Roman" w:cs="Times New Roman"/>
                <w:sz w:val="24"/>
                <w:szCs w:val="24"/>
                <w:u w:val="single"/>
              </w:rPr>
              <w:t>、水，以</w:t>
            </w: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"https://baike.baidu.com/item/%E7%A8%80%E9%87%8A%E5%89%82" \t "_blank" </w:instrText>
            </w:r>
            <w:r>
              <w:rPr>
                <w:rFonts w:hint="default" w:ascii="Times New Roman" w:hAnsi="Times New Roman" w:cs="Times New Roman"/>
                <w:sz w:val="24"/>
                <w:szCs w:val="24"/>
                <w:u w:val="single"/>
              </w:rPr>
              <w:fldChar w:fldCharType="separate"/>
            </w:r>
            <w:r>
              <w:rPr>
                <w:rFonts w:hint="default" w:ascii="Times New Roman" w:hAnsi="Times New Roman" w:cs="Times New Roman"/>
                <w:sz w:val="24"/>
                <w:szCs w:val="24"/>
                <w:u w:val="single"/>
              </w:rPr>
              <w:t>稀释剂</w:t>
            </w:r>
            <w:r>
              <w:rPr>
                <w:rFonts w:hint="default" w:ascii="Times New Roman" w:hAnsi="Times New Roman" w:cs="Times New Roman"/>
                <w:sz w:val="24"/>
                <w:szCs w:val="24"/>
                <w:u w:val="single"/>
              </w:rPr>
              <w:fldChar w:fldCharType="end"/>
            </w:r>
            <w:r>
              <w:rPr>
                <w:rFonts w:hint="default" w:ascii="Times New Roman" w:hAnsi="Times New Roman" w:cs="Times New Roman"/>
                <w:sz w:val="24"/>
                <w:szCs w:val="24"/>
                <w:u w:val="single"/>
              </w:rPr>
              <w:t>、不含</w:t>
            </w: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"https://baike.baidu.com/item/%E6%9C%89%E6%9C%BA%E6%BA%B6%E5%89%82" \t "_blank" </w:instrText>
            </w:r>
            <w:r>
              <w:rPr>
                <w:rFonts w:hint="default" w:ascii="Times New Roman" w:hAnsi="Times New Roman" w:cs="Times New Roman"/>
                <w:sz w:val="24"/>
                <w:szCs w:val="24"/>
                <w:u w:val="single"/>
              </w:rPr>
              <w:fldChar w:fldCharType="separate"/>
            </w:r>
            <w:r>
              <w:rPr>
                <w:rFonts w:hint="default" w:ascii="Times New Roman" w:hAnsi="Times New Roman" w:cs="Times New Roman"/>
                <w:sz w:val="24"/>
                <w:szCs w:val="24"/>
                <w:u w:val="single"/>
              </w:rPr>
              <w:t>有机溶剂</w:t>
            </w:r>
            <w:r>
              <w:rPr>
                <w:rFonts w:hint="default" w:ascii="Times New Roman" w:hAnsi="Times New Roman" w:cs="Times New Roman"/>
                <w:sz w:val="24"/>
                <w:szCs w:val="24"/>
                <w:u w:val="single"/>
              </w:rPr>
              <w:fldChar w:fldCharType="end"/>
            </w:r>
            <w:r>
              <w:rPr>
                <w:rFonts w:hint="default" w:ascii="Times New Roman" w:hAnsi="Times New Roman" w:cs="Times New Roman"/>
                <w:sz w:val="24"/>
                <w:szCs w:val="24"/>
                <w:u w:val="single"/>
              </w:rPr>
              <w:t>的</w:t>
            </w: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"https://baike.baidu.com/item/%E6%B6%82%E6%96%99" \t "_blank" </w:instrText>
            </w:r>
            <w:r>
              <w:rPr>
                <w:rFonts w:hint="default" w:ascii="Times New Roman" w:hAnsi="Times New Roman" w:cs="Times New Roman"/>
                <w:sz w:val="24"/>
                <w:szCs w:val="24"/>
                <w:u w:val="single"/>
              </w:rPr>
              <w:fldChar w:fldCharType="separate"/>
            </w:r>
            <w:r>
              <w:rPr>
                <w:rFonts w:hint="default" w:ascii="Times New Roman" w:hAnsi="Times New Roman" w:cs="Times New Roman"/>
                <w:sz w:val="24"/>
                <w:szCs w:val="24"/>
                <w:u w:val="single"/>
              </w:rPr>
              <w:t>涂料</w:t>
            </w:r>
            <w:r>
              <w:rPr>
                <w:rFonts w:hint="default" w:ascii="Times New Roman" w:hAnsi="Times New Roman" w:cs="Times New Roman"/>
                <w:sz w:val="24"/>
                <w:szCs w:val="24"/>
                <w:u w:val="single"/>
              </w:rPr>
              <w:fldChar w:fldCharType="end"/>
            </w:r>
            <w:r>
              <w:rPr>
                <w:rFonts w:hint="default" w:ascii="Times New Roman" w:hAnsi="Times New Roman" w:cs="Times New Roman"/>
                <w:sz w:val="24"/>
                <w:szCs w:val="24"/>
                <w:u w:val="single"/>
              </w:rPr>
              <w:t>，不含苯、甲苯、二甲苯、甲醛、游离TDI有毒重金属，挥发份约占15%。有优良的涂膜性能，,耐热性能･耐溶剂性能･耐药品腐蚀性･耐磨性能都非常好,可以保持长时间坚韧的涂膜效果。</w:t>
            </w:r>
          </w:p>
          <w:p>
            <w:pPr>
              <w:spacing w:line="360" w:lineRule="auto"/>
              <w:ind w:firstLine="480" w:firstLineChars="200"/>
              <w:contextualSpacing/>
              <w:rPr>
                <w:rFonts w:hint="default"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环评要求油漆分类储存，储存区要求防火、防渗、防漏，并配置5m</w:t>
            </w:r>
            <w:r>
              <w:rPr>
                <w:rFonts w:hint="eastAsia" w:ascii="Times New Roman" w:hAnsi="Times New Roman" w:cs="Times New Roman"/>
                <w:sz w:val="24"/>
                <w:szCs w:val="24"/>
                <w:u w:val="single"/>
                <w:vertAlign w:val="superscript"/>
                <w:lang w:val="en-US" w:eastAsia="zh-CN"/>
              </w:rPr>
              <w:t>3</w:t>
            </w:r>
            <w:r>
              <w:rPr>
                <w:rFonts w:hint="eastAsia" w:ascii="Times New Roman" w:hAnsi="Times New Roman" w:cs="Times New Roman"/>
                <w:sz w:val="24"/>
                <w:szCs w:val="24"/>
                <w:u w:val="single"/>
                <w:lang w:val="en-US" w:eastAsia="zh-CN"/>
              </w:rPr>
              <w:t>的应急池。</w:t>
            </w:r>
          </w:p>
          <w:p>
            <w:pPr>
              <w:pStyle w:val="23"/>
              <w:spacing w:beforeLines="0"/>
              <w:ind w:left="44" w:leftChars="20" w:right="44" w:rightChars="20" w:firstLine="0" w:firstLineChars="0"/>
              <w:jc w:val="both"/>
              <w:rPr>
                <w:rFonts w:hint="default" w:ascii="Times New Roman" w:hAnsi="Times New Roman" w:eastAsia="宋体" w:cs="Times New Roman"/>
                <w:b/>
                <w:bCs/>
                <w:sz w:val="24"/>
                <w:szCs w:val="24"/>
                <w:u w:val="none"/>
              </w:rPr>
            </w:pPr>
            <w:r>
              <w:rPr>
                <w:rFonts w:hint="default" w:ascii="Times New Roman" w:hAnsi="Times New Roman" w:eastAsia="宋体" w:cs="Times New Roman"/>
                <w:b/>
                <w:bCs/>
                <w:sz w:val="24"/>
                <w:szCs w:val="24"/>
                <w:u w:val="none"/>
              </w:rPr>
              <w:t>1.3总平面布置</w:t>
            </w:r>
          </w:p>
          <w:p>
            <w:pPr>
              <w:spacing w:line="360" w:lineRule="auto"/>
              <w:ind w:left="44" w:leftChars="20" w:right="44" w:rightChars="20" w:firstLine="480" w:firstLineChars="200"/>
              <w:jc w:val="both"/>
              <w:rPr>
                <w:rFonts w:hint="default" w:ascii="Times New Roman" w:hAnsi="Times New Roman" w:eastAsia="宋体" w:cs="Times New Roman"/>
                <w:sz w:val="24"/>
                <w:szCs w:val="24"/>
                <w:u w:val="none"/>
              </w:rPr>
            </w:pPr>
            <w:r>
              <w:rPr>
                <w:rFonts w:hint="default" w:ascii="Times New Roman" w:hAnsi="Times New Roman" w:cs="Times New Roman"/>
                <w:sz w:val="24"/>
                <w:szCs w:val="24"/>
              </w:rPr>
              <w:t>本项目位于</w:t>
            </w:r>
            <w:r>
              <w:rPr>
                <w:rFonts w:hint="default" w:ascii="Times New Roman" w:hAnsi="Times New Roman" w:cs="Times New Roman"/>
                <w:sz w:val="24"/>
                <w:szCs w:val="24"/>
                <w:lang w:val="en-US" w:eastAsia="zh-CN"/>
              </w:rPr>
              <w:t>双牌工业集中区创新创业园6栋（1-4层）</w:t>
            </w:r>
            <w:r>
              <w:rPr>
                <w:rFonts w:hint="default" w:ascii="Times New Roman" w:hAnsi="Times New Roman" w:cs="Times New Roman"/>
                <w:sz w:val="24"/>
                <w:szCs w:val="24"/>
              </w:rPr>
              <w:t>，</w:t>
            </w:r>
            <w:r>
              <w:rPr>
                <w:rFonts w:hint="default" w:ascii="Times New Roman" w:hAnsi="Times New Roman" w:cs="Times New Roman"/>
                <w:sz w:val="24"/>
                <w:szCs w:val="24"/>
                <w:lang w:val="en-US"/>
              </w:rPr>
              <w:t>租赁</w:t>
            </w:r>
            <w:r>
              <w:rPr>
                <w:rFonts w:hint="default" w:ascii="Times New Roman" w:hAnsi="Times New Roman" w:cs="Times New Roman"/>
                <w:sz w:val="24"/>
                <w:szCs w:val="24"/>
              </w:rPr>
              <w:t>工业园现有</w:t>
            </w:r>
            <w:r>
              <w:rPr>
                <w:rFonts w:hint="default" w:ascii="Times New Roman" w:hAnsi="Times New Roman" w:cs="Times New Roman"/>
                <w:sz w:val="24"/>
                <w:szCs w:val="24"/>
                <w:lang w:val="en-US"/>
              </w:rPr>
              <w:t>厂房</w:t>
            </w:r>
            <w:r>
              <w:rPr>
                <w:rFonts w:hint="default" w:ascii="Times New Roman" w:hAnsi="Times New Roman" w:cs="Times New Roman"/>
                <w:sz w:val="24"/>
                <w:szCs w:val="24"/>
                <w:lang w:val="en-US" w:eastAsia="zh-CN"/>
              </w:rPr>
              <w:t>，其中</w:t>
            </w:r>
            <w:r>
              <w:rPr>
                <w:rFonts w:hint="eastAsia" w:ascii="Times New Roman" w:hAnsi="Times New Roman" w:cs="Times New Roman"/>
                <w:sz w:val="24"/>
                <w:szCs w:val="24"/>
                <w:lang w:val="en-US" w:eastAsia="zh-CN"/>
              </w:rPr>
              <w:t>一楼为成品仓库及注塑车间，二楼为办公室，三楼为成品仓库，四楼为原料仓库、喷漆房</w:t>
            </w:r>
            <w:r>
              <w:rPr>
                <w:rFonts w:hint="default" w:ascii="Times New Roman" w:hAnsi="Times New Roman" w:cs="Times New Roman"/>
                <w:sz w:val="24"/>
                <w:szCs w:val="24"/>
                <w:lang w:val="en-US" w:eastAsia="zh-CN"/>
              </w:rPr>
              <w:t>。废气处理装置位于屋顶，项目总平面布置充分考虑生产及物流要求，生产车间均按照工艺流程合理紧凑地布置生产设备，综上所述，项目厂房内功能分区明确，布局合理。平面布置图详见附图</w:t>
            </w:r>
            <w:r>
              <w:rPr>
                <w:rFonts w:hint="default" w:ascii="Times New Roman" w:hAnsi="Times New Roman" w:eastAsia="宋体" w:cs="Times New Roman"/>
                <w:sz w:val="24"/>
                <w:szCs w:val="24"/>
                <w:u w:val="none"/>
              </w:rPr>
              <w:t>。</w:t>
            </w:r>
          </w:p>
          <w:p>
            <w:pPr>
              <w:pStyle w:val="23"/>
              <w:spacing w:beforeLines="0"/>
              <w:ind w:left="44" w:leftChars="20" w:right="44" w:rightChars="20" w:firstLine="0" w:firstLineChars="0"/>
              <w:jc w:val="both"/>
              <w:rPr>
                <w:rFonts w:hint="default" w:ascii="Times New Roman" w:hAnsi="Times New Roman" w:eastAsia="宋体" w:cs="Times New Roman"/>
                <w:b/>
                <w:bCs/>
                <w:sz w:val="24"/>
                <w:szCs w:val="24"/>
                <w:u w:val="none"/>
              </w:rPr>
            </w:pPr>
            <w:r>
              <w:rPr>
                <w:rFonts w:hint="default" w:ascii="Times New Roman" w:hAnsi="Times New Roman" w:eastAsia="宋体" w:cs="Times New Roman"/>
                <w:b/>
                <w:bCs/>
                <w:sz w:val="24"/>
                <w:szCs w:val="24"/>
                <w:u w:val="none"/>
              </w:rPr>
              <w:t>1.4共用工程</w:t>
            </w:r>
          </w:p>
          <w:p>
            <w:pPr>
              <w:pStyle w:val="23"/>
              <w:spacing w:beforeLines="0"/>
              <w:ind w:left="44" w:leftChars="20" w:right="44" w:rightChars="20" w:firstLine="0" w:firstLineChars="0"/>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1.4.1给水</w:t>
            </w:r>
          </w:p>
          <w:p>
            <w:pPr>
              <w:pStyle w:val="23"/>
              <w:spacing w:beforeLines="0"/>
              <w:ind w:left="44" w:leftChars="20" w:right="44" w:rightChars="20" w:firstLine="420"/>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本项目园区自来水管网供应，项目用水主要为办公人员的办公生活用水。</w:t>
            </w:r>
          </w:p>
          <w:p>
            <w:pPr>
              <w:pStyle w:val="23"/>
              <w:spacing w:beforeLines="0"/>
              <w:ind w:left="44" w:leftChars="20" w:right="44" w:rightChars="20" w:firstLine="0" w:firstLineChars="0"/>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1.4.2排水</w:t>
            </w:r>
          </w:p>
          <w:p>
            <w:pPr>
              <w:pStyle w:val="23"/>
              <w:spacing w:beforeLines="0"/>
              <w:ind w:left="0" w:leftChars="0" w:right="44" w:rightChars="20" w:firstLine="480" w:firstLineChars="200"/>
              <w:jc w:val="both"/>
              <w:rPr>
                <w:rFonts w:hint="default" w:ascii="Times New Roman" w:hAnsi="Times New Roman" w:eastAsia="宋体" w:cs="Times New Roman"/>
                <w:kern w:val="24"/>
                <w:sz w:val="24"/>
                <w:szCs w:val="24"/>
                <w:u w:val="none"/>
                <w:lang w:val="en-US" w:eastAsia="zh-CN"/>
              </w:rPr>
            </w:pPr>
            <w:r>
              <w:rPr>
                <w:rFonts w:hint="default" w:ascii="Times New Roman" w:hAnsi="Times New Roman" w:eastAsia="宋体" w:cs="Times New Roman"/>
                <w:kern w:val="24"/>
                <w:sz w:val="24"/>
                <w:szCs w:val="24"/>
                <w:u w:val="none"/>
                <w:lang w:val="en-US"/>
              </w:rPr>
              <w:t>本项目无生产废水产生</w:t>
            </w:r>
            <w:r>
              <w:rPr>
                <w:rFonts w:hint="eastAsia" w:ascii="Times New Roman" w:hAnsi="Times New Roman" w:eastAsia="宋体" w:cs="Times New Roman"/>
                <w:kern w:val="24"/>
                <w:sz w:val="24"/>
                <w:szCs w:val="24"/>
                <w:u w:val="none"/>
                <w:lang w:val="en-US" w:eastAsia="zh-CN"/>
              </w:rPr>
              <w:t>，注塑机冷却水循环使用，日补水量0.5t。</w:t>
            </w:r>
          </w:p>
          <w:p>
            <w:pPr>
              <w:pStyle w:val="23"/>
              <w:spacing w:beforeLines="0"/>
              <w:ind w:right="44" w:rightChars="20" w:firstLine="0" w:firstLineChars="0"/>
              <w:jc w:val="both"/>
              <w:rPr>
                <w:rFonts w:hint="default" w:ascii="Times New Roman" w:hAnsi="Times New Roman" w:eastAsia="宋体" w:cs="Times New Roman"/>
                <w:kern w:val="24"/>
                <w:sz w:val="24"/>
                <w:szCs w:val="24"/>
                <w:u w:val="none"/>
              </w:rPr>
            </w:pPr>
            <w:r>
              <w:rPr>
                <w:rFonts w:hint="default" w:ascii="Times New Roman" w:hAnsi="Times New Roman" w:eastAsia="宋体" w:cs="Times New Roman"/>
                <w:sz w:val="24"/>
                <w:szCs w:val="24"/>
                <w:u w:val="none"/>
                <w:lang w:val="en-US"/>
              </w:rPr>
              <w:t>本项目生活污水经过化粪池处理达到三级排放标准后进入</w:t>
            </w:r>
            <w:r>
              <w:rPr>
                <w:rFonts w:hint="default" w:ascii="Times New Roman" w:hAnsi="Times New Roman" w:eastAsia="宋体" w:cs="Times New Roman"/>
                <w:sz w:val="24"/>
                <w:szCs w:val="24"/>
                <w:u w:val="none"/>
                <w:lang w:val="en-US" w:eastAsia="zh-CN"/>
              </w:rPr>
              <w:t>双牌县污水处理厂</w:t>
            </w:r>
            <w:r>
              <w:rPr>
                <w:rFonts w:hint="default" w:ascii="Times New Roman" w:hAnsi="Times New Roman" w:eastAsia="宋体" w:cs="Times New Roman"/>
                <w:sz w:val="24"/>
                <w:szCs w:val="24"/>
                <w:u w:val="none"/>
                <w:lang w:val="en-US"/>
              </w:rPr>
              <w:t>处理后达标排放。</w:t>
            </w:r>
          </w:p>
          <w:p>
            <w:pPr>
              <w:pStyle w:val="23"/>
              <w:spacing w:beforeLines="0"/>
              <w:ind w:left="44" w:leftChars="20" w:right="44" w:rightChars="20" w:firstLine="0" w:firstLineChars="0"/>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1.4.3供、配电系统</w:t>
            </w:r>
          </w:p>
          <w:p>
            <w:pPr>
              <w:pStyle w:val="23"/>
              <w:spacing w:beforeLines="0"/>
              <w:ind w:left="44" w:leftChars="20" w:right="44" w:rightChars="20" w:firstLine="420"/>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项目由</w:t>
            </w:r>
            <w:r>
              <w:rPr>
                <w:rFonts w:hint="default" w:ascii="Times New Roman" w:hAnsi="Times New Roman" w:eastAsia="宋体" w:cs="Times New Roman"/>
                <w:sz w:val="24"/>
                <w:szCs w:val="24"/>
                <w:u w:val="none"/>
                <w:lang w:eastAsia="zh-CN"/>
              </w:rPr>
              <w:t>园区</w:t>
            </w:r>
            <w:r>
              <w:rPr>
                <w:rFonts w:hint="default" w:ascii="Times New Roman" w:hAnsi="Times New Roman" w:eastAsia="宋体" w:cs="Times New Roman"/>
                <w:sz w:val="24"/>
                <w:szCs w:val="24"/>
                <w:u w:val="none"/>
              </w:rPr>
              <w:t>电网供电。</w:t>
            </w:r>
          </w:p>
          <w:p>
            <w:pPr>
              <w:pStyle w:val="23"/>
              <w:spacing w:beforeLines="0"/>
              <w:ind w:left="44" w:leftChars="20" w:right="44" w:rightChars="20" w:firstLine="0" w:firstLineChars="0"/>
              <w:jc w:val="both"/>
              <w:rPr>
                <w:rFonts w:hint="default" w:ascii="Times New Roman" w:hAnsi="Times New Roman" w:eastAsia="宋体" w:cs="Times New Roman"/>
                <w:b/>
                <w:bCs/>
                <w:sz w:val="24"/>
                <w:szCs w:val="24"/>
                <w:u w:val="none"/>
              </w:rPr>
            </w:pPr>
            <w:r>
              <w:rPr>
                <w:rFonts w:hint="default" w:ascii="Times New Roman" w:hAnsi="Times New Roman" w:eastAsia="宋体" w:cs="Times New Roman"/>
                <w:b/>
                <w:bCs/>
                <w:sz w:val="24"/>
                <w:szCs w:val="24"/>
                <w:u w:val="none"/>
              </w:rPr>
              <w:t>1.5劳动定员及工作制度</w:t>
            </w:r>
          </w:p>
          <w:p>
            <w:pPr>
              <w:pStyle w:val="23"/>
              <w:spacing w:beforeLines="0"/>
              <w:ind w:left="44" w:leftChars="20" w:right="44" w:rightChars="20" w:firstLine="42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4"/>
                <w:szCs w:val="24"/>
                <w:u w:val="none"/>
              </w:rPr>
              <w:t>本项目劳动</w:t>
            </w:r>
            <w:r>
              <w:rPr>
                <w:rFonts w:hint="default" w:ascii="Times New Roman" w:hAnsi="Times New Roman" w:eastAsia="宋体" w:cs="Times New Roman"/>
                <w:sz w:val="24"/>
                <w:szCs w:val="24"/>
                <w:highlight w:val="none"/>
                <w:u w:val="none"/>
              </w:rPr>
              <w:t>定员</w:t>
            </w:r>
            <w:r>
              <w:rPr>
                <w:rFonts w:hint="eastAsia" w:ascii="Times New Roman" w:hAnsi="Times New Roman" w:eastAsia="宋体" w:cs="Times New Roman"/>
                <w:sz w:val="24"/>
                <w:szCs w:val="24"/>
                <w:highlight w:val="none"/>
                <w:u w:val="none"/>
                <w:lang w:val="en-US" w:eastAsia="zh-CN"/>
              </w:rPr>
              <w:t>150人</w:t>
            </w:r>
            <w:r>
              <w:rPr>
                <w:rFonts w:hint="default" w:ascii="Times New Roman" w:hAnsi="Times New Roman" w:eastAsia="宋体" w:cs="Times New Roman"/>
                <w:sz w:val="24"/>
                <w:szCs w:val="24"/>
                <w:highlight w:val="none"/>
                <w:u w:val="none"/>
              </w:rPr>
              <w:t>，年工作300天，实行单班工作制，每班工作8小时。</w:t>
            </w:r>
            <w:r>
              <w:rPr>
                <w:rFonts w:hint="default" w:ascii="Times New Roman" w:hAnsi="Times New Roman" w:eastAsia="宋体" w:cs="Times New Roman"/>
                <w:sz w:val="24"/>
                <w:szCs w:val="24"/>
                <w:highlight w:val="none"/>
                <w:u w:val="none"/>
                <w:lang w:val="en-US" w:eastAsia="zh-CN"/>
              </w:rPr>
              <w:t>厂区不设食宿</w:t>
            </w:r>
            <w:r>
              <w:rPr>
                <w:rFonts w:hint="default" w:ascii="Times New Roman" w:hAnsi="Times New Roman" w:eastAsia="宋体" w:cs="Times New Roman"/>
                <w:sz w:val="24"/>
                <w:szCs w:val="24"/>
                <w:highlight w:val="none"/>
                <w:u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823" w:type="dxa"/>
            <w:tcBorders>
              <w:top w:val="single" w:color="000000" w:sz="4" w:space="0"/>
              <w:bottom w:val="single" w:color="000000" w:sz="4" w:space="0"/>
              <w:right w:val="single" w:color="000000" w:sz="4" w:space="0"/>
            </w:tcBorders>
            <w:noWrap w:val="0"/>
            <w:vAlign w:val="center"/>
          </w:tcPr>
          <w:p>
            <w:pPr>
              <w:pStyle w:val="51"/>
              <w:spacing w:before="131" w:line="242" w:lineRule="auto"/>
              <w:ind w:left="201" w:right="79"/>
              <w:jc w:val="center"/>
              <w:rPr>
                <w:rFonts w:hint="default" w:ascii="Times New Roman" w:hAnsi="Times New Roman" w:cs="Times New Roman"/>
                <w:sz w:val="24"/>
                <w:szCs w:val="24"/>
              </w:rPr>
            </w:pPr>
            <w:r>
              <w:rPr>
                <w:rFonts w:hint="default" w:ascii="Times New Roman" w:hAnsi="Times New Roman" w:cs="Times New Roman"/>
                <w:sz w:val="24"/>
                <w:szCs w:val="24"/>
              </w:rPr>
              <w:t>工艺流程和产排污环节</w:t>
            </w:r>
          </w:p>
        </w:tc>
        <w:tc>
          <w:tcPr>
            <w:tcW w:w="8161" w:type="dxa"/>
            <w:tcBorders>
              <w:top w:val="single" w:color="000000" w:sz="4" w:space="0"/>
              <w:left w:val="single" w:color="000000" w:sz="4" w:space="0"/>
              <w:bottom w:val="single" w:color="000000" w:sz="4" w:space="0"/>
            </w:tcBorders>
            <w:noWrap w:val="0"/>
            <w:vAlign w:val="top"/>
          </w:tcPr>
          <w:p>
            <w:pPr>
              <w:adjustRightInd w:val="0"/>
              <w:snapToGrid w:val="0"/>
              <w:spacing w:line="360" w:lineRule="auto"/>
              <w:ind w:firstLine="482" w:firstLineChars="20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一、营运期工艺流程及产污环节图</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lang w:val="en-US"/>
              </w:rPr>
              <w:t>营运</w:t>
            </w:r>
            <w:r>
              <w:rPr>
                <w:rFonts w:hint="default" w:ascii="Times New Roman" w:hAnsi="Times New Roman" w:eastAsia="宋体" w:cs="Times New Roman"/>
                <w:sz w:val="24"/>
                <w:szCs w:val="24"/>
                <w:u w:val="single"/>
              </w:rPr>
              <w:t>期基本工序及污染工艺流程</w:t>
            </w:r>
            <w:r>
              <w:rPr>
                <w:rFonts w:hint="default" w:ascii="Times New Roman" w:hAnsi="Times New Roman" w:eastAsia="宋体" w:cs="Times New Roman"/>
                <w:sz w:val="24"/>
                <w:szCs w:val="24"/>
                <w:u w:val="single"/>
                <w:lang w:val="en-US"/>
              </w:rPr>
              <w:t>见图2-1。</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4652645</wp:posOffset>
                      </wp:positionH>
                      <wp:positionV relativeFrom="paragraph">
                        <wp:posOffset>173355</wp:posOffset>
                      </wp:positionV>
                      <wp:extent cx="539115" cy="28067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N</w:t>
                                  </w:r>
                                </w:p>
                              </w:txbxContent>
                            </wps:txbx>
                            <wps:bodyPr upright="1"/>
                          </wps:wsp>
                        </a:graphicData>
                      </a:graphic>
                    </wp:anchor>
                  </w:drawing>
                </mc:Choice>
                <mc:Fallback>
                  <w:pict>
                    <v:shape id="_x0000_s1026" o:spid="_x0000_s1026" o:spt="202" type="#_x0000_t202" style="position:absolute;left:0pt;margin-left:366.35pt;margin-top:13.65pt;height:22.1pt;width:42.45pt;z-index:251692032;mso-width-relative:page;mso-height-relative:page;" filled="f" stroked="f" coordsize="21600,21600" o:gfxdata="UEsDBAoAAAAAAIdO4kAAAAAAAAAAAAAAAAAEAAAAZHJzL1BLAwQUAAAACACHTuJA8U5H7tcAAAAJ&#10;AQAADwAAAGRycy9kb3ducmV2LnhtbE2PwU7DMBBE70j8g7VI3KidlDYljdMDiCuIQitxc+NtEjVe&#10;R7HbhL9nOdHjap5m3habyXXigkNoPWlIZgoEUuVtS7WGr8/XhxWIEA1Z03lCDT8YYFPe3hQmt36k&#10;D7xsYy24hEJuNDQx9rmUoWrQmTDzPRJnRz84E/kcamkHM3K562Sq1FI60xIvNKbH5war0/bsNOze&#10;jt/7R/Vev7hFP/pJSXJPUuv7u0StQUSc4j8Mf/qsDiU7HfyZbBCdhmyeZoxqSLM5CAZWSbYEceAk&#10;WYAsC3n9QfkLUEsDBBQAAAAIAIdO4kC70hna9AEAAOUDAAAOAAAAZHJzL2Uyb0RvYy54bWytU0tu&#10;GzEM3RfoHQTt6xm7sJsYHgcI3HRTtAWSHkCWOB4B+kGUPeMLtDfoqpvuey6fo5TsOEG68SIbDUVy&#10;HvkeqcXNYA3bQUTtXcPHo5ozcNIr7TYN//5w9+6KM0zCKWG8g4bvAfnN8u2bRR/mMPGdNwoiIxCH&#10;8z40vEspzKsKZQdW4MgHcBRsfbQi0TVuKhVFT+jWVJO6nlW9jypELwGRvKtjkJ8Q4yWAvm21hJWX&#10;WwsuHVEjGJGIEnY6IF+WbtsWZPratgiJmYYT01ROKkL2Op/VciHmmyhCp+WpBXFJCy84WaEdFT1D&#10;rUQSbBv1f1BWy+jRt2kkva2ORIoixGJcv9DmvhMBCheSGsNZdHw9WPll9y0yrRo+I0mcsDTxw6+f&#10;h99/D39+MPKRQH3AOeXdB8pMw60faG0e/UjOzHtoo81fYsQoTlj7s7wwJCbJOX1/PR5POZMUmlzV&#10;sw8FvXr6OURMn8Bblo2GR5peEVXsPmOiRij1MSXXcv5OG1MmaBzrG349nWR4QVvZ0jaQaQMxQ7cp&#10;MM/yM8xKYMd2ghYDvdHquApWJ4gFsgOhPjrF0j6QJo7eAs81LCjODNDTyVbJTEKbSzKpfeOIRdbz&#10;qFu20rAeCCaba6/2pPE2RL3pSICickmn6Rf6p03N6/X8XkCfXufy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OR+7XAAAACQEAAA8AAAAAAAAAAQAgAAAAIgAAAGRycy9kb3ducmV2LnhtbFBLAQIU&#10;ABQAAAAIAIdO4kC70hna9AEAAOUDAAAOAAAAAAAAAAEAIAAAACYBAABkcnMvZTJvRG9jLnhtbFBL&#10;BQYAAAAABgAGAFkBAACMBQ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N</w:t>
                            </w:r>
                          </w:p>
                        </w:txbxContent>
                      </v:textbox>
                    </v:shape>
                  </w:pict>
                </mc:Fallback>
              </mc:AlternateContent>
            </w: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4018280</wp:posOffset>
                      </wp:positionH>
                      <wp:positionV relativeFrom="paragraph">
                        <wp:posOffset>173355</wp:posOffset>
                      </wp:positionV>
                      <wp:extent cx="539115" cy="28067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wps:txbx>
                            <wps:bodyPr upright="1"/>
                          </wps:wsp>
                        </a:graphicData>
                      </a:graphic>
                    </wp:anchor>
                  </w:drawing>
                </mc:Choice>
                <mc:Fallback>
                  <w:pict>
                    <v:shape id="_x0000_s1026" o:spid="_x0000_s1026" o:spt="202" type="#_x0000_t202" style="position:absolute;left:0pt;margin-left:316.4pt;margin-top:13.65pt;height:22.1pt;width:42.45pt;z-index:251692032;mso-width-relative:page;mso-height-relative:page;" filled="f" stroked="f" coordsize="21600,21600" o:gfxdata="UEsDBAoAAAAAAIdO4kAAAAAAAAAAAAAAAAAEAAAAZHJzL1BLAwQUAAAACACHTuJAk4UOONcAAAAJ&#10;AQAADwAAAGRycy9kb3ducmV2LnhtbE2PzU7DMBCE70h9B2uRuFE7KW1omk0PRVxBlB+Jmxtvk4h4&#10;HcVuE94e90RvO9rRzDfFdrKdONPgW8cIyVyBIK6cablG+Hh/vn8E4YNmozvHhPBLHrbl7KbQuXEj&#10;v9F5H2oRQ9jnGqEJoc+l9FVDVvu564nj7+gGq0OUQy3NoMcYbjuZKrWSVrccGxrd066h6md/sgif&#10;L8fvrwf1Wj/ZZT+6SUm2a4l4d5uoDYhAU/g3wwU/okMZmQ7uxMaLDmG1SCN6QEizBYhoyJIsA3G4&#10;HEuQZSGvF5R/UEsDBBQAAAAIAIdO4kBRNE6T9QEAAOUDAAAOAAAAZHJzL2Uyb0RvYy54bWytU0tu&#10;GzEM3RfoHQTt6xm7cBobHgcI3HRTtAWSHkCWOB4B+kGUPeMLtDfoqpvuey6fo5TsOEG68SIbDUVy&#10;HvkeqcXNYA3bQUTtXcPHo5ozcNIr7TYN//5w9+6aM0zCKWG8g4bvAfnN8u2bRR/mMPGdNwoiIxCH&#10;8z40vEspzKsKZQdW4MgHcBRsfbQi0TVuKhVFT+jWVJO6vqp6H1WIXgIieVfHID8hxksAfdtqCSsv&#10;txZcOqJGMCIRJex0QL4s3bYtyPS1bRESMw0npqmcVITsdT6r5ULMN1GETstTC+KSFl5wskI7KnqG&#10;Wokk2Dbq/6CsltGjb9NIelsdiRRFiMW4fqHNfScCFC4kNYaz6Ph6sPLL7ltkWjV8OuPMCUsTP/z6&#10;efj99/DnByMfCdQHnFPefaDMNNz6gdbm0Y/kzLyHNtr8JUaM4iTv/iwvDIlJck7fz8bjKWeSQpPr&#10;+upDkb96+jlETJ/AW5aNhkeaXhFV7D5jokYo9TEl13L+ThtTJmgc6xs+m04yvKCtbGkbyLSBmKHb&#10;FJhn+RlmJbBjO0GLgd5odVwFqxPEAtmBUB+dYmkfSBNHb4HnGhYUZwbo6WSrZCahzSWZ1L5xxCLr&#10;edQtW2lYDwSTzbVXe9J4G6LedCRAUbmk0/QL/dOm5vV6fi+gT69z+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hQ441wAAAAkBAAAPAAAAAAAAAAEAIAAAACIAAABkcnMvZG93bnJldi54bWxQSwEC&#10;FAAUAAAACACHTuJAUTROk/UBAADlAwAADgAAAAAAAAABACAAAAAmAQAAZHJzL2Uyb0RvYy54bWxQ&#10;SwUGAAAAAAYABgBZAQAAjQU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v:textbox>
                    </v:shape>
                  </w:pict>
                </mc:Fallback>
              </mc:AlternateContent>
            </w: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3107690</wp:posOffset>
                      </wp:positionH>
                      <wp:positionV relativeFrom="paragraph">
                        <wp:posOffset>162560</wp:posOffset>
                      </wp:positionV>
                      <wp:extent cx="539115" cy="28067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wps:txbx>
                            <wps:bodyPr upright="1"/>
                          </wps:wsp>
                        </a:graphicData>
                      </a:graphic>
                    </wp:anchor>
                  </w:drawing>
                </mc:Choice>
                <mc:Fallback>
                  <w:pict>
                    <v:shape id="_x0000_s1026" o:spid="_x0000_s1026" o:spt="202" type="#_x0000_t202" style="position:absolute;left:0pt;margin-left:244.7pt;margin-top:12.8pt;height:22.1pt;width:42.45pt;z-index:251692032;mso-width-relative:page;mso-height-relative:page;" filled="f" stroked="f" coordsize="21600,21600" o:gfxdata="UEsDBAoAAAAAAIdO4kAAAAAAAAAAAAAAAAAEAAAAZHJzL1BLAwQUAAAACACHTuJAmP8R69cAAAAJ&#10;AQAADwAAAGRycy9kb3ducmV2LnhtbE2Py07DMBBF90j8gzVI7KjdkoQkZNIFiC2I8pDYufE0iYjH&#10;Uew24e8xK7oc3aN7z1TbxQ7iRJPvHSOsVwoEceNMzy3C+9vTTQ7CB81GD44J4Yc8bOvLi0qXxs38&#10;SqddaEUsYV9qhC6EsZTSNx1Z7VduJI7ZwU1Wh3hOrTSTnmO5HeRGqUxa3XNc6PRIDx0137ujRfh4&#10;Pnx9JuqlfbTpOLtFSbaFRLy+Wqt7EIGW8A/Dn35Uhzo67d2RjRcDQpIXSUQRNmkGIgLpXXILYo+Q&#10;FTnIupLnH9S/UEsDBBQAAAAIAIdO4kDLzY9S9QEAAOUDAAAOAAAAZHJzL2Uyb0RvYy54bWytU81u&#10;EzEQviPxDpbvZJOglHaVTSUUygUBUssDOPbsriX/yeNkNy8Ab8CJC3eeK8/B2EnTqlxy4OIdz8x+&#10;M9834+XtaA3bQUTtXcNnkyln4KRX2nUN//Zw9+aaM0zCKWG8g4bvAfnt6vWr5RBqmPveGwWREYjD&#10;eggN71MKdVWh7MEKnPgAjoKtj1YkusauUlEMhG5NNZ9Or6rBRxWil4BI3vUxyE+I8RJA37ZawtrL&#10;rQWXjqgRjEhECXsdkK9Kt20LMn1pW4TETMOJaSonFSF7k89qtRR1F0XotTy1IC5p4QUnK7Sjomeo&#10;tUiCbaP+B8pqGT36Nk2kt9WRSFGEWMymL7S570WAwoWkxnAWHf8frPy8+xqZVg1f0NydsDTxw88f&#10;h19/Dr+/M/KRQEPAmvLuA2Wm8b0faW0e/UjOzHtso81fYsQoTvLuz/LCmJgk5+LtzWy24ExSaH49&#10;vXpX5K+efg4R00fwlmWj4ZGmV0QVu0+YqBFKfUzJtZy/08aUCRrHhobfLOYZXtBWtrQNZNpAzNB1&#10;BeZZfoZZC+zZTtBioDdaHVfB6gSxQPYg1AenWNoH0sTRW+C5hgXFmQF6OtkqmUloc0kmtW8csch6&#10;HnXLVho3I8Fkc+PVnjTehqi7ngQoKpd0mn6hf9rUvF7P7wX06XWu/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xHr1wAAAAkBAAAPAAAAAAAAAAEAIAAAACIAAABkcnMvZG93bnJldi54bWxQSwEC&#10;FAAUAAAACACHTuJAy82PUvUBAADlAwAADgAAAAAAAAABACAAAAAmAQAAZHJzL2Uyb0RvYy54bWxQ&#10;SwUGAAAAAAYABgBZAQAAjQU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v:textbox>
                    </v:shape>
                  </w:pict>
                </mc:Fallback>
              </mc:AlternateContent>
            </w: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2272030</wp:posOffset>
                      </wp:positionH>
                      <wp:positionV relativeFrom="paragraph">
                        <wp:posOffset>151765</wp:posOffset>
                      </wp:positionV>
                      <wp:extent cx="539115" cy="28067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SN</w:t>
                                  </w:r>
                                </w:p>
                              </w:txbxContent>
                            </wps:txbx>
                            <wps:bodyPr upright="1"/>
                          </wps:wsp>
                        </a:graphicData>
                      </a:graphic>
                    </wp:anchor>
                  </w:drawing>
                </mc:Choice>
                <mc:Fallback>
                  <w:pict>
                    <v:shape id="_x0000_s1026" o:spid="_x0000_s1026" o:spt="202" type="#_x0000_t202" style="position:absolute;left:0pt;margin-left:178.9pt;margin-top:11.95pt;height:22.1pt;width:42.45pt;z-index:251692032;mso-width-relative:page;mso-height-relative:page;" filled="f" stroked="f" coordsize="21600,21600" o:gfxdata="UEsDBAoAAAAAAIdO4kAAAAAAAAAAAAAAAAAEAAAAZHJzL1BLAwQUAAAACACHTuJAQcW8otgAAAAJ&#10;AQAADwAAAGRycy9kb3ducmV2LnhtbE2PS0/DMBCE70j8B2uRuFE7afpKs+kBxBVEeUi9ufE2iYjX&#10;Uew24d9jTvQ4mtHMN8Vusp240OBbxwjJTIEgrpxpuUb4eH9+WIPwQbPRnWNC+CEPu/L2ptC5cSO/&#10;0WUfahFL2OcaoQmhz6X0VUNW+5nriaN3coPVIcqhlmbQYyy3nUyVWkqrW44Lje7psaHqe3+2CJ8v&#10;p8NXpl7rJ7voRzcpyXYjEe/vErUFEWgK/2H4w4/oUEamozuz8aJDmC9WET0gpPMNiBjIsnQF4oiw&#10;XCcgy0JePyh/AVBLAwQUAAAACACHTuJAW/jjwvUBAADlAwAADgAAAGRycy9lMm9Eb2MueG1srVNL&#10;jhMxEN0jcQfLe9KdoMwnSmckFIYNAqSBAzh2ddqSf3I56c4F4Aas2LDnXDkHZXcmMxo2WbBxl6uq&#10;X9V7VV7eDdawPUTU3jV8Oqk5Aye90m7b8G9f79/ccIZJOCWMd9DwAyC/W71+tezDAma+80ZBZATi&#10;cNGHhncphUVVoezACpz4AI6CrY9WJLrGbaWi6AndmmpW11dV76MK0UtAJO96DPITYrwE0LetlrD2&#10;cmfBpRE1ghGJKGGnA/JV6bZtQabPbYuQmGk4MU3lpCJkb/JZrZZisY0idFqeWhCXtPCCkxXaUdEz&#10;1FokwXZR/wNltYwefZsm0ttqJFIUIRbT+oU2D50IULiQ1BjOouP/g5Wf9l8i06rh82vOnLA08ePP&#10;H8dff46/vzPykUB9wAXlPQTKTMM7P9DaPPqRnJn30Eabv8SIUZzkPZzlhSExSc7529vpdM6ZpNDs&#10;pr66LvJXTz+HiOkDeMuy0fBI0yuiiv1HTNQIpT6m5FrO32tjygSNY33Db+ezDC9oK1vaBjJtIGbo&#10;tgXmWX6GWQvs2F7QYqA3Wo2rYHWCWCA7EOq9UywdAmni6C3wXMOC4swAPZ1slcwktLkkk9o3jlhk&#10;PUfdspWGzUAw2dx4dSCNdyHqbUcCFJVLOk2/0D9tal6v5/cC+vQ6V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cW8otgAAAAJAQAADwAAAAAAAAABACAAAAAiAAAAZHJzL2Rvd25yZXYueG1sUEsB&#10;AhQAFAAAAAgAh07iQFv448L1AQAA5QMAAA4AAAAAAAAAAQAgAAAAJwEAAGRycy9lMm9Eb2MueG1s&#10;UEsFBgAAAAAGAAYAWQEAAI4FA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SN</w:t>
                            </w:r>
                          </w:p>
                        </w:txbxContent>
                      </v:textbox>
                    </v:shape>
                  </w:pict>
                </mc:Fallback>
              </mc:AlternateContent>
            </w:r>
            <w:r>
              <w:rPr>
                <w:kern w:val="0"/>
                <w:sz w:val="24"/>
                <w:u w:val="single"/>
              </w:rPr>
              <mc:AlternateContent>
                <mc:Choice Requires="wps">
                  <w:drawing>
                    <wp:anchor distT="0" distB="0" distL="114300" distR="114300" simplePos="0" relativeHeight="251702272" behindDoc="0" locked="0" layoutInCell="1" allowOverlap="1">
                      <wp:simplePos x="0" y="0"/>
                      <wp:positionH relativeFrom="column">
                        <wp:posOffset>1308735</wp:posOffset>
                      </wp:positionH>
                      <wp:positionV relativeFrom="paragraph">
                        <wp:posOffset>120650</wp:posOffset>
                      </wp:positionV>
                      <wp:extent cx="539115" cy="28067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SN</w:t>
                                  </w:r>
                                </w:p>
                              </w:txbxContent>
                            </wps:txbx>
                            <wps:bodyPr upright="1"/>
                          </wps:wsp>
                        </a:graphicData>
                      </a:graphic>
                    </wp:anchor>
                  </w:drawing>
                </mc:Choice>
                <mc:Fallback>
                  <w:pict>
                    <v:shape id="_x0000_s1026" o:spid="_x0000_s1026" o:spt="202" type="#_x0000_t202" style="position:absolute;left:0pt;margin-left:103.05pt;margin-top:9.5pt;height:22.1pt;width:42.45pt;z-index:251702272;mso-width-relative:page;mso-height-relative:page;" filled="f" stroked="f" coordsize="21600,21600" o:gfxdata="UEsDBAoAAAAAAIdO4kAAAAAAAAAAAAAAAAAEAAAAZHJzL1BLAwQUAAAACACHTuJAD2ACb9YAAAAJ&#10;AQAADwAAAGRycy9kb3ducmV2LnhtbE2PwU7DMBBE70j9B2uRuFE7ASKSxumhiCuoLSD15sbbJCJe&#10;R7HbhL/vcoLbjuZpdqZcz64XFxxD50lDslQgkGpvO2o0fOxf759BhGjImt4TavjBAOtqcVOawvqJ&#10;tnjZxUZwCIXCaGhjHAopQ92iM2HpByT2Tn50JrIcG2lHM3G462WqVCad6Yg/tGbATYv19+7sNHy+&#10;nQ5fj+q9eXFPw+RnJcnlUuu720StQESc4x8Mv/W5OlTc6ejPZIPoNaQqSxhlI+dNDKR5wsdRQ/aQ&#10;gqxK+X9BdQVQSwMEFAAAAAgAh07iQMEBIgP1AQAA5QMAAA4AAABkcnMvZTJvRG9jLnhtbK1TS24b&#10;MQzdF+gdBO3rGbuwmxgeBwjcdFO0BZIeQJY4HgH6QZQ94wu0N+iqm+57Lp+jlOw4QbrxIhsNRXIe&#10;+R6pxc1gDdtBRO1dw8ejmjNw0ivtNg3//nD37oozTMIpYbyDhu8B+c3y7ZtFH+Yw8Z03CiIjEIfz&#10;PjS8SynMqwplB1bgyAdwFGx9tCLRNW4qFUVP6NZUk7qeVb2PKkQvAZG8q2OQnxDjJYC+bbWElZdb&#10;Cy4dUSMYkYgSdjogX5Zu2xZk+tq2CImZhhPTVE4qQvY6n9VyIeabKEKn5akFcUkLLzhZoR0VPUOt&#10;RBJsG/V/UFbL6NG3aSS9rY5EiiLEYly/0Oa+EwEKF5Iaw1l0fD1Y+WX3LTKtGj6dceaEpYkffv08&#10;/P57+PODkY8E6gPOKe8+UGYabv1Aa/PoR3Jm3kMbbf4SI0Zxknd/lheGxCQ5p++vx+MpZ5JCk6t6&#10;9qHIXz39HCKmT+Aty0bDI02viCp2nzFRI5T6mJJrOX+njSkTNI71Db+eTjK8oK1saRvItIGYodsU&#10;mGf5GWYlsGM7QYuB3mh1XAWrE8QC2YFQH51iaR9IE0dvgecaFhRnBujpZKtkJqHNJZnUvnHEIut5&#10;1C1baVgPBJPNtVd70ngbot50JEBRuaTT9Av906bm9Xp+L6BPr3P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9gAm/WAAAACQEAAA8AAAAAAAAAAQAgAAAAIgAAAGRycy9kb3ducmV2LnhtbFBLAQIU&#10;ABQAAAAIAIdO4kDBASID9QEAAOUDAAAOAAAAAAAAAAEAIAAAACUBAABkcnMvZTJvRG9jLnhtbFBL&#10;BQYAAAAABgAGAFkBAACMBQ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SN</w:t>
                            </w:r>
                          </w:p>
                        </w:txbxContent>
                      </v:textbox>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kern w:val="0"/>
                <w:sz w:val="24"/>
                <w:u w:val="single"/>
              </w:rPr>
              <mc:AlternateContent>
                <mc:Choice Requires="wps">
                  <w:drawing>
                    <wp:anchor distT="0" distB="0" distL="114300" distR="114300" simplePos="0" relativeHeight="251667456" behindDoc="0" locked="0" layoutInCell="1" allowOverlap="1">
                      <wp:simplePos x="0" y="0"/>
                      <wp:positionH relativeFrom="column">
                        <wp:posOffset>429260</wp:posOffset>
                      </wp:positionH>
                      <wp:positionV relativeFrom="paragraph">
                        <wp:posOffset>139065</wp:posOffset>
                      </wp:positionV>
                      <wp:extent cx="549275" cy="28067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1"/>
                                      <w:lang w:val="en-US"/>
                                    </w:rPr>
                                  </w:pPr>
                                  <w:r>
                                    <w:rPr>
                                      <w:rFonts w:hint="eastAsia"/>
                                      <w:sz w:val="21"/>
                                      <w:szCs w:val="21"/>
                                      <w:lang w:val="en-US" w:eastAsia="zh-CN"/>
                                    </w:rPr>
                                    <w:t>原料</w:t>
                                  </w:r>
                                </w:p>
                              </w:txbxContent>
                            </wps:txbx>
                            <wps:bodyPr upright="1"/>
                          </wps:wsp>
                        </a:graphicData>
                      </a:graphic>
                    </wp:anchor>
                  </w:drawing>
                </mc:Choice>
                <mc:Fallback>
                  <w:pict>
                    <v:shape id="_x0000_s1026" o:spid="_x0000_s1026" o:spt="202" type="#_x0000_t202" style="position:absolute;left:0pt;margin-left:33.8pt;margin-top:10.95pt;height:22.1pt;width:43.25pt;z-index:251667456;mso-width-relative:page;mso-height-relative:page;" fillcolor="#FFFFFF" filled="t" stroked="t" coordsize="21600,21600" o:gfxdata="UEsDBAoAAAAAAIdO4kAAAAAAAAAAAAAAAAAEAAAAZHJzL1BLAwQUAAAACACHTuJA4PBCY9cAAAAI&#10;AQAADwAAAGRycy9kb3ducmV2LnhtbE2PwU7DMBBE70j8g7VIXBB1XIrbhjg9IIHgBgW1VzfeJhH2&#10;OthuWv4e9wTH1RvNvK1WJ2fZiCH2nhSISQEMqfGmp1bB58fT7QJYTJqMtp5QwQ9GWNWXF5UujT/S&#10;O47r1LJcQrHUCrqUhpLz2HTodJz4ASmzvQ9Op3yGlpugj7ncWT4tCsmd7ikvdHrAxw6br/XBKVjM&#10;XsZtfL172zRyb5fpZj4+fwelrq9E8QAs4Sn9heGsn9Whzk47fyATmVUg5zInFUzFEtiZ388EsF0G&#10;UgCvK/7/gfoXUEsDBBQAAAAIAIdO4kCKNBgrCwIAADUEAAAOAAAAZHJzL2Uyb0RvYy54bWytU8uu&#10;0zAQ3SPxD5b3NLkRvY+o6ZWglA0CpAsf4NpOYskvedwm/QH4A1Zs2PNd/Q7GTm/vAxZdkIUzHo/P&#10;zDkzXtyORpOdDKCcbejFrKREWu6Esl1Dv35Zv7qmBCKzgmlnZUP3Eujt8uWLxeBrWbneaSEDQRAL&#10;9eAb2sfo66IA3kvDYOa8tHjYumBYxG3oChHYgOhGF1VZXhaDC8IHxyUAelfTIT0ihnMAXdsqLleO&#10;b420cUINUrOIlKBXHugyV9u2ksdPbQsyEt1QZBrziknQ3qS1WC5Y3QXme8WPJbBzSnjGyTBlMekJ&#10;asUiI9ug/oIyigcHro0z7kwxEcmKIIuL8pk2dz3zMnNBqcGfRIf/B8s/7j4HokRD55RYZrDhhx/f&#10;Dz9/H359I/Mkz+Chxqg7j3FxfONGHJp7P6AzsR7bYNIf+RA8R3H3J3HlGAlH5/z1TXWFSTgeVdfl&#10;5VUWv3i47APE99IZkoyGBuxdlpTtPkDEQjD0PiTlAqeVWCut8yZ0m7c6kB3DPq/zl2rEK0/CtCVD&#10;Q2/mVaqD4fC2ODRoGo8CgO1yvic34DFwmb9/AafCVgz6qYCMkMJYbVSUIVu9ZOKdFSTuPYps8W3R&#10;VIyRghIt8SkmK0dGpvQ5kchOWySZOjR1Illx3IwIk8yNE3vs2tYH1fUoae5bDsdpyuocJz+N6+N9&#10;Bn147c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PBCY9cAAAAIAQAADwAAAAAAAAABACAAAAAi&#10;AAAAZHJzL2Rvd25yZXYueG1sUEsBAhQAFAAAAAgAh07iQIo0GCsLAgAANQQAAA4AAAAAAAAAAQAg&#10;AAAAJgEAAGRycy9lMm9Eb2MueG1sUEsFBgAAAAAGAAYAWQEAAKMFAAAAAA==&#10;">
                      <v:fill on="t" focussize="0,0"/>
                      <v:stroke color="#000000" joinstyle="miter"/>
                      <v:imagedata o:title=""/>
                      <o:lock v:ext="edit" aspectratio="f"/>
                      <v:textbox>
                        <w:txbxContent>
                          <w:p>
                            <w:pPr>
                              <w:rPr>
                                <w:rFonts w:hint="default"/>
                                <w:sz w:val="21"/>
                                <w:szCs w:val="21"/>
                                <w:lang w:val="en-US"/>
                              </w:rPr>
                            </w:pPr>
                            <w:r>
                              <w:rPr>
                                <w:rFonts w:hint="eastAsia"/>
                                <w:sz w:val="21"/>
                                <w:szCs w:val="21"/>
                                <w:lang w:val="en-US" w:eastAsia="zh-CN"/>
                              </w:rPr>
                              <w:t>原料</w:t>
                            </w:r>
                          </w:p>
                        </w:txbxContent>
                      </v:textbox>
                    </v:shape>
                  </w:pict>
                </mc:Fallback>
              </mc:AlternateContent>
            </w:r>
            <w:r>
              <w:rPr>
                <w:kern w:val="0"/>
                <w:sz w:val="24"/>
                <w:u w:val="single"/>
              </w:rPr>
              <mc:AlternateContent>
                <mc:Choice Requires="wps">
                  <w:drawing>
                    <wp:anchor distT="0" distB="0" distL="114300" distR="114300" simplePos="0" relativeHeight="251672576" behindDoc="0" locked="0" layoutInCell="1" allowOverlap="1">
                      <wp:simplePos x="0" y="0"/>
                      <wp:positionH relativeFrom="column">
                        <wp:posOffset>4622800</wp:posOffset>
                      </wp:positionH>
                      <wp:positionV relativeFrom="paragraph">
                        <wp:posOffset>163830</wp:posOffset>
                      </wp:positionV>
                      <wp:extent cx="549275" cy="280670"/>
                      <wp:effectExtent l="4445" t="4445" r="17780" b="19685"/>
                      <wp:wrapNone/>
                      <wp:docPr id="10" name="文本框 10"/>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FF0000"/>
                                      <w:sz w:val="21"/>
                                      <w:szCs w:val="21"/>
                                      <w:lang w:val="en-US" w:eastAsia="zh-CN"/>
                                    </w:rPr>
                                  </w:pPr>
                                  <w:r>
                                    <w:rPr>
                                      <w:rFonts w:hint="eastAsia"/>
                                      <w:color w:val="FF0000"/>
                                      <w:sz w:val="21"/>
                                      <w:szCs w:val="21"/>
                                      <w:lang w:val="en-US" w:eastAsia="zh-CN"/>
                                    </w:rPr>
                                    <w:t>射骨</w:t>
                                  </w:r>
                                </w:p>
                              </w:txbxContent>
                            </wps:txbx>
                            <wps:bodyPr upright="1"/>
                          </wps:wsp>
                        </a:graphicData>
                      </a:graphic>
                    </wp:anchor>
                  </w:drawing>
                </mc:Choice>
                <mc:Fallback>
                  <w:pict>
                    <v:shape id="_x0000_s1026" o:spid="_x0000_s1026" o:spt="202" type="#_x0000_t202" style="position:absolute;left:0pt;margin-left:364pt;margin-top:12.9pt;height:22.1pt;width:43.25pt;z-index:251672576;mso-width-relative:page;mso-height-relative:page;" fillcolor="#FFFFFF" filled="t" stroked="t" coordsize="21600,21600" o:gfxdata="UEsDBAoAAAAAAIdO4kAAAAAAAAAAAAAAAAAEAAAAZHJzL1BLAwQUAAAACACHTuJAUWKvadgAAAAJ&#10;AQAADwAAAGRycy9kb3ducmV2LnhtbE2Py07DMBBF90j8gzVIbBC1E/oIIU4XSCDYlYJg68bTJMIe&#10;h9hNy98zrGA5uld3zqnWJ+/EhGPsA2nIZgoEUhNsT62Gt9eH6wJETIascYFQwzdGWNfnZ5UpbTjS&#10;C07b1AoeoVgaDV1KQyllbDr0Js7CgMTZPozeJD7HVtrRHHncO5krtZTe9MQfOjPgfYfN5/bgNRTz&#10;p+kjPt9s3pvl3t2mq9X0+DVqfXmRqTsQCU/prwy/+IwONTPtwoFsFE7DKi/YJWnIF6zAhSKbL0Ds&#10;OFEKZF3J/wb1D1BLAwQUAAAACACHTuJAXjZMMgsCAAA3BAAADgAAAGRycy9lMm9Eb2MueG1srVNL&#10;rtMwFJ0jsQfLc5q8ir5P1PRJUMoEAdKDBbiOk1jyT7bbpBuAHTBiwpx1dR0cu319Hxh0QAbOtX18&#10;fM+51/PbUSuyFT5Ia2p6MSkpEYbbRpqupl+/rF5dUxIiMw1T1oia7kSgt4uXL+aDq8TU9lY1whOQ&#10;mFANrqZ9jK4qisB7oVmYWCcMNlvrNYuY+q5oPBvArlUxLcvLYrC+cd5yEQJWl4dNemT05xDatpVc&#10;LC3faGHigdULxSIkhV66QBc527YVPH5q2yAiUTWF0phHXIJ4ncZiMWdV55nrJT+mwM5J4ZkmzaTB&#10;pSeqJYuMbLz8i0pL7m2wbZxwq4uDkOwIVFyUz7y565kTWQusDu5kevh/tPzj9rMnskEnwBLDNCq+&#10;//F9//P3/tc3gjUYNLhQAXfngIzjGzsCfL8esJh0j63X6Q9FBPvg2p3sFWMkHIuz1zfTqxklHFvT&#10;6/LyKrMXD4edD/G9sJqkoKYe1cumsu2HEJEIoPeQdFewSjYrqVSe+G79VnmyZaj0Kn8pRxx5AlOG&#10;DDW9mU1THgzt26JtEGoHC4Lp8n1PToTHxGX+/kWcEluy0B8SyAwJxioto/A56gVr3pmGxJ2Dywav&#10;i6ZktGgoUQKPMUUZGZlU5yChThmITBU6VCJFcVyPoEnh2jY7VG3jvOx6WJrrluHop+zOsfdTwz6e&#10;Z9KH977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Fir2nYAAAACQEAAA8AAAAAAAAAAQAgAAAA&#10;IgAAAGRycy9kb3ducmV2LnhtbFBLAQIUABQAAAAIAIdO4kBeNkwyCwIAADcEAAAOAAAAAAAAAAEA&#10;IAAAACcBAABkcnMvZTJvRG9jLnhtbFBLBQYAAAAABgAGAFkBAACkBQAAAAA=&#10;">
                      <v:fill on="t" focussize="0,0"/>
                      <v:stroke color="#000000" joinstyle="miter"/>
                      <v:imagedata o:title=""/>
                      <o:lock v:ext="edit" aspectratio="f"/>
                      <v:textbox>
                        <w:txbxContent>
                          <w:p>
                            <w:pPr>
                              <w:rPr>
                                <w:rFonts w:hint="default" w:eastAsia="宋体"/>
                                <w:color w:val="FF0000"/>
                                <w:sz w:val="21"/>
                                <w:szCs w:val="21"/>
                                <w:lang w:val="en-US" w:eastAsia="zh-CN"/>
                              </w:rPr>
                            </w:pPr>
                            <w:r>
                              <w:rPr>
                                <w:rFonts w:hint="eastAsia"/>
                                <w:color w:val="FF0000"/>
                                <w:sz w:val="21"/>
                                <w:szCs w:val="21"/>
                                <w:lang w:val="en-US" w:eastAsia="zh-CN"/>
                              </w:rPr>
                              <w:t>射骨</w:t>
                            </w:r>
                          </w:p>
                        </w:txbxContent>
                      </v:textbox>
                    </v:shape>
                  </w:pict>
                </mc:Fallback>
              </mc:AlternateContent>
            </w:r>
            <w:r>
              <w:rPr>
                <w:kern w:val="0"/>
                <w:sz w:val="24"/>
                <w:u w:val="single"/>
              </w:rPr>
              <mc:AlternateContent>
                <mc:Choice Requires="wps">
                  <w:drawing>
                    <wp:anchor distT="0" distB="0" distL="114300" distR="114300" simplePos="0" relativeHeight="251671552" behindDoc="0" locked="0" layoutInCell="1" allowOverlap="1">
                      <wp:simplePos x="0" y="0"/>
                      <wp:positionH relativeFrom="column">
                        <wp:posOffset>3919855</wp:posOffset>
                      </wp:positionH>
                      <wp:positionV relativeFrom="paragraph">
                        <wp:posOffset>148590</wp:posOffset>
                      </wp:positionV>
                      <wp:extent cx="549275" cy="28067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定型</w:t>
                                  </w:r>
                                </w:p>
                              </w:txbxContent>
                            </wps:txbx>
                            <wps:bodyPr upright="1"/>
                          </wps:wsp>
                        </a:graphicData>
                      </a:graphic>
                    </wp:anchor>
                  </w:drawing>
                </mc:Choice>
                <mc:Fallback>
                  <w:pict>
                    <v:shape id="_x0000_s1026" o:spid="_x0000_s1026" o:spt="202" type="#_x0000_t202" style="position:absolute;left:0pt;margin-left:308.65pt;margin-top:11.7pt;height:22.1pt;width:43.25pt;z-index:251671552;mso-width-relative:page;mso-height-relative:page;" fillcolor="#FFFFFF" filled="t" stroked="t" coordsize="21600,21600" o:gfxdata="UEsDBAoAAAAAAIdO4kAAAAAAAAAAAAAAAAAEAAAAZHJzL1BLAwQUAAAACACHTuJAQYt3BtgAAAAJ&#10;AQAADwAAAGRycy9kb3ducmV2LnhtbE2PwU7DMBBE70j8g7VIXBC101RJCXF6QALBDQqCq5tskwh7&#10;HWw3LX/PcoLjap5m39Sbk7NixhBHTxqyhQKB1PpupF7D2+v99RpETIY6Yz2hhm+MsGnOz2pTdf5I&#10;LzhvUy+4hGJlNAwpTZWUsR3QmbjwExJnex+cSXyGXnbBHLncWblUqpDOjMQfBjPh3YDt5/bgNKxX&#10;j/NHfMqf39tib2/SVTk/fAWtLy8ydQsi4Sn9wfCrz+rQsNPOH6iLwmoosjJnVMMyX4FgoFQ5b9lx&#10;UhYgm1r+X9D8AFBLAwQUAAAACACHTuJAI0ALEwwCAAA1BAAADgAAAGRycy9lMm9Eb2MueG1srVNL&#10;btswEN0X6B0I7mspRp3EguUAretuirZA2gPQJCUR4A8c2pIv0N6gq26677l8jg4px/k0Cy+iBTUk&#10;Hx/nvRkubgajyU4GUM7W9GJSUiItd0LZtqbfv63fXFMCkVnBtLOypnsJ9Gb5+tWi95Wcus5pIQNB&#10;EgtV72vaxeirogDeScNg4ry0uNm4YFjEaWgLEViP7EYX07K8LHoXhA+OSwBcXY2b9MgYziF0TaO4&#10;XDm+NdLGkTVIzSJKgk55oMucbdNIHr80DchIdE1RacwjXoLxJo3FcsGqNjDfKX5MgZ2TwhNNhimL&#10;l56oViwysg3qPyqjeHDgmjjhzhSjkOwIqrgon3hz2zEvsxa0GvzJdHg5Wv559zUQJWo6p8QygwU/&#10;/Pp5+P338OcHmSd7eg8Vom494uLwzg3YNHfrgItJ9dAEk/6oh+A+mrs/mSuHSDguzt7Op1czSjhu&#10;Ta/Ly6tsfnF/2AeIH6UzJAU1DVi7bCnbfYKIiSD0DpLuAqeVWCut8yS0m/c6kB3DOq/zl3LEI49g&#10;2pIelc6mKQ+Gzdtg02BoPBoAts33PToBD4nL/D1HnBJbMejGBDJDgrHKqChDjjrJxAcrSNx7NNni&#10;26IpGSMFJVriU0xRRkam9DlIVKctikwVGiuRojhsBqRJ4caJPVZt64NqO7Q01y3DsZuyO8fOT+36&#10;cJ5J71/7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i3cG2AAAAAkBAAAPAAAAAAAAAAEAIAAA&#10;ACIAAABkcnMvZG93bnJldi54bWxQSwECFAAUAAAACACHTuJAI0ALEwwCAAA1BAAADgAAAAAAAAAB&#10;ACAAAAAnAQAAZHJzL2Uyb0RvYy54bWxQSwUGAAAAAAYABgBZAQAApQU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定型</w:t>
                            </w:r>
                          </w:p>
                        </w:txbxContent>
                      </v:textbox>
                    </v:shape>
                  </w:pict>
                </mc:Fallback>
              </mc:AlternateContent>
            </w:r>
            <w:r>
              <w:rPr>
                <w:kern w:val="0"/>
                <w:sz w:val="24"/>
                <w:u w:val="single"/>
              </w:rPr>
              <mc:AlternateContent>
                <mc:Choice Requires="wps">
                  <w:drawing>
                    <wp:anchor distT="0" distB="0" distL="114300" distR="114300" simplePos="0" relativeHeight="251670528" behindDoc="0" locked="0" layoutInCell="1" allowOverlap="1">
                      <wp:simplePos x="0" y="0"/>
                      <wp:positionH relativeFrom="column">
                        <wp:posOffset>3058160</wp:posOffset>
                      </wp:positionH>
                      <wp:positionV relativeFrom="paragraph">
                        <wp:posOffset>133985</wp:posOffset>
                      </wp:positionV>
                      <wp:extent cx="549275" cy="280670"/>
                      <wp:effectExtent l="4445" t="4445" r="17780" b="19685"/>
                      <wp:wrapNone/>
                      <wp:docPr id="8" name="文本框 8"/>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color w:val="FF0000"/>
                                      <w:sz w:val="21"/>
                                      <w:szCs w:val="21"/>
                                      <w:lang w:val="en-US" w:eastAsia="zh-CN"/>
                                    </w:rPr>
                                  </w:pPr>
                                  <w:r>
                                    <w:rPr>
                                      <w:rFonts w:hint="eastAsia"/>
                                      <w:color w:val="FF0000"/>
                                      <w:sz w:val="21"/>
                                      <w:szCs w:val="21"/>
                                      <w:lang w:val="en-US" w:eastAsia="zh-CN"/>
                                    </w:rPr>
                                    <w:t>染色</w:t>
                                  </w:r>
                                </w:p>
                              </w:txbxContent>
                            </wps:txbx>
                            <wps:bodyPr upright="1"/>
                          </wps:wsp>
                        </a:graphicData>
                      </a:graphic>
                    </wp:anchor>
                  </w:drawing>
                </mc:Choice>
                <mc:Fallback>
                  <w:pict>
                    <v:shape id="_x0000_s1026" o:spid="_x0000_s1026" o:spt="202" type="#_x0000_t202" style="position:absolute;left:0pt;margin-left:240.8pt;margin-top:10.55pt;height:22.1pt;width:43.25pt;z-index:251670528;mso-width-relative:page;mso-height-relative:page;" fillcolor="#FFFFFF" filled="t" stroked="t" coordsize="21600,21600" o:gfxdata="UEsDBAoAAAAAAIdO4kAAAAAAAAAAAAAAAAAEAAAAZHJzL1BLAwQUAAAACACHTuJABJnW19kAAAAJ&#10;AQAADwAAAGRycy9kb3ducmV2LnhtbE2Py07DMBBF90j8gzVIbBB13IcJIU4XSCDYlYJg68bTJMIe&#10;B9tNy99jVrCb0RzdObden5xlE4Y4eFIgZgUwpNabgToFb68P1yWwmDQZbT2hgm+MsG7Oz2pdGX+k&#10;F5y2qWM5hGKlFfQpjRXnse3R6TjzI1K+7X1wOuU1dNwEfczhzvJ5UUju9ED5Q69HvO+x/dwenIJy&#10;+TR9xOfF5r2Ve3ubrm6mx6+g1OWFKO6AJTylPxh+9bM6NNlp5w9kIrMKlqWQGVUwFwJYBlayzMNO&#10;gVwtgDc1/9+g+QFQSwMEFAAAAAgAh07iQIrJk40NAgAANQQAAA4AAABkcnMvZTJvRG9jLnhtbK1T&#10;S27bMBDdF+gdCO5rKUadOILlAK3rboq2QNoD0CQlEeAPHNqSL9DeoKtuuu+5fI4OKcf5NAsvogU1&#10;JB8f570ZLm4Go8lOBlDO1vRiUlIiLXdC2bam37+t38wpgcisYNpZWdO9BHqzfP1q0ftKTl3ntJCB&#10;IImFqvc17WL0VVEA76RhMHFeWtxsXDAs4jS0hQisR3aji2lZXha9C8IHxyUArq7GTXpkDOcQuqZR&#10;XK4c3xpp48gapGYRJUGnPNBlzrZpJI9fmgZkJLqmqDTmES/BeJPGYrlgVRuY7xQ/psDOSeGJJsOU&#10;xUtPVCsWGdkG9R+VUTw4cE2ccGeKUUh2BFVclE+8ue2Yl1kLWg3+ZDq8HC3/vPsaiBI1xbJbZrDg&#10;h18/D7//Hv78IPNkT++hQtStR1wc3rkBm+ZuHXAxqR6aYNIf9RDcR3P3J3PlEAnHxdnb6+nVjBKO&#10;W9N5eXmVzS/uD/sA8aN0hqSgpgFrly1lu08QMRGE3kHSXeC0EmuldZ6EdvNeB7JjWOd1/lKOeOQR&#10;TFvS1/R6Nk15MGzeBpsGQ+PRALBtvu/RCXhIXObvOeKU2IpBNyaQGRKMVUZFGXLUSSY+WEHi3qPJ&#10;Ft8WTckYKSjREp9iijIyMqXPQaI6bVFkqtBYiRTFYTMgTQo3TuyxalsfVNuhpbluGY7dlN05dn5q&#10;14fzTHr/2p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SZ1tfZAAAACQEAAA8AAAAAAAAAAQAg&#10;AAAAIgAAAGRycy9kb3ducmV2LnhtbFBLAQIUABQAAAAIAIdO4kCKyZONDQIAADUEAAAOAAAAAAAA&#10;AAEAIAAAACgBAABkcnMvZTJvRG9jLnhtbFBLBQYAAAAABgAGAFkBAACnBQAAAAA=&#10;">
                      <v:fill on="t" focussize="0,0"/>
                      <v:stroke color="#000000" joinstyle="miter"/>
                      <v:imagedata o:title=""/>
                      <o:lock v:ext="edit" aspectratio="f"/>
                      <v:textbox>
                        <w:txbxContent>
                          <w:p>
                            <w:pPr>
                              <w:rPr>
                                <w:rFonts w:hint="eastAsia" w:eastAsia="宋体"/>
                                <w:color w:val="FF0000"/>
                                <w:sz w:val="21"/>
                                <w:szCs w:val="21"/>
                                <w:lang w:val="en-US" w:eastAsia="zh-CN"/>
                              </w:rPr>
                            </w:pPr>
                            <w:r>
                              <w:rPr>
                                <w:rFonts w:hint="eastAsia"/>
                                <w:color w:val="FF0000"/>
                                <w:sz w:val="21"/>
                                <w:szCs w:val="21"/>
                                <w:lang w:val="en-US" w:eastAsia="zh-CN"/>
                              </w:rPr>
                              <w:t>染色</w:t>
                            </w:r>
                          </w:p>
                        </w:txbxContent>
                      </v:textbox>
                    </v:shape>
                  </w:pict>
                </mc:Fallback>
              </mc:AlternateContent>
            </w:r>
            <w:r>
              <w:rPr>
                <w:kern w:val="0"/>
                <w:sz w:val="24"/>
                <w:u w:val="single"/>
              </w:rPr>
              <mc:AlternateContent>
                <mc:Choice Requires="wps">
                  <w:drawing>
                    <wp:anchor distT="0" distB="0" distL="114300" distR="114300" simplePos="0" relativeHeight="251669504" behindDoc="0" locked="0" layoutInCell="1" allowOverlap="1">
                      <wp:simplePos x="0" y="0"/>
                      <wp:positionH relativeFrom="column">
                        <wp:posOffset>2190115</wp:posOffset>
                      </wp:positionH>
                      <wp:positionV relativeFrom="paragraph">
                        <wp:posOffset>144780</wp:posOffset>
                      </wp:positionV>
                      <wp:extent cx="549275" cy="280670"/>
                      <wp:effectExtent l="4445" t="4445" r="17780" b="19685"/>
                      <wp:wrapNone/>
                      <wp:docPr id="7" name="文本框 7"/>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1"/>
                                      <w:lang w:val="en-US"/>
                                    </w:rPr>
                                  </w:pPr>
                                  <w:r>
                                    <w:rPr>
                                      <w:rFonts w:hint="eastAsia"/>
                                      <w:sz w:val="21"/>
                                      <w:szCs w:val="21"/>
                                      <w:lang w:val="en-US" w:eastAsia="zh-CN"/>
                                    </w:rPr>
                                    <w:t>冲床</w:t>
                                  </w:r>
                                </w:p>
                              </w:txbxContent>
                            </wps:txbx>
                            <wps:bodyPr upright="1"/>
                          </wps:wsp>
                        </a:graphicData>
                      </a:graphic>
                    </wp:anchor>
                  </w:drawing>
                </mc:Choice>
                <mc:Fallback>
                  <w:pict>
                    <v:shape id="_x0000_s1026" o:spid="_x0000_s1026" o:spt="202" type="#_x0000_t202" style="position:absolute;left:0pt;margin-left:172.45pt;margin-top:11.4pt;height:22.1pt;width:43.25pt;z-index:251669504;mso-width-relative:page;mso-height-relative:page;" fillcolor="#FFFFFF" filled="t" stroked="t" coordsize="21600,21600" o:gfxdata="UEsDBAoAAAAAAIdO4kAAAAAAAAAAAAAAAAAEAAAAZHJzL1BLAwQUAAAACACHTuJAW29zv9kAAAAJ&#10;AQAADwAAAGRycy9kb3ducmV2LnhtbE2Py07DMBBF90j8gzVIbBC181Dahky6QALBjhYEWzd2kwh7&#10;HGw3LX+PWcFyNEf3nttsztawWfswOkLIFgKYps6pkXqEt9eH2xWwECUpaRxphG8dYNNeXjSyVu5E&#10;Wz3vYs9SCIVaIgwxTjXnoRu0lWHhJk3pd3DeyphO33Pl5SmFW8NzISpu5UipYZCTvh9097k7WoRV&#10;+TR/hOfi5b2rDmYdb5bz45dHvL7KxB2wqM/xD4Zf/aQObXLauyOpwAxCUZbrhCLkeZqQgLLISmB7&#10;hGopgLcN/7+g/QFQSwMEFAAAAAgAh07iQJkhWM0NAgAANQQAAA4AAABkcnMvZTJvRG9jLnhtbK1T&#10;S27bMBDdF+gdCO5rKUYdJ4LlAK3rboq2QNoD0CQlEeAPHNqSL9DeoKtuuu+5fI4OKcf5NAsvogU1&#10;JB8f570ZLm4Go8lOBlDO1vRiUlIiLXdC2bam37+t31xRApFZwbSzsqZ7CfRm+frVoveVnLrOaSED&#10;QRILVe9r2sXoq6IA3knDYOK8tLjZuGBYxGloCxFYj+xGF9OyvCx6F4QPjksAXF2Nm/TIGM4hdE2j&#10;uFw5vjXSxpE1SM0iSoJOeaDLnG3TSB6/NA3ISHRNUWnMI16C8SaNxXLBqjYw3yl+TIGdk8ITTYYp&#10;i5eeqFYsMrIN6j8qo3hw4Jo44c4Uo5DsCKq4KJ94c9sxL7MWtBr8yXR4OVr+efc1ECVqOqfEMoMF&#10;P/z6efj99/DnB5kne3oPFaJuPeLi8M4N2DR364CLSfXQBJP+qIfgPpq7P5krh0g4Ls7eXk/nM0o4&#10;bk2vyst5Nr+4P+wDxI/SGZKCmgasXbaU7T5BxEQQegdJd4HTSqyV1nkS2s17HciOYZ3X+Us54pFH&#10;MG1JX9Pr2TTlwbB5G2waDI1HA8C2+b5HJ+AhcZm/54hTYisG3ZhAZkgwVhkVZchRJ5n4YAWJe48m&#10;W3xbNCVjpKBES3yKKcrIyJQ+B4nqtEWRqUJjJVIUh82ANCncOLHHqm19UG2Hlua6ZTh2U3bn2Pmp&#10;XR/OM+n9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vc7/ZAAAACQEAAA8AAAAAAAAAAQAg&#10;AAAAIgAAAGRycy9kb3ducmV2LnhtbFBLAQIUABQAAAAIAIdO4kCZIVjNDQIAADUEAAAOAAAAAAAA&#10;AAEAIAAAACgBAABkcnMvZTJvRG9jLnhtbFBLBQYAAAAABgAGAFkBAACnBQAAAAA=&#10;">
                      <v:fill on="t" focussize="0,0"/>
                      <v:stroke color="#000000" joinstyle="miter"/>
                      <v:imagedata o:title=""/>
                      <o:lock v:ext="edit" aspectratio="f"/>
                      <v:textbox>
                        <w:txbxContent>
                          <w:p>
                            <w:pPr>
                              <w:rPr>
                                <w:rFonts w:hint="default"/>
                                <w:sz w:val="21"/>
                                <w:szCs w:val="21"/>
                                <w:lang w:val="en-US"/>
                              </w:rPr>
                            </w:pPr>
                            <w:r>
                              <w:rPr>
                                <w:rFonts w:hint="eastAsia"/>
                                <w:sz w:val="21"/>
                                <w:szCs w:val="21"/>
                                <w:lang w:val="en-US" w:eastAsia="zh-CN"/>
                              </w:rPr>
                              <w:t>冲床</w:t>
                            </w:r>
                          </w:p>
                        </w:txbxContent>
                      </v:textbox>
                    </v:shape>
                  </w:pict>
                </mc:Fallback>
              </mc:AlternateContent>
            </w:r>
            <w:r>
              <w:rPr>
                <w:kern w:val="0"/>
                <w:sz w:val="24"/>
                <w:u w:val="single"/>
              </w:rPr>
              <mc:AlternateContent>
                <mc:Choice Requires="wps">
                  <w:drawing>
                    <wp:anchor distT="0" distB="0" distL="114300" distR="114300" simplePos="0" relativeHeight="251668480" behindDoc="0" locked="0" layoutInCell="1" allowOverlap="1">
                      <wp:simplePos x="0" y="0"/>
                      <wp:positionH relativeFrom="column">
                        <wp:posOffset>1290955</wp:posOffset>
                      </wp:positionH>
                      <wp:positionV relativeFrom="paragraph">
                        <wp:posOffset>133985</wp:posOffset>
                      </wp:positionV>
                      <wp:extent cx="549275" cy="280670"/>
                      <wp:effectExtent l="4445" t="4445" r="17780" b="19685"/>
                      <wp:wrapNone/>
                      <wp:docPr id="6" name="文本框 6"/>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裁型</w:t>
                                  </w:r>
                                </w:p>
                              </w:txbxContent>
                            </wps:txbx>
                            <wps:bodyPr upright="1"/>
                          </wps:wsp>
                        </a:graphicData>
                      </a:graphic>
                    </wp:anchor>
                  </w:drawing>
                </mc:Choice>
                <mc:Fallback>
                  <w:pict>
                    <v:shape id="_x0000_s1026" o:spid="_x0000_s1026" o:spt="202" type="#_x0000_t202" style="position:absolute;left:0pt;margin-left:101.65pt;margin-top:10.55pt;height:22.1pt;width:43.25pt;z-index:251668480;mso-width-relative:page;mso-height-relative:page;" fillcolor="#FFFFFF" filled="t" stroked="t" coordsize="21600,21600" o:gfxdata="UEsDBAoAAAAAAIdO4kAAAAAAAAAAAAAAAAAEAAAAZHJzL1BLAwQUAAAACACHTuJA53fuCtgAAAAJ&#10;AQAADwAAAGRycy9kb3ducmV2LnhtbE2PwU7DMAyG70i8Q2QkLoglbaHrStMdkEBwg4HGNWuytiJx&#10;SpJ14+0xJ7jZ8qff39+sT86y2YQ4epSQLQQwg53XI/YS3t8eritgMSnUyno0Er5NhHV7ftaoWvsj&#10;vpp5k3pGIRhrJWFIaao5j91gnIoLPxmk294HpxKtoec6qCOFO8tzIUru1Ij0YVCTuR9M97k5OAnV&#10;zdP8EZ+Ll21X7u0qXS3nx68g5eVFJu6AJXNKfzD86pM6tOS08wfUkVkJuSgKQmnIMmAE5NWKuuwk&#10;lLcF8Lbh/xu0P1BLAwQUAAAACACHTuJAMKjAUw0CAAA1BAAADgAAAGRycy9lMm9Eb2MueG1srVNL&#10;btswEN0X6B0I7mspRu0kguUAretuirZA2gPQJCUR4A8c2pIv0N6gq26677l8jg4px/k0Cy+iBTUk&#10;Hx/nvRkubgajyU4GUM7W9GJSUiItd0LZtqbfv63fXFECkVnBtLOypnsJ9Gb5+tWi95Wcus5pIQNB&#10;EgtV72vaxeirogDeScNg4ry0uNm4YFjEaWgLEViP7EYX07KcF70LwgfHJQCursZNemQM5xC6plFc&#10;rhzfGmnjyBqkZhElQac80GXOtmkkj1+aBmQkuqaoNOYRL8F4k8ZiuWBVG5jvFD+mwM5J4Ykmw5TF&#10;S09UKxYZ2Qb1H5VRPDhwTZxwZ4pRSHYEVVyUT7y57ZiXWQtaDf5kOrwcLf+8+xqIEjWdU2KZwYIf&#10;fv08/P57+PODzJM9vYcKUbcecXF45wZsmrt1wMWkemiCSX/UQ3Afzd2fzJVDJBwXZ2+vp5czSjhu&#10;Ta/K+WU2v7g/7APEj9IZkoKaBqxdtpTtPkHERBB6B0l3gdNKrJXWeRLazXsdyI5hndf5SznikUcw&#10;bUlf0+vZNOXBsHkbbBoMjUcDwLb5vkcn4CFxmb/niFNiKwbdmEBmSDBWGRVlyFEnmfhgBYl7jyZb&#10;fFs0JWOkoERLfIopysjIlD4Hieq0RZGpQmMlUhSHzYA0Kdw4sceqbX1QbYeW5rplOHZTdufY+ald&#10;H84z6f1r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3fuCtgAAAAJAQAADwAAAAAAAAABACAA&#10;AAAiAAAAZHJzL2Rvd25yZXYueG1sUEsBAhQAFAAAAAgAh07iQDCowFMNAgAANQQAAA4AAAAAAAAA&#10;AQAgAAAAJwEAAGRycy9lMm9Eb2MueG1sUEsFBgAAAAAGAAYAWQEAAKYFA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裁型</w:t>
                            </w:r>
                          </w:p>
                        </w:txbxContent>
                      </v:textbox>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sz w:val="24"/>
                <w:u w:val="single"/>
              </w:rPr>
              <mc:AlternateContent>
                <mc:Choice Requires="wps">
                  <w:drawing>
                    <wp:anchor distT="0" distB="0" distL="114300" distR="114300" simplePos="0" relativeHeight="251699200" behindDoc="0" locked="0" layoutInCell="1" allowOverlap="1">
                      <wp:simplePos x="0" y="0"/>
                      <wp:positionH relativeFrom="column">
                        <wp:posOffset>4897755</wp:posOffset>
                      </wp:positionH>
                      <wp:positionV relativeFrom="paragraph">
                        <wp:posOffset>222250</wp:posOffset>
                      </wp:positionV>
                      <wp:extent cx="10795" cy="199390"/>
                      <wp:effectExtent l="43180" t="0" r="60325" b="10160"/>
                      <wp:wrapNone/>
                      <wp:docPr id="47" name="直接箭头连接符 47"/>
                      <wp:cNvGraphicFramePr/>
                      <a:graphic xmlns:a="http://schemas.openxmlformats.org/drawingml/2006/main">
                        <a:graphicData uri="http://schemas.microsoft.com/office/word/2010/wordprocessingShape">
                          <wps:wsp>
                            <wps:cNvCnPr/>
                            <wps:spPr>
                              <a:xfrm>
                                <a:off x="6358255" y="2046605"/>
                                <a:ext cx="10795" cy="199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5.65pt;margin-top:17.5pt;height:15.7pt;width:0.85pt;z-index:251699200;mso-width-relative:page;mso-height-relative:page;" filled="f" stroked="t" coordsize="21600,21600" o:gfxdata="UEsDBAoAAAAAAIdO4kAAAAAAAAAAAAAAAAAEAAAAZHJzL1BLAwQUAAAACACHTuJAprOIz9oAAAAJ&#10;AQAADwAAAGRycy9kb3ducmV2LnhtbE2PTUvDQBCG74L/YRnBm92k0aTETIoIhR4UbBTa4zY7ZlOz&#10;uyG7/fDfO570NsM8vPO81fJiB3GiKfTeIaSzBAS51uvedQgf76u7BYgQldNq8I4QvinAsr6+qlSp&#10;/dlt6NTETnCIC6VCMDGOpZShNWRVmPmRHN8+/WRV5HXqpJ7UmcPtIOdJkkurescfjBrp2VD71Rwt&#10;wnad5mmzM08UV4fXl7f5Tm0Oa8TbmzR5BBHpEv9g+NVndajZae+PTgcxIBRFmjGKkD1wJwaKIuNh&#10;j5Dn9yDrSv5vUP8AUEsDBBQAAAAIAIdO4kBbdQrnKgIAABEEAAAOAAAAZHJzL2Uyb0RvYy54bWyt&#10;U81y0zAQvjPDO2h0J3bSOK0zcTo0abnwkxngATaybGtGljSSGicvwQswwwk4AafeeRooj8FKdlso&#10;lx64SKtd7af9vl0tTvetJDtundCqoONRSglXTJdC1QV9++biyQklzoMqQWrFC3rgjp4uHz9adGbO&#10;J7rRsuSWIIhy884UtPHezJPEsYa34EbacIXBStsWPB5tnZQWOkRvZTJJ01nSaVsaqxl3Dr3rPkgH&#10;RPsQQF1VgvG1ZpctV75HtVyCR0quEcbRZay2qjjzr6rKcU9kQZGpjys+gvY2rMlyAfPagmkEG0qA&#10;h5Rwj1MLQuGjt1Br8EAurfgHqhXMaqcrP2K6TXoiURFkMU7vafO6AcMjF5TamVvR3f+DZS93G0tE&#10;WdDpMSUKWuz49furn+8+XX/7+uPj1a/vH4L95TPBOIrVGTfHnJXa2OHkzMYG5vvKtmFHTmRf0NlR&#10;djLJMkoOBZ2k09kszXqx+d4ThhfG6XGOYYbxcZ4f5bEXyR2Osc4/47olwSio8xZE3fiVVgq7qu04&#10;6g27585jJZh4kxCKUPpCSBmbKxXpCppnk/AY4MBWOChotgZJO1VTArLGn8C8jYhOS1GG7IDjbL1d&#10;SUt2gPMzfXp8fnbWX2qg5L03z9J0mCMH/oUue/c4vfFjaQNMLPMv/FDzGlzT58RQr5IHIc9VSfzB&#10;YEfAWt2FAGJJhVtoQy98sLa6PMR+RD9OSrw4THUYxT/PMfvuJy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aziM/aAAAACQEAAA8AAAAAAAAAAQAgAAAAIgAAAGRycy9kb3ducmV2LnhtbFBLAQIU&#10;ABQAAAAIAIdO4kBbdQrnKgIAABEEAAAOAAAAAAAAAAEAIAAAACkBAABkcnMvZTJvRG9jLnhtbFBL&#10;BQYAAAAABgAGAFkBAADFBQ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98176" behindDoc="0" locked="0" layoutInCell="1" allowOverlap="1">
                      <wp:simplePos x="0" y="0"/>
                      <wp:positionH relativeFrom="column">
                        <wp:posOffset>4474210</wp:posOffset>
                      </wp:positionH>
                      <wp:positionV relativeFrom="paragraph">
                        <wp:posOffset>63500</wp:posOffset>
                      </wp:positionV>
                      <wp:extent cx="179070" cy="9525"/>
                      <wp:effectExtent l="0" t="44450" r="11430" b="60325"/>
                      <wp:wrapNone/>
                      <wp:docPr id="45" name="直接箭头连接符 45"/>
                      <wp:cNvGraphicFramePr/>
                      <a:graphic xmlns:a="http://schemas.openxmlformats.org/drawingml/2006/main">
                        <a:graphicData uri="http://schemas.microsoft.com/office/word/2010/wordprocessingShape">
                          <wps:wsp>
                            <wps:cNvCnPr/>
                            <wps:spPr>
                              <a:xfrm>
                                <a:off x="0" y="0"/>
                                <a:ext cx="17907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2.3pt;margin-top:5pt;height:0.75pt;width:14.1pt;z-index:251698176;mso-width-relative:page;mso-height-relative:page;" filled="f" stroked="t" coordsize="21600,21600" o:gfxdata="UEsDBAoAAAAAAIdO4kAAAAAAAAAAAAAAAAAEAAAAZHJzL1BLAwQUAAAACACHTuJAu3iLTNgAAAAJ&#10;AQAADwAAAGRycy9kb3ducmV2LnhtbE2PzU7DMBCE70i8g7VI3KjtACkKcSqEVKkHkGhAokc3XpKU&#10;eB3F7g9vz3Iqx535NDtTLk5+EAecYh/IgJ4pEEhNcD21Bj7elzcPIGKy5OwQCA38YIRFdXlR2sKF&#10;I63xUKdWcAjFwhroUhoLKWPTobdxFkYk9r7C5G3ic2qlm+yRw/0gM6Vy6W1P/KGzIz532HzXe2/g&#10;c6VzXW+6J0zL3evLW7ax693KmOsrrR5BJDylMwx/9bk6VNxpG/bkohgMzNVdzigbijcxML/NeMuW&#10;BX0Psirl/wXVL1BLAwQUAAAACACHTuJAjbR0KxcCAAAEBAAADgAAAGRycy9lMm9Eb2MueG1srVPN&#10;ctMwEL4zwztodCd2Mg0hmTodmrRc+MkM8ABbWbY1I0ualRonL8ELMMMJOAGn3nkaKI/BSnZTKJce&#10;uNjSrvfb/b79fHyyazXbSvTKmoKPRzln0ghbKlMX/O2b80dPOPMBTAnaGlnwvfT8ZPnwwXHnFnJi&#10;G6tLiYxAjF90ruBNCG6RZV40sgU/sk4aSlYWWwh0xTorETpCb3U2yfPHWWexdGiF9J6i6z7JB0S8&#10;D6CtKiXk2orLVprQo6LUEIiSb5TzfJmmrSopwquq8jIwXXBiGtKTmtD5Ij6z5TEsagTXKDGMAPcZ&#10;4Q6nFpShpgeoNQRgl6j+gWqVQOttFUbCtllPJClCLMb5HW1eN+Bk4kJSe3cQ3f8/WPFyu0GmyoIf&#10;TTkz0NLGr99f/Xz36frb1x8fr359/xDPXz4zypNYnfMLqlmZDQ437zYYme8qbOObOLFdEnh/EFju&#10;AhMUHM/m+YykF5SaTycJMbstdejDM2lbFg8F9wFB1U1YWWNokRbHSWLYPveBmlPhTUHsa+y50jrt&#10;UxvWDQ2YAPJoRd6grq0jnt7UnIGuyfwiYEL0VqsyVkccj/XFSiPbAlnm6Ons7PS0/6iBUvbR+TTP&#10;B+t4CC9s2YfH+U2cRhtg0ph/4ceZ1+CbvialehcGUPrMlCzsHS0BEG0XE4SlDb2i8r3W8XRhy31a&#10;QYqTOdKHg5Gj+/68p+rbn3f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t4i0zYAAAACQEAAA8A&#10;AAAAAAAAAQAgAAAAIgAAAGRycy9kb3ducmV2LnhtbFBLAQIUABQAAAAIAIdO4kCNtHQrFwIAAAQE&#10;AAAOAAAAAAAAAAEAIAAAACcBAABkcnMvZTJvRG9jLnhtbFBLBQYAAAAABgAGAFkBAACwBQ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97152" behindDoc="0" locked="0" layoutInCell="1" allowOverlap="1">
                      <wp:simplePos x="0" y="0"/>
                      <wp:positionH relativeFrom="column">
                        <wp:posOffset>3509645</wp:posOffset>
                      </wp:positionH>
                      <wp:positionV relativeFrom="paragraph">
                        <wp:posOffset>41275</wp:posOffset>
                      </wp:positionV>
                      <wp:extent cx="392430" cy="0"/>
                      <wp:effectExtent l="0" t="48895" r="7620" b="65405"/>
                      <wp:wrapNone/>
                      <wp:docPr id="44" name="直接箭头连接符 44"/>
                      <wp:cNvGraphicFramePr/>
                      <a:graphic xmlns:a="http://schemas.openxmlformats.org/drawingml/2006/main">
                        <a:graphicData uri="http://schemas.microsoft.com/office/word/2010/wordprocessingShape">
                          <wps:wsp>
                            <wps:cNvCnPr/>
                            <wps:spPr>
                              <a:xfrm>
                                <a:off x="0" y="0"/>
                                <a:ext cx="392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6.35pt;margin-top:3.25pt;height:0pt;width:30.9pt;z-index:251697152;mso-width-relative:page;mso-height-relative:page;" filled="f" stroked="t" coordsize="21600,21600" o:gfxdata="UEsDBAoAAAAAAIdO4kAAAAAAAAAAAAAAAAAEAAAAZHJzL1BLAwQUAAAACACHTuJAdOawy9YAAAAH&#10;AQAADwAAAGRycy9kb3ducmV2LnhtbE2OT0vDQBTE74LfYXmCN7tJMLGk2RQRCj0o2CjY42v2mU3N&#10;7obs9o/f3qeXepthhplftTzbQRxpCr13CtJZAoJc63XvOgXvb6u7OYgQ0WkcvCMF3xRgWV9fVVhq&#10;f3IbOjaxEzziQokKTIxjKWVoDVkMMz+S4+zTTxYj26mTesITj9tBZklSSIu94weDIz0Zar+ag1Xw&#10;sU6LtNmaR4qr/cvza7bFzX6t1O1NmixARDrHSxl+8Rkdamba+YPTQQwK8jx74KqCIgfBeZHes9j9&#10;eVlX8j9//QNQSwMEFAAAAAgAh07iQJfsZY0WAgAAAQQAAA4AAABkcnMvZTJvRG9jLnhtbK1TS5LT&#10;MBDdU8UdVNoTO5kESCrOFJPMsOGTKuAAHVm2VaVfSZo4uQQXoIoVwwpYzZ7TwHAMWrKTgWEzCzZ2&#10;q9v9ut/T8/x0pyTZcueF0QUdDnJKuGamFLou6Lu3F4+eUuID6BKk0byge+7p6eLhg3lrZ3xkGiNL&#10;7giCaD9rbUGbEOwsyzxruAI/MJZrLFbGKQh4dHVWOmgRXclslOePs9a40jrDuPeYXXVF2iO6+wCa&#10;qhKMrwy7VFyHDtVxCQEp+UZYTxdp26riLLyuKs8DkQVFpiE9cQjGm/jMFnOY1Q5sI1i/AtxnhTuc&#10;FAiNQ49QKwhALp34B0oJ5ow3VRgwo7KOSFIEWQzzO9q8acDyxAWl9vYouv9/sOzVdu2IKAs6HlOi&#10;QeGN33y4/vn+6ubb1x+frn99/xjjL58J1lGs1voZ9iz12vUnb9cuMt9VTsU3ciK7JPD+KDDfBcIw&#10;eTIdjU9QenYoZbd91vnwnBtFYlBQHxyIuglLozXeonHDpC9sX/iAk7Hx0BCHanMhpEyXKTVpCzqd&#10;jCY4B9CgFRoDQ2WRpNc1JSBrdD4LLiF6I0UZuyOOd/VmKR3ZAvpl/OzJ+dlZ91EDJe+y00me977x&#10;EF6asksP80MeV+th0pp/4cedV+CbrieVOgsGEPJclyTsLd4AOGfaWEAsqfEVZe+EjtHGlPukf8qj&#10;M9KHvYuj9f48p+7bP3f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TmsMvWAAAABwEAAA8AAAAA&#10;AAAAAQAgAAAAIgAAAGRycy9kb3ducmV2LnhtbFBLAQIUABQAAAAIAIdO4kCX7GWNFgIAAAEEAAAO&#10;AAAAAAAAAAEAIAAAACUBAABkcnMvZTJvRG9jLnhtbFBLBQYAAAAABgAGAFkBAACtBQ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96128" behindDoc="0" locked="0" layoutInCell="1" allowOverlap="1">
                      <wp:simplePos x="0" y="0"/>
                      <wp:positionH relativeFrom="column">
                        <wp:posOffset>2652395</wp:posOffset>
                      </wp:positionH>
                      <wp:positionV relativeFrom="paragraph">
                        <wp:posOffset>19685</wp:posOffset>
                      </wp:positionV>
                      <wp:extent cx="392430" cy="0"/>
                      <wp:effectExtent l="0" t="48895" r="7620" b="65405"/>
                      <wp:wrapNone/>
                      <wp:docPr id="43" name="直接箭头连接符 43"/>
                      <wp:cNvGraphicFramePr/>
                      <a:graphic xmlns:a="http://schemas.openxmlformats.org/drawingml/2006/main">
                        <a:graphicData uri="http://schemas.microsoft.com/office/word/2010/wordprocessingShape">
                          <wps:wsp>
                            <wps:cNvCnPr/>
                            <wps:spPr>
                              <a:xfrm>
                                <a:off x="0" y="0"/>
                                <a:ext cx="392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85pt;margin-top:1.55pt;height:0pt;width:30.9pt;z-index:251696128;mso-width-relative:page;mso-height-relative:page;" filled="f" stroked="t" coordsize="21600,21600" o:gfxdata="UEsDBAoAAAAAAIdO4kAAAAAAAAAAAAAAAAAEAAAAZHJzL1BLAwQUAAAACACHTuJAMxwPqdYAAAAH&#10;AQAADwAAAGRycy9kb3ducmV2LnhtbE2OTU/DMBBE70j8B2uRuFHHpTQQ4lQIqVIPINGARI/beIlT&#10;4nUUux/8ewwXOI5m9OaVi5PrxYHG0HnWoCYZCOLGm45bDW+vy6tbECEiG+w9k4YvCrCozs9KLIw/&#10;8poOdWxFgnAoUIONcSikDI0lh2HiB+LUffjRYUxxbKUZ8ZjgrpfTLJtLhx2nB4sDPVpqPuu90/C+&#10;UnNVb+wDxeXu+ellusH1bqX15YXK7kFEOsW/MfzoJ3WoktPW79kE0WuYqTxPUw3XCkTqZ/ndDYjt&#10;b5ZVKf/7V99QSwMEFAAAAAgAh07iQGtqWZ8WAgAAAQQAAA4AAABkcnMvZTJvRG9jLnhtbK1TS5LT&#10;MBDdU8UdVNoTOz8gqThTTDLDhs9UAQdQZNlWlX6l1sTJJbgAVawYVsBq9pwGhmPQkp0MDJtZsLFb&#10;3e7X/Z6eFyc7rchWeJDWFHQ4yCkRhttSmrqg796eP3pKCQRmSqasEQXdC6Any4cPFq2bi5FtrCqF&#10;JwhiYN66gjYhuHmWAW+EZjCwThgsVtZrFvDo66z0rEV0rbJRnj/OWutL5y0XAJhdd0XaI/r7ANqq&#10;klysLb/UwoQO1QvFAlKCRjqgy7RtVQkeXlcViEBUQZFpSE8cgvEmPrPlgs1rz1wjeb8Cu88Kdzhp&#10;Jg0OPUKtWWDk0st/oLTk3oKtwoBbnXVEkiLIYpjf0eZNw5xIXFBqcEfR4f/B8lfbC09kWdDJmBLD&#10;NN74zYfrn++vbr59/fHp+tf3jzH+8plgHcVqHcyxZ2UufH8Cd+Ej813ldXwjJ7JLAu+PAotdIByT&#10;49loMkbp+aGU3fY5D+G5sJrEoKAQPJN1E1bWGLxF64dJX7Z9AQEnY+OhIQ419lwqlS5TGdIWdDYd&#10;TXEOQ4NWaAwMtUOSYGpKmKrR+Tz4hAhWyTJ2Rxzw9WalPNky9Mvk2ZOz09Puo4aVosvOpnne+wZY&#10;eGnLLj3MD3lcrYdJa/6FH3deM2i6nlTqLBiYVGemJGHv8AaY97aNBcRSBl9R9k7oGG1suU/6pzw6&#10;I33Yuzha789z6r79c5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McD6nWAAAABwEAAA8AAAAA&#10;AAAAAQAgAAAAIgAAAGRycy9kb3ducmV2LnhtbFBLAQIUABQAAAAIAIdO4kBralmfFgIAAAEEAAAO&#10;AAAAAAAAAAEAIAAAACUBAABkcnMvZTJvRG9jLnhtbFBLBQYAAAAABgAGAFkBAACtBQ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95104" behindDoc="0" locked="0" layoutInCell="1" allowOverlap="1">
                      <wp:simplePos x="0" y="0"/>
                      <wp:positionH relativeFrom="column">
                        <wp:posOffset>1795145</wp:posOffset>
                      </wp:positionH>
                      <wp:positionV relativeFrom="paragraph">
                        <wp:posOffset>41275</wp:posOffset>
                      </wp:positionV>
                      <wp:extent cx="392430" cy="0"/>
                      <wp:effectExtent l="0" t="48895" r="7620" b="65405"/>
                      <wp:wrapNone/>
                      <wp:docPr id="42" name="直接箭头连接符 42"/>
                      <wp:cNvGraphicFramePr/>
                      <a:graphic xmlns:a="http://schemas.openxmlformats.org/drawingml/2006/main">
                        <a:graphicData uri="http://schemas.microsoft.com/office/word/2010/wordprocessingShape">
                          <wps:wsp>
                            <wps:cNvCnPr/>
                            <wps:spPr>
                              <a:xfrm>
                                <a:off x="0" y="0"/>
                                <a:ext cx="392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1.35pt;margin-top:3.25pt;height:0pt;width:30.9pt;z-index:251695104;mso-width-relative:page;mso-height-relative:page;" filled="f" stroked="t" coordsize="21600,21600" o:gfxdata="UEsDBAoAAAAAAIdO4kAAAAAAAAAAAAAAAAAEAAAAZHJzL1BLAwQUAAAACACHTuJANZ0DLNcAAAAH&#10;AQAADwAAAGRycy9kb3ducmV2LnhtbE2OT0vDQBTE74LfYXmCN7tJrGmJ2RQRCj0o2Ci0x232mU3N&#10;vg3Z7R+/vc9e9DbDDDO/cnF2vTjiGDpPCtJJAgKp8aajVsHH+/JuDiJETUb3nlDBNwZYVNdXpS6M&#10;P9Eaj3VsBY9QKLQCG+NQSBkai06HiR+QOPv0o9OR7dhKM+oTj7teZkmSS6c74gerB3y22HzVB6dg&#10;s0rztN7aJ4zL/evLW7bV6/1KqdubNHkEEfEc/8rwi8/oUDHTzh/IBNEryObZjKsK8gcQnN9Ppyx2&#10;Fy+rUv7nr34AUEsDBBQAAAAIAIdO4kBiXmBWFgIAAAEEAAAOAAAAZHJzL2Uyb0RvYy54bWytU0uS&#10;0zAQ3VPFHVTaEzuZBEgqzhSTzLDhkyrgAB1ZtlWlX0maOLkEF6CKFcMKWM2e08BwDFqyk4FhMws2&#10;dqvb/brf0/P8dKck2XLnhdEFHQ5ySrhmphS6Lui7txePnlLiA+gSpNG8oHvu6eni4YN5a2d8ZBoj&#10;S+4Igmg/a21BmxDsLMs8a7gCPzCWayxWxikIeHR1VjpoEV3JbJTnj7PWuNI6w7j3mF11RdojuvsA&#10;mqoSjK8Mu1Rchw7VcQkBKflGWE8Xaduq4iy8rirPA5EFRaYhPXEIxpv4zBZzmNUObCNYvwLcZ4U7&#10;nBQIjUOPUCsIQC6d+AdKCeaMN1UYMKOyjkhSBFkM8zvavGnA8sQFpfb2KLr/f7Ds1XbtiCgLOh5R&#10;okHhjd98uP75/urm29cfn65/ff8Y4y+fCdZRrNb6GfYs9dr1J2/XLjLfVU7FN3IiuyTw/igw3wXC&#10;MHkyHY1PUHp2KGW3fdb58JwbRWJQUB8ciLoJS6M13qJxw6QvbF/4gJOx8dAQh2pzIaRMlyk1aQs6&#10;nYwmOAfQoBUaA0NlkaTXNSUga3Q+Cy4heiNFGbsjjnf1Zikd2QL6ZfzsyfnZWfdRAyXvstNJnve+&#10;8RBemrJLD/NDHlfrYdKaf+HHnVfgm64nlToLBhDyXJck7C3eADhn2lhALKnxFWXvhI7RxpT7pH/K&#10;ozPSh72Lo/X+PKfu2z93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1nQMs1wAAAAcBAAAPAAAA&#10;AAAAAAEAIAAAACIAAABkcnMvZG93bnJldi54bWxQSwECFAAUAAAACACHTuJAYl5gVhYCAAABBAAA&#10;DgAAAAAAAAABACAAAAAmAQAAZHJzL2Uyb0RvYy54bWxQSwUGAAAAAAYABgBZAQAArgU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94080" behindDoc="0" locked="0" layoutInCell="1" allowOverlap="1">
                      <wp:simplePos x="0" y="0"/>
                      <wp:positionH relativeFrom="column">
                        <wp:posOffset>884555</wp:posOffset>
                      </wp:positionH>
                      <wp:positionV relativeFrom="paragraph">
                        <wp:posOffset>30480</wp:posOffset>
                      </wp:positionV>
                      <wp:extent cx="392430" cy="0"/>
                      <wp:effectExtent l="0" t="48895" r="7620" b="65405"/>
                      <wp:wrapNone/>
                      <wp:docPr id="41" name="直接箭头连接符 41"/>
                      <wp:cNvGraphicFramePr/>
                      <a:graphic xmlns:a="http://schemas.openxmlformats.org/drawingml/2006/main">
                        <a:graphicData uri="http://schemas.microsoft.com/office/word/2010/wordprocessingShape">
                          <wps:wsp>
                            <wps:cNvCnPr/>
                            <wps:spPr>
                              <a:xfrm>
                                <a:off x="0" y="0"/>
                                <a:ext cx="392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9.65pt;margin-top:2.4pt;height:0pt;width:30.9pt;z-index:251694080;mso-width-relative:page;mso-height-relative:page;" filled="f" stroked="t" coordsize="21600,21600" o:gfxdata="UEsDBAoAAAAAAIdO4kAAAAAAAAAAAAAAAAAEAAAAZHJzL1BLAwQUAAAACACHTuJAB7ZwU9YAAAAH&#10;AQAADwAAAGRycy9kb3ducmV2LnhtbE2PTUvDQBCG74L/YRnBm93dVIpNsykiFHpQsFGwx2l2TFKz&#10;uyG7/fDfO3qpx4f35Z1niuXZ9eJIY+yCN6AnCgT5OtjONwbe31Z3DyBiQm+xD54MfFOEZXl9VWBu&#10;w8lv6FilRvCIjzkaaFMacilj3ZLDOAkDec4+w+gwMY6NtCOeeNz1MlNqJh12ni+0ONBTS/VXdXAG&#10;PtZ6pqtt+0hptX95fs22uNmvjbm90WoBItE5Xcrwq8/qULLTLhy8jaJnns6nXDVwzx9wnimtQez+&#10;WJaF/O9f/gBQSwMEFAAAAAgAh07iQDgEWtYWAgAAAQQAAA4AAABkcnMvZTJvRG9jLnhtbK1TS5LT&#10;MBDdU8UdVNoTO5kESCrOFJPMsOGTKuAAiizbqtKvWpo4uQQXoIoVwwpYzZ7TwHAMWrKTgWEzCzZ2&#10;q9v9ut/T8/x0pxXZCvDSmoIOBzklwnBbSlMX9N3bi0dPKfGBmZIpa0RB98LT08XDB/PWzcTINlaV&#10;AgiCGD9rXUGbENwsyzxvhGZ+YJ0wWKwsaBbwCHVWAmsRXatslOePs9ZC6cBy4T1mV12R9ohwH0Bb&#10;VZKLleWXWpjQoYJQLCAl30jn6SJtW1WCh9dV5UUgqqDINKQnDsF4E5/ZYs5mNTDXSN6vwO6zwh1O&#10;mkmDQ49QKxYYuQT5D5SWHKy3VRhwq7OOSFIEWQzzO9q8aZgTiQtK7d1RdP//YPmr7RqILAs6HlJi&#10;mMYbv/lw/fP91c23rz8+Xf/6/jHGXz4TrKNYrfMz7FmaNfQn79YQme8q0PGNnMguCbw/Cix2gXBM&#10;nkxH4xOUnh9K2W2fAx+eC6tJDArqAzBZN2FpjcFbtDBM+rLtCx9wMjYeGuJQYy+kUukylSFtQaeT&#10;0QTnMDRohcbAUDsk6U1NCVM1Op8HSIjeKlnG7ojjod4sFZAtQ7+Mnz05PzvrPmpYKbrsdJLnvW88&#10;Cy9t2aWH+SGPq/Uwac2/8OPOK+abrieVOgsGJtW5KUnYO7wBBmDbWEAsZfAVZe+EjtHGlvukf8qj&#10;M9KHvYuj9f48p+7bP3f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e2cFPWAAAABwEAAA8AAAAA&#10;AAAAAQAgAAAAIgAAAGRycy9kb3ducmV2LnhtbFBLAQIUABQAAAAIAIdO4kA4BFrWFgIAAAEEAAAO&#10;AAAAAAAAAAEAIAAAACUBAABkcnMvZTJvRG9jLnhtbFBLBQYAAAAABgAGAFkBAACtBQAAAAA=&#10;">
                      <v:fill on="f" focussize="0,0"/>
                      <v:stroke color="#4A7EBB [3204]" joinstyle="round" endarrow="open"/>
                      <v:imagedata o:title=""/>
                      <o:lock v:ext="edit" aspectratio="f"/>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4494530</wp:posOffset>
                      </wp:positionH>
                      <wp:positionV relativeFrom="paragraph">
                        <wp:posOffset>40640</wp:posOffset>
                      </wp:positionV>
                      <wp:extent cx="539115" cy="28067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w:t>
                                  </w:r>
                                </w:p>
                              </w:txbxContent>
                            </wps:txbx>
                            <wps:bodyPr upright="1"/>
                          </wps:wsp>
                        </a:graphicData>
                      </a:graphic>
                    </wp:anchor>
                  </w:drawing>
                </mc:Choice>
                <mc:Fallback>
                  <w:pict>
                    <v:shape id="_x0000_s1026" o:spid="_x0000_s1026" o:spt="202" type="#_x0000_t202" style="position:absolute;left:0pt;margin-left:353.9pt;margin-top:3.2pt;height:22.1pt;width:42.45pt;z-index:251692032;mso-width-relative:page;mso-height-relative:page;" filled="f" stroked="f" coordsize="21600,21600" o:gfxdata="UEsDBAoAAAAAAIdO4kAAAAAAAAAAAAAAAAAEAAAAZHJzL1BLAwQUAAAACACHTuJAfVo5J9YAAAAI&#10;AQAADwAAAGRycy9kb3ducmV2LnhtbE2PzU7DMBCE70i8g7VI3Oi6VZvQkE0PIK4gyo/EzY23SUS8&#10;jmK3CW+POcFxNKOZb8rd7Hp15jF0XgiWCw2Kpfa2k4bg7fXx5hZUiEas6b0wwTcH2FWXF6UprJ/k&#10;hc/72KhUIqEwBG2MQ4EY6padCQs/sCTv6EdnYpJjg3Y0Uyp3Pa60ztCZTtJCawa+b7n+2p8cwfvT&#10;8fNjrZ+bB7cZJj9rFLdFouurpb4DFXmOf2H4xU/oUCWmgz+JDaonyHWe0CNBtgaV/Hy7ykEdCDY6&#10;A6xK/H+g+gFQSwMEFAAAAAgAh07iQLT4YqP1AQAA5QMAAA4AAABkcnMvZTJvRG9jLnhtbK1TzY4T&#10;MQy+I/EOUe50pkUt26rTlVBZLgiQdnmANPF0IuVPcdqZvgC8AScu3HmuPgdO2u2ulksPXDKO7fns&#10;77OzvB2sYXuIqL1r+HhUcwZOeqXdtuHfHu7e3HCGSTgljHfQ8AMgv129frXswwImvvNGQWQE4nDR&#10;h4Z3KYVFVaHswAoc+QCOgq2PViS6xm2lougJ3ZpqUtezqvdRheglIJJ3fQryM2K8BtC3rZaw9nJn&#10;waUTagQjElHCTgfkq9Jt24JMX9oWITHTcGKayklFyN7ks1otxWIbRei0PLcgrmnhBScrtKOiF6i1&#10;SILtov4HymoZPfo2jaS31YlIUYRYjOsX2tx3IkDhQlJjuIiO/w9Wft5/jUyrhs/mnDlhaeLHnz+O&#10;v/4cf39n5COB+oALyrsPlJmG936gtXn0Izkz76GNNn+JEaM4yXu4yAtDYpKc07fz8XjKmaTQ5Kae&#10;vSvyV08/h4jpI3jLstHwSNMroor9J0zUCKU+puRazt9pY8oEjWN9w+fTSYYXtJUtbQOZNhAzdNsC&#10;8yw/w6wFdmwvaDHQG61Oq2B1glggOxDqg1MsHQJp4ugt8FzDguLMAD2dbJXMJLS5JpPaN45YZD1P&#10;umUrDZuBYLK58epAGu9C1NuOBCgql3SafqF/3tS8Xs/vBfTpda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1aOSfWAAAACAEAAA8AAAAAAAAAAQAgAAAAIgAAAGRycy9kb3ducmV2LnhtbFBLAQIU&#10;ABQAAAAIAIdO4kC0+GKj9QEAAOUDAAAOAAAAAAAAAAEAIAAAACUBAABkcnMvZTJvRG9jLnhtbFBL&#10;BQYAAAAABgAGAFkBAACMBQAAAAA=&#10;">
                      <v:fill on="f" focussize="0,0"/>
                      <v:stroke on="f" joinstyle="miter"/>
                      <v:imagedata o:title=""/>
                      <o:lock v:ext="edit" aspectratio="f"/>
                      <v:textbox>
                        <w:txbxContent>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w:t>
                            </w:r>
                          </w:p>
                        </w:txbxContent>
                      </v:textbox>
                    </v:shape>
                  </w:pict>
                </mc:Fallback>
              </mc:AlternateContent>
            </w: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3806190</wp:posOffset>
                      </wp:positionH>
                      <wp:positionV relativeFrom="paragraph">
                        <wp:posOffset>61595</wp:posOffset>
                      </wp:positionV>
                      <wp:extent cx="539115" cy="28067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wps:txbx>
                            <wps:bodyPr upright="1"/>
                          </wps:wsp>
                        </a:graphicData>
                      </a:graphic>
                    </wp:anchor>
                  </w:drawing>
                </mc:Choice>
                <mc:Fallback>
                  <w:pict>
                    <v:shape id="_x0000_s1026" o:spid="_x0000_s1026" o:spt="202" type="#_x0000_t202" style="position:absolute;left:0pt;margin-left:299.7pt;margin-top:4.85pt;height:22.1pt;width:42.45pt;z-index:251692032;mso-width-relative:page;mso-height-relative:page;" filled="f" stroked="f" coordsize="21600,21600" o:gfxdata="UEsDBAoAAAAAAIdO4kAAAAAAAAAAAAAAAAAEAAAAZHJzL1BLAwQUAAAACACHTuJAZxvw2NYAAAAI&#10;AQAADwAAAGRycy9kb3ducmV2LnhtbE2PwU7DMBBE70j8g7VI3KhdmpY6xOkBxBVEgUq9ufE2iYjX&#10;Uew24e9ZTvS4eqOZt8Vm8p044xDbQAbmMwUCqQqupdrA58fL3RpETJac7QKhgR+MsCmvrwqbuzDS&#10;O563qRZcQjG3BpqU+lzKWDXobZyFHonZMQzeJj6HWrrBjlzuO3mv1Ep62xIvNLbHpwar7+3JG/h6&#10;Pe53mXqrn/2yH8OkJHktjbm9matHEAmn9B+GP31Wh5KdDuFELorOwFLrjKMG9AMI5qt1tgBxYLDQ&#10;IMtCXj5Q/gJQSwMEFAAAAAgAh07iQCTNDjP1AQAA5QMAAA4AAABkcnMvZTJvRG9jLnhtbK1TS24b&#10;MQzdF+gdBO3rGbuwmxgeBwjcdFO0BZIeQJY4HgH6QZQ94wu0N+iqm+57Lp+jlOw4QbrxIhsNRXIe&#10;+R6pxc1gDdtBRO1dw8ejmjNw0ivtNg3//nD37oozTMIpYbyDhu8B+c3y7ZtFH+Yw8Z03CiIjEIfz&#10;PjS8SynMqwplB1bgyAdwFGx9tCLRNW4qFUVP6NZUk7qeVb2PKkQvAZG8q2OQnxDjJYC+bbWElZdb&#10;Cy4dUSMYkYgSdjogX5Zu2xZk+tq2CImZhhPTVE4qQvY6n9VyIeabKEKn5akFcUkLLzhZoR0VPUOt&#10;RBJsG/V/UFbL6NG3aSS9rY5EiiLEYly/0Oa+EwEKF5Iaw1l0fD1Y+WX3LTKtGj6bceaEpYkffv08&#10;/P57+PODkY8E6gPOKe8+UGYabv1Aa/PoR3Jm3kMbbf4SI0Zxknd/lheGxCQ5p++vx+MpZ5JCk6t6&#10;9qHIXz39HCKmT+Aty0bDI02viCp2nzFRI5T6mJJrOX+njSkTNI71Db+eTjK8oK1saRvItIGYodsU&#10;mGf5GWYlsGM7QYuB3mh1XAWrE8QC2YFQH51iaR9IE0dvgecaFhRnBujpZKtkJqHNJZnUvnHEIut5&#10;1C1baVgPBJPNtVd70ngbot50JEBRuaTT9Av906bm9Xp+L6BPr3P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b8NjWAAAACAEAAA8AAAAAAAAAAQAgAAAAIgAAAGRycy9kb3ducmV2LnhtbFBLAQIU&#10;ABQAAAAIAIdO4kAkzQ4z9QEAAOUDAAAOAAAAAAAAAAEAIAAAACUBAABkcnMvZTJvRG9jLnhtbFBL&#10;BQYAAAAABgAGAFkBAACMBQ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v:textbox>
                    </v:shape>
                  </w:pict>
                </mc:Fallback>
              </mc:AlternateContent>
            </w: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2959735</wp:posOffset>
                      </wp:positionH>
                      <wp:positionV relativeFrom="paragraph">
                        <wp:posOffset>73025</wp:posOffset>
                      </wp:positionV>
                      <wp:extent cx="539115" cy="28067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wps:txbx>
                            <wps:bodyPr upright="1"/>
                          </wps:wsp>
                        </a:graphicData>
                      </a:graphic>
                    </wp:anchor>
                  </w:drawing>
                </mc:Choice>
                <mc:Fallback>
                  <w:pict>
                    <v:shape id="_x0000_s1026" o:spid="_x0000_s1026" o:spt="202" type="#_x0000_t202" style="position:absolute;left:0pt;margin-left:233.05pt;margin-top:5.75pt;height:22.1pt;width:42.45pt;z-index:251692032;mso-width-relative:page;mso-height-relative:page;" filled="f" stroked="f" coordsize="21600,21600" o:gfxdata="UEsDBAoAAAAAAIdO4kAAAAAAAAAAAAAAAAAEAAAAZHJzL1BLAwQUAAAACACHTuJAgL8A5NYAAAAJ&#10;AQAADwAAAGRycy9kb3ducmV2LnhtbE2PzU7DMBCE70h9B2srcaO2qyZAiNNDEVcQ5Ufi5sbbJCJe&#10;R7HbhLdne4LbjubT7Ey5nX0vzjjGLpABvVIgkOrgOmoMvL893dyBiMmSs30gNPCDEbbV4qq0hQsT&#10;veJ5nxrBIRQLa6BNaSikjHWL3sZVGJDYO4bR28RybKQb7cThvpdrpXLpbUf8obUD7lqsv/cnb+Dj&#10;+fj1uVEvzaPPhinMSpK/l8ZcL7V6AJFwTn8wXOpzdai40yGcyEXRG9jkuWaUDZ2BYCDLNI87XI5b&#10;kFUp/y+ofgFQSwMEFAAAAAgAh07iQMvBPar1AQAA5QMAAA4AAABkcnMvZTJvRG9jLnhtbK1TS24b&#10;MQzdF+gdBO3rGbuwmxgeBwjcdFO0BZIeQJY4HgH6QZQ94wu0N+iqm+57Lp+jlOw4QbrxIhsNRXIe&#10;+R6pxc1gDdtBRO1dw8ejmjNw0ivtNg3//nD37oozTMIpYbyDhu8B+c3y7ZtFH+Yw8Z03CiIjEIfz&#10;PjS8SynMqwplB1bgyAdwFGx9tCLRNW4qFUVP6NZUk7qeVb2PKkQvAZG8q2OQnxDjJYC+bbWElZdb&#10;Cy4dUSMYkYgSdjogX5Zu2xZk+tq2CImZhhPTVE4qQvY6n9VyIeabKEKn5akFcUkLLzhZoR0VPUOt&#10;RBJsG/V/UFbL6NG3aSS9rY5EiiLEYly/0Oa+EwEKF5Iaw1l0fD1Y+WX3LTKtGj6bcuaEpYkffv08&#10;/P57+PODkY8E6gPOKe8+UGYabv1Aa/PoR3Jm3kMbbf4SI0Zxknd/lheGxCQ5p++vx2OqIik0uapn&#10;H4r81dPPIWL6BN6ybDQ80vSKqGL3GRM1QqmPKbmW83famDJB41jf8OvpJMML2sqWtoFMG4gZuk2B&#10;eZafYVYCO7YTtBjojVbHVbA6QSyQHQj10SmW9oE0cfQWeK5hQXFmgJ5OtkpmEtpckkntG0cssp5H&#10;3bKVhvVAMNlce7Unjbch6k1HAhSVSzpNv9A/bWper+f3Avr0Op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C/AOTWAAAACQEAAA8AAAAAAAAAAQAgAAAAIgAAAGRycy9kb3ducmV2LnhtbFBLAQIU&#10;ABQAAAAIAIdO4kDLwT2q9QEAAOUDAAAOAAAAAAAAAAEAIAAAACUBAABkcnMvZTJvRG9jLnhtbFBL&#10;BQYAAAAABgAGAFkBAACMBQ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v:textbox>
                    </v:shape>
                  </w:pict>
                </mc:Fallback>
              </mc:AlternateContent>
            </w:r>
            <w:r>
              <w:rPr>
                <w:kern w:val="0"/>
                <w:sz w:val="24"/>
                <w:u w:val="single"/>
              </w:rPr>
              <mc:AlternateContent>
                <mc:Choice Requires="wps">
                  <w:drawing>
                    <wp:anchor distT="0" distB="0" distL="114300" distR="114300" simplePos="0" relativeHeight="251674624" behindDoc="0" locked="0" layoutInCell="1" allowOverlap="1">
                      <wp:simplePos x="0" y="0"/>
                      <wp:positionH relativeFrom="column">
                        <wp:posOffset>3784600</wp:posOffset>
                      </wp:positionH>
                      <wp:positionV relativeFrom="paragraph">
                        <wp:posOffset>259715</wp:posOffset>
                      </wp:positionV>
                      <wp:extent cx="549275" cy="280670"/>
                      <wp:effectExtent l="4445" t="4445" r="17780" b="19685"/>
                      <wp:wrapNone/>
                      <wp:docPr id="20" name="文本框 20"/>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FF0000"/>
                                      <w:sz w:val="21"/>
                                      <w:szCs w:val="21"/>
                                      <w:lang w:val="en-US" w:eastAsia="zh-CN"/>
                                    </w:rPr>
                                  </w:pPr>
                                  <w:r>
                                    <w:rPr>
                                      <w:rFonts w:hint="eastAsia"/>
                                      <w:color w:val="FF0000"/>
                                      <w:sz w:val="21"/>
                                      <w:szCs w:val="21"/>
                                      <w:lang w:val="en-US" w:eastAsia="zh-CN"/>
                                    </w:rPr>
                                    <w:t>移印</w:t>
                                  </w:r>
                                </w:p>
                              </w:txbxContent>
                            </wps:txbx>
                            <wps:bodyPr upright="1"/>
                          </wps:wsp>
                        </a:graphicData>
                      </a:graphic>
                    </wp:anchor>
                  </w:drawing>
                </mc:Choice>
                <mc:Fallback>
                  <w:pict>
                    <v:shape id="_x0000_s1026" o:spid="_x0000_s1026" o:spt="202" type="#_x0000_t202" style="position:absolute;left:0pt;margin-left:298pt;margin-top:20.45pt;height:22.1pt;width:43.25pt;z-index:251674624;mso-width-relative:page;mso-height-relative:page;" fillcolor="#FFFFFF" filled="t" stroked="t" coordsize="21600,21600" o:gfxdata="UEsDBAoAAAAAAIdO4kAAAAAAAAAAAAAAAAAEAAAAZHJzL1BLAwQUAAAACACHTuJA0qj0OdkAAAAJ&#10;AQAADwAAAGRycy9kb3ducmV2LnhtbE2PwU7DMBBE70j8g7VIXBC1U5qQhDg9IIHgVgqCqxu7SYS9&#10;Drablr9nOcFxtaM3b5r1yVk2mxBHjxKyhQBmsPN6xF7C2+vDdQksJoVaWY9GwreJsG7PzxpVa3/E&#10;FzNvU88IgrFWEoaUpprz2A3Gqbjwk0H67X1wKtEZeq6DOhLcWb4UouBOjUgNg5rM/WC6z+3BSShX&#10;T/NHfL7ZvHfF3lbp6nZ+/ApSXl5k4g5YMqf0F4ZffVKHlpx2/oA6MishrwrakiSsRAWMAkW5zIHt&#10;iJ5nwNuG/1/Q/gBQSwMEFAAAAAgAh07iQAIsilsMAgAANwQAAA4AAABkcnMvZTJvRG9jLnhtbK1T&#10;y67TMBDdI/EPlvc0uRG9j6jplaCUDQKkCx/g2k5iyS953Cb9AfgDVmzY8139DsZOb+8DFl2QhTMe&#10;j8/MOTNe3I5Gk50MoJxt6MWspERa7oSyXUO/flm/uqYEIrOCaWdlQ/cS6O3y5YvF4GtZud5pIQNB&#10;EAv14Bvax+jrogDeS8Ng5ry0eNi6YFjEbegKEdiA6EYXVVleFoMLwgfHJQB6V9MhPSKGcwBd2you&#10;V45vjbRxQg1Ss4iUoFce6DJX27aSx09tCzIS3VBkGvOKSdDepLVYLljdBeZ7xY8lsHNKeMbJMGUx&#10;6QlqxSIj26D+gjKKBweujTPuTDERyYogi4vymTZ3PfMyc0GpwZ9Eh/8Hyz/uPgeiREMrlMQygx0/&#10;/Ph++Pn78OsbQR8KNHioMe7OY2Qc37gRx+beD+hMvMc2mPRHRgTPEWt/kleOkXB0zl/fVFdzSjge&#10;Vdfl5VVGLx4u+wDxvXSGJKOhAbuXRWW7DxCxEAy9D0m5wGkl1krrvAnd5q0OZMew0+v8pRrxypMw&#10;bcnQ0Jt5lepgOL4tjg2axqMEYLuc78kNeAxc5u9fwKmwFYN+KiAjpDBWGxVlyFYvmXhnBYl7jypb&#10;fF00FWOkoERLfIzJypGRKX1OJLLTFkmmDk2dSFYcNyPCJHPjxB67tvVBdT1KmvuWw3GesjrH2U8D&#10;+3ifQR/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qj0OdkAAAAJAQAADwAAAAAAAAABACAA&#10;AAAiAAAAZHJzL2Rvd25yZXYueG1sUEsBAhQAFAAAAAgAh07iQAIsilsMAgAANwQAAA4AAAAAAAAA&#10;AQAgAAAAKAEAAGRycy9lMm9Eb2MueG1sUEsFBgAAAAAGAAYAWQEAAKYFAAAAAA==&#10;">
                      <v:fill on="t" focussize="0,0"/>
                      <v:stroke color="#000000" joinstyle="miter"/>
                      <v:imagedata o:title=""/>
                      <o:lock v:ext="edit" aspectratio="f"/>
                      <v:textbox>
                        <w:txbxContent>
                          <w:p>
                            <w:pPr>
                              <w:rPr>
                                <w:rFonts w:hint="default" w:eastAsia="宋体"/>
                                <w:color w:val="FF0000"/>
                                <w:sz w:val="21"/>
                                <w:szCs w:val="21"/>
                                <w:lang w:val="en-US" w:eastAsia="zh-CN"/>
                              </w:rPr>
                            </w:pPr>
                            <w:r>
                              <w:rPr>
                                <w:rFonts w:hint="eastAsia"/>
                                <w:color w:val="FF0000"/>
                                <w:sz w:val="21"/>
                                <w:szCs w:val="21"/>
                                <w:lang w:val="en-US" w:eastAsia="zh-CN"/>
                              </w:rPr>
                              <w:t>移印</w:t>
                            </w:r>
                          </w:p>
                        </w:txbxContent>
                      </v:textbox>
                    </v:shape>
                  </w:pict>
                </mc:Fallback>
              </mc:AlternateContent>
            </w:r>
            <w:r>
              <w:rPr>
                <w:kern w:val="0"/>
                <w:sz w:val="24"/>
                <w:u w:val="single"/>
              </w:rPr>
              <mc:AlternateContent>
                <mc:Choice Requires="wps">
                  <w:drawing>
                    <wp:anchor distT="0" distB="0" distL="114300" distR="114300" simplePos="0" relativeHeight="251673600" behindDoc="0" locked="0" layoutInCell="1" allowOverlap="1">
                      <wp:simplePos x="0" y="0"/>
                      <wp:positionH relativeFrom="column">
                        <wp:posOffset>4573905</wp:posOffset>
                      </wp:positionH>
                      <wp:positionV relativeFrom="paragraph">
                        <wp:posOffset>245110</wp:posOffset>
                      </wp:positionV>
                      <wp:extent cx="549275" cy="280670"/>
                      <wp:effectExtent l="4445" t="4445" r="17780" b="19685"/>
                      <wp:wrapNone/>
                      <wp:docPr id="19" name="文本框 19"/>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FF0000"/>
                                      <w:sz w:val="21"/>
                                      <w:szCs w:val="21"/>
                                      <w:lang w:val="en-US" w:eastAsia="zh-CN"/>
                                    </w:rPr>
                                  </w:pPr>
                                  <w:r>
                                    <w:rPr>
                                      <w:rFonts w:hint="eastAsia"/>
                                      <w:color w:val="FF0000"/>
                                      <w:sz w:val="21"/>
                                      <w:szCs w:val="21"/>
                                      <w:lang w:val="en-US" w:eastAsia="zh-CN"/>
                                    </w:rPr>
                                    <w:t>上色</w:t>
                                  </w:r>
                                </w:p>
                              </w:txbxContent>
                            </wps:txbx>
                            <wps:bodyPr upright="1"/>
                          </wps:wsp>
                        </a:graphicData>
                      </a:graphic>
                    </wp:anchor>
                  </w:drawing>
                </mc:Choice>
                <mc:Fallback>
                  <w:pict>
                    <v:shape id="_x0000_s1026" o:spid="_x0000_s1026" o:spt="202" type="#_x0000_t202" style="position:absolute;left:0pt;margin-left:360.15pt;margin-top:19.3pt;height:22.1pt;width:43.25pt;z-index:251673600;mso-width-relative:page;mso-height-relative:page;" fillcolor="#FFFFFF" filled="t" stroked="t" coordsize="21600,21600" o:gfxdata="UEsDBAoAAAAAAIdO4kAAAAAAAAAAAAAAAAAEAAAAZHJzL1BLAwQUAAAACACHTuJACU2FL9gAAAAJ&#10;AQAADwAAAGRycy9kb3ducmV2LnhtbE2PwU7DMAyG70i8Q2QkLogla1EXStMdkEBwYwPBNWuytiJx&#10;SpJ14+0xJ7jZ8qff39+sT96x2cY0BlSwXAhgFrtgRuwVvL0+XEtgKWs02gW0Cr5tgnV7ftbo2oQj&#10;buy8zT2jEEy1VjDkPNWcp26wXqdFmCzSbR+i15nW2HMT9ZHCveOFEBX3ekT6MOjJ3g+2+9wevAJ5&#10;8zR/pOfy5b2r9u42X63mx6+o1OXFUtwBy/aU/2D41Sd1aMlpFw5oEnMKVoUoCVVQygoYAVJU1GVH&#10;QyGBtw3/36D9AVBLAwQUAAAACACHTuJAZFHUHQ0CAAA3BAAADgAAAGRycy9lMm9Eb2MueG1srVNL&#10;btswEN0X6B0I7mspRp3EguUAretuirZA2gPQJCUR4A8c2pIv0N6gq26677l8jg4px/k0Cy+iBTUk&#10;Hx/nvRkubgajyU4GUM7W9GJSUiItd0LZtqbfv63fXFMCkVnBtLOypnsJ9Gb5+tWi95Wcus5pIQNB&#10;EgtV72vaxeirogDeScNg4ry0uNm4YFjEaWgLEViP7EYX07K8LHoXhA+OSwBcXY2b9MgYziF0TaO4&#10;XDm+NdLGkTVIzSJKgk55oMucbdNIHr80DchIdE1RacwjXoLxJo3FcsGqNjDfKX5MgZ2TwhNNhimL&#10;l56oViwysg3qPyqjeHDgmjjhzhSjkOwIqrgon3hz2zEvsxa0GvzJdHg5Wv559zUQJbAT5pRYZrDi&#10;h18/D7//Hv78ILiGBvUeKsTdekTG4Z0bEHy3DriYdA9NMOmPigjuo737k71yiITj4uztfHo1o4Tj&#10;1vS6vLzK9hf3h32A+FE6Q1JQ04DVy6ay3SeImAhC7yDpLnBaibXSOk9Cu3mvA9kxrPQ6fylHPPII&#10;pi3pazqfTVMeDNu3wbbB0Hi0AGyb73t0Ah4Sl/l7jjgltmLQjQlkhgRjlVFRhhx1kokPVpC49+iy&#10;xddFUzJGCkq0xMeYooyMTOlzkKhOWxSZKjRWIkVx2AxIk8KNE3us2tYH1XZoaa5bhmM/ZXeOvZ8a&#10;9uE8k96/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2FL9gAAAAJAQAADwAAAAAAAAABACAA&#10;AAAiAAAAZHJzL2Rvd25yZXYueG1sUEsBAhQAFAAAAAgAh07iQGRR1B0NAgAANwQAAA4AAAAAAAAA&#10;AQAgAAAAJwEAAGRycy9lMm9Eb2MueG1sUEsFBgAAAAAGAAYAWQEAAKYFAAAAAA==&#10;">
                      <v:fill on="t" focussize="0,0"/>
                      <v:stroke color="#000000" joinstyle="miter"/>
                      <v:imagedata o:title=""/>
                      <o:lock v:ext="edit" aspectratio="f"/>
                      <v:textbox>
                        <w:txbxContent>
                          <w:p>
                            <w:pPr>
                              <w:rPr>
                                <w:rFonts w:hint="default" w:eastAsia="宋体"/>
                                <w:color w:val="FF0000"/>
                                <w:sz w:val="21"/>
                                <w:szCs w:val="21"/>
                                <w:lang w:val="en-US" w:eastAsia="zh-CN"/>
                              </w:rPr>
                            </w:pPr>
                            <w:r>
                              <w:rPr>
                                <w:rFonts w:hint="eastAsia"/>
                                <w:color w:val="FF0000"/>
                                <w:sz w:val="21"/>
                                <w:szCs w:val="21"/>
                                <w:lang w:val="en-US" w:eastAsia="zh-CN"/>
                              </w:rPr>
                              <w:t>上色</w:t>
                            </w:r>
                          </w:p>
                        </w:txbxContent>
                      </v:textbox>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kern w:val="0"/>
                <w:sz w:val="24"/>
                <w:u w:val="single"/>
              </w:rPr>
              <mc:AlternateContent>
                <mc:Choice Requires="wps">
                  <w:drawing>
                    <wp:anchor distT="0" distB="0" distL="114300" distR="114300" simplePos="0" relativeHeight="251675648" behindDoc="0" locked="0" layoutInCell="1" allowOverlap="1">
                      <wp:simplePos x="0" y="0"/>
                      <wp:positionH relativeFrom="column">
                        <wp:posOffset>2862580</wp:posOffset>
                      </wp:positionH>
                      <wp:positionV relativeFrom="paragraph">
                        <wp:posOffset>635</wp:posOffset>
                      </wp:positionV>
                      <wp:extent cx="618490" cy="280670"/>
                      <wp:effectExtent l="5080" t="4445" r="5080" b="19685"/>
                      <wp:wrapNone/>
                      <wp:docPr id="21" name="文本框 21"/>
                      <wp:cNvGraphicFramePr/>
                      <a:graphic xmlns:a="http://schemas.openxmlformats.org/drawingml/2006/main">
                        <a:graphicData uri="http://schemas.microsoft.com/office/word/2010/wordprocessingShape">
                          <wps:wsp>
                            <wps:cNvSpPr txBox="1"/>
                            <wps:spPr>
                              <a:xfrm>
                                <a:off x="0" y="0"/>
                                <a:ext cx="61849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FF0000"/>
                                      <w:sz w:val="21"/>
                                      <w:szCs w:val="21"/>
                                      <w:lang w:val="en-US" w:eastAsia="zh-CN"/>
                                    </w:rPr>
                                  </w:pPr>
                                  <w:r>
                                    <w:rPr>
                                      <w:rFonts w:hint="eastAsia"/>
                                      <w:color w:val="FF0000"/>
                                      <w:sz w:val="21"/>
                                      <w:szCs w:val="21"/>
                                      <w:lang w:val="en-US" w:eastAsia="zh-CN"/>
                                    </w:rPr>
                                    <w:t>喷油漆</w:t>
                                  </w:r>
                                </w:p>
                              </w:txbxContent>
                            </wps:txbx>
                            <wps:bodyPr upright="1"/>
                          </wps:wsp>
                        </a:graphicData>
                      </a:graphic>
                    </wp:anchor>
                  </w:drawing>
                </mc:Choice>
                <mc:Fallback>
                  <w:pict>
                    <v:shape id="_x0000_s1026" o:spid="_x0000_s1026" o:spt="202" type="#_x0000_t202" style="position:absolute;left:0pt;margin-left:225.4pt;margin-top:0.05pt;height:22.1pt;width:48.7pt;z-index:251675648;mso-width-relative:page;mso-height-relative:page;" fillcolor="#FFFFFF" filled="t" stroked="t" coordsize="21600,21600" o:gfxdata="UEsDBAoAAAAAAIdO4kAAAAAAAAAAAAAAAAAEAAAAZHJzL1BLAwQUAAAACACHTuJAiUncZ9YAAAAH&#10;AQAADwAAAGRycy9kb3ducmV2LnhtbE2OwU7DMBBE70j8g7VIXBC126ZtCHF6QALBDQoqVzfeJhH2&#10;OsRuWv6e7QmOs28188r1yTsx4hC7QBqmEwUCqQ62o0bDx/vjbQ4iJkPWuECo4QcjrKvLi9IUNhzp&#10;DcdNagSXUCyMhjalvpAy1i16EyehR2K2D4M3iePQSDuYI5d7J2dKLaU3HfFCa3p8aLH+2hy8hjx7&#10;Hj/jy/x1Wy/37i7drMan70Hr66upugeR8JT+nuGsz+pQsdMuHMhG4TRkC8Xq6QwE40WWz0Ds+J7N&#10;QVal/O9f/QJQSwMEFAAAAAgAh07iQIUtyEENAgAANwQAAA4AAABkcnMvZTJvRG9jLnhtbK1TzY7T&#10;MBC+I/EOlu80acWWbtR0JSjlggBp4QFc20ks+U8et0lfAN6AExfuPFefY8dOt/sDhx7IwRnPjD/P&#10;9814eTMYTfYygHK2ptNJSYm03All25p++7p5taAEIrOCaWdlTQ8S6M3q5Ytl7ys5c53TQgaCIBaq&#10;3te0i9FXRQG8k4bBxHlpMdi4YFjEbWgLEViP6EYXs7KcF70LwgfHJQB612OQnhDDJYCuaRSXa8d3&#10;Rto4ogapWURK0CkPdJWrbRrJ4+emARmJrikyjXnFS9DeprVYLVnVBuY7xU8lsEtKeMbJMGXx0jPU&#10;mkVGdkH9BWUUDw5cEyfcmWIkkhVBFtPymTa3HfMyc0GpwZ9Fh/8Hyz/tvwSiRE1nU0osM9jx488f&#10;x19/jr+/E/ShQL2HCvNuPWbG4a0bcGzu/YDOxHtogkl/ZEQwjvIezvLKIRKOzvl08foaIxxDs0U5&#10;f5PlLx4O+wDxg3SGJKOmAbuXRWX7jxCxEEy9T0l3gdNKbJTWeRPa7TsdyJ5hpzf5SzXikSdp2pK+&#10;ptdXsyusg+H4Njg2aBqPEoBt831PTsBj4DJ//wJOha0ZdGMBGSGlscqoKEO2OsnEeytIPHhU2eLr&#10;oqkYIwUlWuJjTFbOjEzpSzKRnbZIMnVo7ESy4rAdECaZWycO2LWdD6rtUNLct5yO85TVOc1+GtjH&#10;+wz68N5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J3GfWAAAABwEAAA8AAAAAAAAAAQAgAAAA&#10;IgAAAGRycy9kb3ducmV2LnhtbFBLAQIUABQAAAAIAIdO4kCFLchBDQIAADcEAAAOAAAAAAAAAAEA&#10;IAAAACUBAABkcnMvZTJvRG9jLnhtbFBLBQYAAAAABgAGAFkBAACkBQAAAAA=&#10;">
                      <v:fill on="t" focussize="0,0"/>
                      <v:stroke color="#000000" joinstyle="miter"/>
                      <v:imagedata o:title=""/>
                      <o:lock v:ext="edit" aspectratio="f"/>
                      <v:textbox>
                        <w:txbxContent>
                          <w:p>
                            <w:pPr>
                              <w:rPr>
                                <w:rFonts w:hint="default" w:eastAsia="宋体"/>
                                <w:color w:val="FF0000"/>
                                <w:sz w:val="21"/>
                                <w:szCs w:val="21"/>
                                <w:lang w:val="en-US" w:eastAsia="zh-CN"/>
                              </w:rPr>
                            </w:pPr>
                            <w:r>
                              <w:rPr>
                                <w:rFonts w:hint="eastAsia"/>
                                <w:color w:val="FF0000"/>
                                <w:sz w:val="21"/>
                                <w:szCs w:val="21"/>
                                <w:lang w:val="en-US" w:eastAsia="zh-CN"/>
                              </w:rPr>
                              <w:t>喷油漆</w:t>
                            </w:r>
                          </w:p>
                        </w:txbxContent>
                      </v:textbox>
                    </v:shape>
                  </w:pict>
                </mc:Fallback>
              </mc:AlternateContent>
            </w:r>
            <w:r>
              <w:rPr>
                <w:sz w:val="24"/>
                <w:u w:val="single"/>
              </w:rPr>
              <mc:AlternateContent>
                <mc:Choice Requires="wps">
                  <w:drawing>
                    <wp:anchor distT="0" distB="0" distL="114300" distR="114300" simplePos="0" relativeHeight="251689984" behindDoc="0" locked="0" layoutInCell="1" allowOverlap="1">
                      <wp:simplePos x="0" y="0"/>
                      <wp:positionH relativeFrom="column">
                        <wp:posOffset>1795780</wp:posOffset>
                      </wp:positionH>
                      <wp:positionV relativeFrom="paragraph">
                        <wp:posOffset>180340</wp:posOffset>
                      </wp:positionV>
                      <wp:extent cx="291465" cy="2540"/>
                      <wp:effectExtent l="0" t="47625" r="13335" b="64135"/>
                      <wp:wrapNone/>
                      <wp:docPr id="55" name="直接箭头连接符 55"/>
                      <wp:cNvGraphicFramePr/>
                      <a:graphic xmlns:a="http://schemas.openxmlformats.org/drawingml/2006/main">
                        <a:graphicData uri="http://schemas.microsoft.com/office/word/2010/wordprocessingShape">
                          <wps:wsp>
                            <wps:cNvCnPr/>
                            <wps:spPr>
                              <a:xfrm flipH="1">
                                <a:off x="0" y="0"/>
                                <a:ext cx="291465"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1.4pt;margin-top:14.2pt;height:0.2pt;width:22.95pt;z-index:251689984;mso-width-relative:page;mso-height-relative:page;" filled="f" stroked="t" coordsize="21600,21600" o:gfxdata="UEsDBAoAAAAAAIdO4kAAAAAAAAAAAAAAAAAEAAAAZHJzL1BLAwQUAAAACACHTuJAUDN+3NkAAAAJ&#10;AQAADwAAAGRycy9kb3ducmV2LnhtbE2PMU/DMBCFd6T+B+sqdaN2XQJRiFMJpA4dGAiRKjY3PpKo&#10;8TmK3Tbw63Em2O7ePb33Xb6bbM+uOPrOkYLNWgBDqp3pqFFQfezvU2A+aDK6d4QKvtHDrljc5Toz&#10;7kbveC1Dw2II+UwraEMYMs593aLVfu0GpHj7cqPVIa5jw82obzHc9lwK8cit7ig2tHrA1xbrc3mx&#10;CtzheHafL5X4Sapke5TTUL4dEqVWy414BhZwCn9mmPEjOhSR6eQuZDzrFchURvQwDw/AomEr0ydg&#10;p1lIgRc5//9B8QtQSwMEFAAAAAgAh07iQMt3PJAiAgAADgQAAA4AAABkcnMvZTJvRG9jLnhtbK1T&#10;zY7TMBC+I/EOlu80adUutGq6YttdOPBTCXiAqeMklhzb8nib9iV4ASROwAk47Z2ngeUxGDvdAstl&#10;D1yc8Uzmm5lvPs9Pd61mW+lRWVPw4SDnTBphS2Xqgr95ffHgEWcYwJSgrZEF30vkp4v79+adm8mR&#10;bawupWcEYnDWuYI3IbhZlqFoZAs4sE4aClbWtxDo6uus9NARequzUZ6fZJ31pfNWSETyrvogPyD6&#10;uwDaqlJCrqy4bKUJPaqXGgKNhI1yyBep26qSIrysKpSB6YLTpCGdVITsTTyzxRxmtQfXKHFoAe7S&#10;wq2ZWlCGih6hVhCAXXr1D1SrhLdoqzAQts36QRIjNMUwv8XNqwacTLMQ1eiOpOP/gxUvtmvPVFnw&#10;yYQzAy1t/Prd1Y+3H6+/fvn+4ernt/fR/vyJUZzI6hzOKGdp1v5wQ7f2cfJd5VtWaeWekqoSFzQd&#10;2yWq90eq5S4wQc7RdDg+oYqCQqPJOC0i60EimPMYnkjbsmgUHIMHVTdhaY2hlVrfF4DtMwzUBiXe&#10;JMRkYy+U1mmz2rCu4NPJKJYCUmtFKiGzdTQxmpoz0DU9AxF8ahmtVmXMjjjo681Se7YFEs/48cPz&#10;s7P+pwZK2Xunkzw/iAghPLdl7x7mN35q7QCT2vwLP/a8Amz6nBTq9RhA6XNTsrB3tA7w3nYxQFja&#10;0CfuoGc9Whtb7tMykp9kkn48SDrq8M97yv79jB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Az&#10;ftzZAAAACQEAAA8AAAAAAAAAAQAgAAAAIgAAAGRycy9kb3ducmV2LnhtbFBLAQIUABQAAAAIAIdO&#10;4kDLdzyQIgIAAA4EAAAOAAAAAAAAAAEAIAAAACgBAABkcnMvZTJvRG9jLnhtbFBLBQYAAAAABgAG&#10;AFkBAAC8BQ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89984" behindDoc="0" locked="0" layoutInCell="1" allowOverlap="1">
                      <wp:simplePos x="0" y="0"/>
                      <wp:positionH relativeFrom="column">
                        <wp:posOffset>2621280</wp:posOffset>
                      </wp:positionH>
                      <wp:positionV relativeFrom="paragraph">
                        <wp:posOffset>169545</wp:posOffset>
                      </wp:positionV>
                      <wp:extent cx="291465" cy="2540"/>
                      <wp:effectExtent l="0" t="47625" r="13335" b="64135"/>
                      <wp:wrapNone/>
                      <wp:docPr id="54" name="直接箭头连接符 54"/>
                      <wp:cNvGraphicFramePr/>
                      <a:graphic xmlns:a="http://schemas.openxmlformats.org/drawingml/2006/main">
                        <a:graphicData uri="http://schemas.microsoft.com/office/word/2010/wordprocessingShape">
                          <wps:wsp>
                            <wps:cNvCnPr/>
                            <wps:spPr>
                              <a:xfrm flipH="1">
                                <a:off x="0" y="0"/>
                                <a:ext cx="291465"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6.4pt;margin-top:13.35pt;height:0.2pt;width:22.95pt;z-index:251689984;mso-width-relative:page;mso-height-relative:page;" filled="f" stroked="t" coordsize="21600,21600" o:gfxdata="UEsDBAoAAAAAAIdO4kAAAAAAAAAAAAAAAAAEAAAAZHJzL1BLAwQUAAAACACHTuJA/6BirtoAAAAJ&#10;AQAADwAAAGRycy9kb3ducmV2LnhtbE2PMU/DMBCFdyT+g3VIbNROaNoqxKkEEkMHBkKkis2NjyRq&#10;fI5itw38eo6Jbnfvnt77rtjObhBnnELvSUOyUCCQGm97ajXUH68PGxAhGrJm8IQavjHAtry9KUxu&#10;/YXe8VzFVnAIhdxo6GIccylD06EzYeFHJL59+cmZyOvUSjuZC4e7QaZKraQzPXFDZ0Z86bA5Vien&#10;we/2R//5XKufrM4e9+k8Vm+7TOv7u0Q9gYg4x38z/OEzOpTMdPAnskEMGpZJyuhRQ7pag2DDMtvw&#10;cGBhnYAsC3n9QfkLUEsDBBQAAAAIAIdO4kCqIAvXIgIAAA4EAAAOAAAAZHJzL2Uyb0RvYy54bWyt&#10;U82O0zAQviPxDpbvNGnVLrRqumLbXTjwUwl4gKnjJJYc2/J4m/YleAEkTsAJOO2dp4HlMRg73QLL&#10;ZQ9ckvFM5vN833yZn+5azbbSo7Km4MNBzpk0wpbK1AV/8/riwSPOMIApQVsjC76XyE8X9+/NOzeT&#10;I9tYXUrPCMTgrHMFb0JwsyxD0cgWcGCdNFSsrG8h0NHXWemhI/RWZ6M8P8k660vnrZCIlF31RX5A&#10;9HcBtFWlhFxZcdlKE3pULzUEooSNcsgXadqqkiK8rCqUgemCE9OQnnQJxZv4zBZzmNUeXKPEYQS4&#10;ywi3OLWgDF16hFpBAHbp1T9QrRLeoq3CQNg264kkRYjFML+lzasGnExcSGp0R9Hx/8GKF9u1Z6os&#10;+GTMmYGWNn797urH24/XX798/3D189v7GH/+xKhOYnUOZ9SzNGt/OKFb+8h8V/mWVVq5p+SqpAWx&#10;Y7sk9f4otdwFJig5mg7HJxPOBJVGk3FaRNaDRDDnMTyRtmUxKDgGD6puwtIaQyu1vr8Ats8w0BjU&#10;eNMQm429UFqnzWrDuoJPJ6N4FZBbK3IJha0jxmhqzkDX9BuI4NPIaLUqY3fEQV9vltqzLZB5xo8f&#10;np+d9R81UMo+O53k+cFECOG5Lfv0ML/J02gHmDTmX/hx5hVg0/ekUu/HAEqfm5KFvaN1gPe2iwXC&#10;0oZecQe96jHa2HKflpHyZJP04cHS0Yd/nlP379948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oGKu2gAAAAkBAAAPAAAAAAAAAAEAIAAAACIAAABkcnMvZG93bnJldi54bWxQSwECFAAUAAAACACH&#10;TuJAqiAL1yICAAAOBAAADgAAAAAAAAABACAAAAApAQAAZHJzL2Uyb0RvYy54bWxQSwUGAAAAAAYA&#10;BgBZAQAAvQU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89984" behindDoc="0" locked="0" layoutInCell="1" allowOverlap="1">
                      <wp:simplePos x="0" y="0"/>
                      <wp:positionH relativeFrom="column">
                        <wp:posOffset>3446145</wp:posOffset>
                      </wp:positionH>
                      <wp:positionV relativeFrom="paragraph">
                        <wp:posOffset>170180</wp:posOffset>
                      </wp:positionV>
                      <wp:extent cx="291465" cy="2540"/>
                      <wp:effectExtent l="0" t="47625" r="13335" b="64135"/>
                      <wp:wrapNone/>
                      <wp:docPr id="53" name="直接箭头连接符 53"/>
                      <wp:cNvGraphicFramePr/>
                      <a:graphic xmlns:a="http://schemas.openxmlformats.org/drawingml/2006/main">
                        <a:graphicData uri="http://schemas.microsoft.com/office/word/2010/wordprocessingShape">
                          <wps:wsp>
                            <wps:cNvCnPr/>
                            <wps:spPr>
                              <a:xfrm flipH="1">
                                <a:off x="0" y="0"/>
                                <a:ext cx="291465"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1.35pt;margin-top:13.4pt;height:0.2pt;width:22.95pt;z-index:251689984;mso-width-relative:page;mso-height-relative:page;" filled="f" stroked="t" coordsize="21600,21600" o:gfxdata="UEsDBAoAAAAAAIdO4kAAAAAAAAAAAAAAAAAEAAAAZHJzL1BLAwQUAAAACACHTuJAi6Zyh9kAAAAJ&#10;AQAADwAAAGRycy9kb3ducmV2LnhtbE2PsU7DMBCGdyTewTokNmrX4DQKcSqBxNCBgRCpYnPjI4ka&#10;21HstoGn55hgvLtP/31/uV3cyM44xyF4DeuVAIa+DXbwnYbm/eUuBxaT8daMwaOGL4ywra6vSlPY&#10;cPFveK5TxyjEx8Jo6FOaCs5j26MzcRUm9HT7DLMzica543Y2Fwp3I5dCZNyZwdOH3kz43GN7rE9O&#10;Q9jtj+HjqRHfqlH3e7lM9etOaX17sxaPwBIu6Q+GX31Sh4qcDuHkbWSjBvUgN4RqkBlVIEDleQbs&#10;QIuNBF6V/H+D6gdQSwMEFAAAAAgAh07iQMyC/tkjAgAADgQAAA4AAABkcnMvZTJvRG9jLnhtbK1T&#10;zXLTMBC+M8M7aHQndkJSSCZOhyYtHPjpDPAAG1m2NSNLmpUaJy/BCzDDqXACTr3zNFAeg5WcBiiX&#10;HrjYq13vp/2+/Tw/3raabSR6ZU3Bh4OcM2mELZWpC/72zdmDx5z5AKYEbY0s+E56fry4f2/euZkc&#10;2cbqUiIjEONnnSt4E4KbZZkXjWzBD6yThoqVxRYCHbHOSoSO0FudjfL8KOsslg6tkN5TdtUX+R4R&#10;7wJoq0oJubLiopUm9KgoNQSi5BvlPF+kaatKivCqqrwMTBecmIb0pEsoXsdntpjDrEZwjRL7EeAu&#10;I9zi1IIydOkBagUB2AWqf6BaJdB6W4WBsG3WE0mKEIthfkub1w04mbiQ1N4dRPf/D1a83JwjU2XB&#10;Jw85M9DSxq/fX/149/H665fvl1c/v32I8edPjOokVuf8jHqW5hz3J+/OMTLfVtiySiv3jFyVtCB2&#10;bJuk3h2kltvABCVH0+H4aMKZoNJoMk6LyHqQCObQh6fStiwGBfcBQdVNWFpjaKUW+wtg89wHGoMa&#10;bxpis7FnSuu0WW1YV/DpZBSvAnJrRS6hsHXE2JuaM9A1/QYiYBrZW63K2B1xPNbrpUa2ATLP+Mmj&#10;05OT/qMGStlnp5M835vIQ3hhyz49zG/yNNoeJo35F36ceQW+6XtSqfdjAKVPTcnCztE6ANF2sUBY&#10;2tAr7qBXPUZrW+7SMlKebJI+3Fs6+vDPc+r+/Rsv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pnKH2QAAAAkBAAAPAAAAAAAAAAEAIAAAACIAAABkcnMvZG93bnJldi54bWxQSwECFAAUAAAACACH&#10;TuJAzIL+2SMCAAAOBAAADgAAAAAAAAABACAAAAAoAQAAZHJzL2Uyb0RvYy54bWxQSwUGAAAAAAYA&#10;BgBZAQAAvQU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89984" behindDoc="0" locked="0" layoutInCell="1" allowOverlap="1">
                      <wp:simplePos x="0" y="0"/>
                      <wp:positionH relativeFrom="column">
                        <wp:posOffset>4345940</wp:posOffset>
                      </wp:positionH>
                      <wp:positionV relativeFrom="paragraph">
                        <wp:posOffset>116840</wp:posOffset>
                      </wp:positionV>
                      <wp:extent cx="291465" cy="2540"/>
                      <wp:effectExtent l="0" t="47625" r="13335" b="64135"/>
                      <wp:wrapNone/>
                      <wp:docPr id="52" name="直接箭头连接符 52"/>
                      <wp:cNvGraphicFramePr/>
                      <a:graphic xmlns:a="http://schemas.openxmlformats.org/drawingml/2006/main">
                        <a:graphicData uri="http://schemas.microsoft.com/office/word/2010/wordprocessingShape">
                          <wps:wsp>
                            <wps:cNvCnPr/>
                            <wps:spPr>
                              <a:xfrm flipH="1">
                                <a:off x="0" y="0"/>
                                <a:ext cx="291465"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2.2pt;margin-top:9.2pt;height:0.2pt;width:22.95pt;z-index:251689984;mso-width-relative:page;mso-height-relative:page;" filled="f" stroked="t" coordsize="21600,21600" o:gfxdata="UEsDBAoAAAAAAIdO4kAAAAAAAAAAAAAAAAAEAAAAZHJzL1BLAwQUAAAACACHTuJAW5VxN9kAAAAJ&#10;AQAADwAAAGRycy9kb3ducmV2LnhtbE2PMU/DMBCFdyT+g3VIbNRu05QoxKkEEkMHBkKkis2NjyRq&#10;fI5itw38eq4TTKe79/Tue8V2doM44xR6TxqWCwUCqfG2p1ZD/fH6kIEI0ZA1gyfU8I0BtuXtTWFy&#10;6y/0jucqtoJDKORGQxfjmEsZmg6dCQs/IrH25SdnIq9TK+1kLhzuBrlSaiOd6Yk/dGbElw6bY3Vy&#10;Gvxuf/Sfz7X6Ses02a/msXrbpVrf3y3VE4iIc/wzwxWf0aFkpoM/kQ1i0LDJ1mu2spDxZMNjohIQ&#10;h+shA1kW8n+D8hdQSwMEFAAAAAgAh07iQK3VyZ4hAgAADgQAAA4AAABkcnMvZTJvRG9jLnhtbK1T&#10;zY7TMBC+I/EOlu80adQutGq6YttdOPBTCXiAqeMklvwn29u0L8ELIHECTsBp7zwNLI/B2MkWWC57&#10;4JKMZzKf5/vmy+J0ryTZceeF0SUdj3JKuGamErop6ZvXFw8eUeID6Aqk0bykB+7p6fL+vUVn57ww&#10;rZEVdwRBtJ93tqRtCHaeZZ61XIEfGcs1FmvjFAQ8uiarHHSIrmRW5PlJ1hlXWWcY9x6z675IB0R3&#10;F0BT14LxtWGXiuvQozouISAl3wrr6TJNW9echZd17XkgsqTINKQnXoLxNj6z5QLmjQPbCjaMAHcZ&#10;4RYnBULjpUeoNQQgl078A6UEc8abOoyYUVlPJCmCLMb5LW1etWB54oJSe3sU3f8/WPZit3FEVCWd&#10;FpRoULjx63dXP95+vP765fuHq5/f3sf48yeCdRSrs36OPSu9ccPJ242LzPe1U6SWwj5FVyUtkB3Z&#10;J6kPR6n5PhCGyWI2npxMKWFYKqaTtIisB4lg1vnwhBtFYlBSHxyIpg0rozWu1Lj+Atg98wHHwMab&#10;htiszYWQMm1WatKVdDYt4lWAbq3RJRgqi4y9bigB2eBvwIJLI3sjRRW7I453zXYlHdkBmmfy+OH5&#10;2Vn/UQsV77OzaZ4PJvIQnpuqT4/zmzyONsCkMf/CjzOvwbd9Tyr1fgwg5LmuSDhYXAc4Z7pYQCyp&#10;8RV30Kseo62pDmkZKY82SR8Olo4+/POcun//xs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5Vx&#10;N9kAAAAJAQAADwAAAAAAAAABACAAAAAiAAAAZHJzL2Rvd25yZXYueG1sUEsBAhQAFAAAAAgAh07i&#10;QK3VyZ4hAgAADgQAAA4AAAAAAAAAAQAgAAAAKAEAAGRycy9lMm9Eb2MueG1sUEsFBgAAAAAGAAYA&#10;WQEAALsFAAAAAA==&#10;">
                      <v:fill on="f" focussize="0,0"/>
                      <v:stroke color="#4A7EBB [3204]" joinstyle="round" endarrow="open"/>
                      <v:imagedata o:title=""/>
                      <o:lock v:ext="edit" aspectratio="f"/>
                    </v:shape>
                  </w:pict>
                </mc:Fallback>
              </mc:AlternateContent>
            </w:r>
            <w:r>
              <w:rPr>
                <w:kern w:val="0"/>
                <w:sz w:val="24"/>
                <w:u w:val="single"/>
              </w:rPr>
              <mc:AlternateContent>
                <mc:Choice Requires="wps">
                  <w:drawing>
                    <wp:anchor distT="0" distB="0" distL="114300" distR="114300" simplePos="0" relativeHeight="251677696" behindDoc="0" locked="0" layoutInCell="1" allowOverlap="1">
                      <wp:simplePos x="0" y="0"/>
                      <wp:positionH relativeFrom="column">
                        <wp:posOffset>929640</wp:posOffset>
                      </wp:positionH>
                      <wp:positionV relativeFrom="paragraph">
                        <wp:posOffset>9525</wp:posOffset>
                      </wp:positionV>
                      <wp:extent cx="876935" cy="280670"/>
                      <wp:effectExtent l="4445" t="4445" r="13970" b="19685"/>
                      <wp:wrapNone/>
                      <wp:docPr id="23" name="文本框 23"/>
                      <wp:cNvGraphicFramePr/>
                      <a:graphic xmlns:a="http://schemas.openxmlformats.org/drawingml/2006/main">
                        <a:graphicData uri="http://schemas.microsoft.com/office/word/2010/wordprocessingShape">
                          <wps:wsp>
                            <wps:cNvSpPr txBox="1"/>
                            <wps:spPr>
                              <a:xfrm>
                                <a:off x="0" y="0"/>
                                <a:ext cx="87693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包装出库</w:t>
                                  </w:r>
                                </w:p>
                              </w:txbxContent>
                            </wps:txbx>
                            <wps:bodyPr upright="1"/>
                          </wps:wsp>
                        </a:graphicData>
                      </a:graphic>
                    </wp:anchor>
                  </w:drawing>
                </mc:Choice>
                <mc:Fallback>
                  <w:pict>
                    <v:shape id="_x0000_s1026" o:spid="_x0000_s1026" o:spt="202" type="#_x0000_t202" style="position:absolute;left:0pt;margin-left:73.2pt;margin-top:0.75pt;height:22.1pt;width:69.05pt;z-index:251677696;mso-width-relative:page;mso-height-relative:page;" fillcolor="#FFFFFF" filled="t" stroked="t" coordsize="21600,21600" o:gfxdata="UEsDBAoAAAAAAIdO4kAAAAAAAAAAAAAAAAAEAAAAZHJzL1BLAwQUAAAACACHTuJAOS4yQtcAAAAI&#10;AQAADwAAAGRycy9kb3ducmV2LnhtbE2PwU7DMBBE70j8g7VIXBB1Wtw0hDg9IIHgVgqCqxtvk4h4&#10;HWw3LX/PcoLbjGY0+7Zan9wgJgyx96RhPstAIDXe9tRqeHt9uC5AxGTImsETavjGCOv6/KwypfVH&#10;esFpm1rBIxRLo6FLaSyljE2HzsSZH5E42/vgTGIbWmmDOfK4G+Qiy3LpTE98oTMj3nfYfG4PTkOh&#10;nqaP+HyzeW/y/XCbrlbT41fQ+vJint2BSHhKf2X4xWd0qJlp5w9koxjYq1xxlcUSBOeLQrHYaVDL&#10;Fci6kv8fqH8AUEsDBBQAAAAIAIdO4kA4G8AKDgIAADcEAAAOAAAAZHJzL2Uyb0RvYy54bWytU82O&#10;0zAQviPxDpbvNNmsttuNmq4EpVwQIC08gGs7iSX/yeM26QvAG3Diwp3n6nPs2O12f+DQAzk44/H4&#10;m/m+Gc9vR6PJVgZQzjb0YlJSIi13Qtmuod++rt7MKIHIrGDaWdnQnQR6u3j9aj74Wlaud1rIQBDE&#10;Qj34hvYx+roogPfSMJg4Ly0eti4YFnEbukIENiC60UVVltNicEH44LgEQO/ycEiPiOEcQNe2isul&#10;4xsjbTygBqlZRErQKw90kattW8nj57YFGYluKDKNecUkaK/TWizmrO4C873ixxLYOSW84GSYspj0&#10;BLVkkZFNUH9BGcWDA9fGCXemOBDJiiCLi/KFNnc98zJzQanBn0SH/wfLP22/BKJEQ6tLSiwz2PH9&#10;zx/7X3/2v78T9KFAg4ca4+48RsbxrRtxbB78gM7Ee2yDSX9kRPAc5d2d5JVjJByds+vpzeUVJRyP&#10;qlk5vc7yF4+XfYD4QTpDktHQgN3LorLtR4hYCIY+hKRc4LQSK6V13oRu/U4HsmXY6VX+Uo145VmY&#10;tmRo6M1VlepgOL4tjg2axqMEYLuc79kNeApc5u9fwKmwJYP+UEBGSGGsNirKkK1eMvHeChJ3HlW2&#10;+LpoKsZIQYmW+BiTlSMjU/qcSGSnLZJMHTp0IllxXI8Ik8y1Ezvs2sYH1fUoae5bDsd5yuocZz8N&#10;7NN9Bn1874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S4yQtcAAAAIAQAADwAAAAAAAAABACAA&#10;AAAiAAAAZHJzL2Rvd25yZXYueG1sUEsBAhQAFAAAAAgAh07iQDgbwAoOAgAANwQAAA4AAAAAAAAA&#10;AQAgAAAAJgEAAGRycy9lMm9Eb2MueG1sUEsFBgAAAAAGAAYAWQEAAKYFA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包装出库</w:t>
                            </w:r>
                          </w:p>
                        </w:txbxContent>
                      </v:textbox>
                    </v:shape>
                  </w:pict>
                </mc:Fallback>
              </mc:AlternateContent>
            </w:r>
            <w:r>
              <w:rPr>
                <w:kern w:val="0"/>
                <w:sz w:val="24"/>
                <w:u w:val="single"/>
              </w:rPr>
              <mc:AlternateContent>
                <mc:Choice Requires="wps">
                  <w:drawing>
                    <wp:anchor distT="0" distB="0" distL="114300" distR="114300" simplePos="0" relativeHeight="251676672" behindDoc="0" locked="0" layoutInCell="1" allowOverlap="1">
                      <wp:simplePos x="0" y="0"/>
                      <wp:positionH relativeFrom="column">
                        <wp:posOffset>2120900</wp:posOffset>
                      </wp:positionH>
                      <wp:positionV relativeFrom="paragraph">
                        <wp:posOffset>5080</wp:posOffset>
                      </wp:positionV>
                      <wp:extent cx="549275" cy="280670"/>
                      <wp:effectExtent l="4445" t="4445" r="17780" b="19685"/>
                      <wp:wrapNone/>
                      <wp:docPr id="22" name="文本框 22"/>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组装</w:t>
                                  </w:r>
                                </w:p>
                              </w:txbxContent>
                            </wps:txbx>
                            <wps:bodyPr upright="1"/>
                          </wps:wsp>
                        </a:graphicData>
                      </a:graphic>
                    </wp:anchor>
                  </w:drawing>
                </mc:Choice>
                <mc:Fallback>
                  <w:pict>
                    <v:shape id="_x0000_s1026" o:spid="_x0000_s1026" o:spt="202" type="#_x0000_t202" style="position:absolute;left:0pt;margin-left:167pt;margin-top:0.4pt;height:22.1pt;width:43.25pt;z-index:251676672;mso-width-relative:page;mso-height-relative:page;" fillcolor="#FFFFFF" filled="t" stroked="t" coordsize="21600,21600" o:gfxdata="UEsDBAoAAAAAAIdO4kAAAAAAAAAAAAAAAAAEAAAAZHJzL1BLAwQUAAAACACHTuJAEqET2NcAAAAH&#10;AQAADwAAAGRycy9kb3ducmV2LnhtbE2PwU7DMAyG70i8Q2QkLoglW7sxStMdkEBwG2Ma16zx2orG&#10;KUnWjbfHnOBm6//1+XO5OrtejBhi50nDdKJAINXedtRo2L4/3S5BxGTImt4TavjGCKvq8qI0hfUn&#10;esNxkxrBEIqF0dCmNBRSxrpFZ+LED0icHXxwJvEaGmmDOTHc9XKm1EI60xFfaM2Ajy3Wn5uj07DM&#10;X8aP+Jqtd/Xi0N+nm7vx+StofX01VQ8gEp7TXxl+9VkdKnba+yPZKHoNWZbzL4lhIDjOZ2oOYs/D&#10;XIGsSvnfv/oBUEsDBBQAAAAIAIdO4kDfEsptDQIAADcEAAAOAAAAZHJzL2Uyb0RvYy54bWytU8uu&#10;0zAQ3SPxD5b3NLkRvY+o6ZWglA0CpAsf4NpOYskvedwm/QH4A1Zs2PNd/Q7GTm/vAxZdkIUzHo/P&#10;zDkzXtyORpOdDKCcbejFrKREWu6Esl1Dv35Zv7qmBCKzgmlnZUP3Eujt8uWLxeBrWbneaSEDQRAL&#10;9eAb2sfo66IA3kvDYOa8tHjYumBYxG3oChHYgOhGF1VZXhaDC8IHxyUAelfTIT0ihnMAXdsqLleO&#10;b420cUINUrOIlKBXHugyV9u2ksdPbQsyEt1QZBrziknQ3qS1WC5Y3QXme8WPJbBzSnjGyTBlMekJ&#10;asUiI9ug/oIyigcHro0z7kwxEcmKIIuL8pk2dz3zMnNBqcGfRIf/B8s/7j4HokRDq4oSywx2/PDj&#10;++Hn78OvbwR9KNDgoca4O4+RcXzjRhybez+gM/Ee22DSHxkRPEd59yd55RgJR+f89U11NaeE41F1&#10;XV5eZfmLh8s+QHwvnSHJaGjA7mVR2e4DRCwEQ+9DUi5wWom10jpvQrd5qwPZMez0On+pRrzyJExb&#10;MjT0Zl6lOhiOb4tjg6bxKAHYLud7cgMeA5f5+xdwKmzFoJ8KyAgpjNVGRRmy1Usm3llB4t6jyhZf&#10;F03FGCko0RIfY7JyZGRKnxOJ7LRFkqlDUyeSFcfNiDDJ3Dixx65tfVBdj5LmvuVwnKesznH208A+&#10;3mfQh/e+/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oRPY1wAAAAcBAAAPAAAAAAAAAAEAIAAA&#10;ACIAAABkcnMvZG93bnJldi54bWxQSwECFAAUAAAACACHTuJA3xLKbQ0CAAA3BAAADgAAAAAAAAAB&#10;ACAAAAAmAQAAZHJzL2Uyb0RvYy54bWxQSwUGAAAAAAYABgBZAQAApQU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组装</w:t>
                            </w:r>
                          </w:p>
                        </w:txbxContent>
                      </v:textbox>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4505325</wp:posOffset>
                      </wp:positionH>
                      <wp:positionV relativeFrom="paragraph">
                        <wp:posOffset>236855</wp:posOffset>
                      </wp:positionV>
                      <wp:extent cx="539115" cy="28067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wps:txbx>
                            <wps:bodyPr upright="1"/>
                          </wps:wsp>
                        </a:graphicData>
                      </a:graphic>
                    </wp:anchor>
                  </w:drawing>
                </mc:Choice>
                <mc:Fallback>
                  <w:pict>
                    <v:shape id="_x0000_s1026" o:spid="_x0000_s1026" o:spt="202" type="#_x0000_t202" style="position:absolute;left:0pt;margin-left:354.75pt;margin-top:18.65pt;height:22.1pt;width:42.45pt;z-index:251692032;mso-width-relative:page;mso-height-relative:page;" filled="f" stroked="f" coordsize="21600,21600" o:gfxdata="UEsDBAoAAAAAAIdO4kAAAAAAAAAAAAAAAAAEAAAAZHJzL1BLAwQUAAAACACHTuJAQIyzJNcAAAAJ&#10;AQAADwAAAGRycy9kb3ducmV2LnhtbE2Py07DMBBF90j8gzVI7KgdmpAmZNIFiC2I8pDYufE0iYjH&#10;Uew24e8xK7oc3aN7z1TbxQ7iRJPvHSMkKwWCuHGm5xbh/e3pZgPCB81GD44J4Yc8bOvLi0qXxs38&#10;SqddaEUsYV9qhC6EsZTSNx1Z7VduJI7ZwU1Wh3hOrTSTnmO5HeStUnfS6p7jQqdHeuio+d4dLcLH&#10;8+HrM1Uv7aPNxtktSrItJOL1VaLuQQRawj8Mf/pRHerotHdHNl4MCLkqsogirPM1iAjkRZqC2CNs&#10;kgxkXcnzD+pfUEsDBBQAAAAIAIdO4kBROPxr9QEAAOUDAAAOAAAAZHJzL2Uyb0RvYy54bWytU81u&#10;EzEQviPxDpbvZJNAQhtlU6kK5YIAqfAAjj2bteQ/eZzs5gXgDThx4c5z5TkYe9O0KpccevGOZ2a/&#10;me+b8fKmt4btIaL2ruaT0ZgzcNIr7bY1//7t7s0VZ5iEU8J4BzU/APKb1etXyy4sYOpbbxRERiAO&#10;F12oeZtSWFQVyhaswJEP4CjY+GhFomvcViqKjtCtqabj8bzqfFQhegmI5F0PQX5CjJcA+qbREtZe&#10;7iy4NKBGMCIRJWx1QL4q3TYNyPSlaRASMzUnpqmcVITsTT6r1VIstlGEVstTC+KSFp5xskI7KnqG&#10;Wosk2C7q/6CsltGjb9JIelsNRIoixGIyfqbNfSsCFC4kNYaz6PhysPLz/mtkWtV8/o4zJyxN/Pjr&#10;5/H33+OfH4x8JFAXcEF594EyU3/re1qbBz+SM/Pum2jzlxgxipO8h7O80CcmyTl7ez2ZzDiTFJpe&#10;jefvi/zV488hYvoI3rJs1DzS9IqoYv8JEzVCqQ8puZbzd9qYMkHjWFfz69k0wwvayoa2gUwbiBm6&#10;bYF5kp9h1gJbthe0GOiNVsMqWJ0gFsgWhPrgFEuHQJo4egs817CgODNATydbJTMJbS7JpPaNIxZZ&#10;z0G3bKV+0xNMNjdeHUjjXYh625IAReWSTtMv9E+bmtfr6b2APr7O1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jLMk1wAAAAkBAAAPAAAAAAAAAAEAIAAAACIAAABkcnMvZG93bnJldi54bWxQSwEC&#10;FAAUAAAACACHTuJAUTj8a/UBAADlAwAADgAAAAAAAAABACAAAAAmAQAAZHJzL2Uyb0RvYy54bWxQ&#10;SwUGAAAAAAYABgBZAQAAjQU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v:textbox>
                    </v:shape>
                  </w:pict>
                </mc:Fallback>
              </mc:AlternateContent>
            </w: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3467735</wp:posOffset>
                      </wp:positionH>
                      <wp:positionV relativeFrom="paragraph">
                        <wp:posOffset>257810</wp:posOffset>
                      </wp:positionV>
                      <wp:extent cx="539115" cy="28067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r>
                                    <w:rPr>
                                      <w:rFonts w:hint="default" w:ascii="Times New Roman" w:hAnsi="Times New Roman" w:cs="Times New Roman"/>
                                      <w:sz w:val="21"/>
                                      <w:szCs w:val="21"/>
                                      <w:lang w:val="en-US" w:eastAsia="zh-CN"/>
                                    </w:rPr>
                                    <w:t>N</w:t>
                                  </w:r>
                                </w:p>
                              </w:txbxContent>
                            </wps:txbx>
                            <wps:bodyPr upright="1"/>
                          </wps:wsp>
                        </a:graphicData>
                      </a:graphic>
                    </wp:anchor>
                  </w:drawing>
                </mc:Choice>
                <mc:Fallback>
                  <w:pict>
                    <v:shape id="_x0000_s1026" o:spid="_x0000_s1026" o:spt="202" type="#_x0000_t202" style="position:absolute;left:0pt;margin-left:273.05pt;margin-top:20.3pt;height:22.1pt;width:42.45pt;z-index:251692032;mso-width-relative:page;mso-height-relative:page;" filled="f" stroked="f" coordsize="21600,21600" o:gfxdata="UEsDBAoAAAAAAIdO4kAAAAAAAAAAAAAAAAAEAAAAZHJzL1BLAwQUAAAACACHTuJA0TkrG9YAAAAJ&#10;AQAADwAAAGRycy9kb3ducmV2LnhtbE2PTU+DQBCG7yb+h82YeLO7KCUUGXrQeNVYP5LetjAFIjtL&#10;2G3Bf+940uNknrzv85bbxQ3qTFPoPSMkKwOKuPZNzy3C+9vTTQ4qRMuNHTwTwjcF2FaXF6UtGj/z&#10;K513sVUSwqGwCF2MY6F1qDtyNqz8SCy/o5+cjXJOrW4mO0u4G/StMZl2tmdp6OxIDx3VX7uTQ/h4&#10;Pu4/U/PSPrr1OPvFaHYbjXh9lZh7UJGW+AfDr76oQyVOB3/iJqgBYZ1miaAIqclACZDdJTLugJCn&#10;Oeiq1P8XVD9QSwMEFAAAAAgAh07iQFTeKkP1AQAA5QMAAA4AAABkcnMvZTJvRG9jLnhtbK1TS24b&#10;MQzdF+gdBO3jGTuwmxgeBwjcdFO0BdIeQJY4HgH6QZQ94wu0N+iqm+57Lp+jlOw4QbrxohsNRXIe&#10;+R6pxd1gDdtBRO1dw8ejmjNw0ivtNg3/9vXh6oYzTMIpYbyDhu8B+d3y7ZtFH+Yw8Z03CiIjEIfz&#10;PjS8SynMqwplB1bgyAdwFGx9tCLRNW4qFUVP6NZUk7qeVb2PKkQvAZG8q2OQnxDjJYC+bbWElZdb&#10;Cy4dUSMYkYgSdjogX5Zu2xZk+ty2CImZhhPTVE4qQvY6n9VyIeabKEKn5akFcUkLrzhZoR0VPUOt&#10;RBJsG/U/UFbL6NG3aSS9rY5EiiLEYly/0uaxEwEKF5Iaw1l0/H+w8tPuS2RaNXx2zZkTliZ++Pnj&#10;8OvP4fd3Rj4SqA84p7zHQJlpuPcDrc2TH8mZeQ9ttPlLjBjFSd79WV4YEpPknF7fjsdTziSFJjf1&#10;7F2Rv3r+OURMH8Bblo2GR5peEVXsPmKiRij1KSXXcv5BG1MmaBzrG347nWR4QVvZ0jaQaQMxQ7cp&#10;MC/yM8xKYMd2ghYDvdHquApWJ4gFsgOh3jvF0j6QJo7eAs81LCjODNDTyVbJTEKbSzKpfeOIRdbz&#10;qFu20rAeCCaba6/2pPE2RL3pSICickmn6Rf6p03N6/XyXkCfX+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5KxvWAAAACQEAAA8AAAAAAAAAAQAgAAAAIgAAAGRycy9kb3ducmV2LnhtbFBLAQIU&#10;ABQAAAAIAIdO4kBU3ipD9QEAAOUDAAAOAAAAAAAAAAEAIAAAACUBAABkcnMvZTJvRG9jLnhtbFBL&#10;BQYAAAAABgAGAFkBAACMBQ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r>
                              <w:rPr>
                                <w:rFonts w:hint="default" w:ascii="Times New Roman" w:hAnsi="Times New Roman" w:cs="Times New Roman"/>
                                <w:sz w:val="21"/>
                                <w:szCs w:val="21"/>
                                <w:lang w:val="en-US" w:eastAsia="zh-CN"/>
                              </w:rPr>
                              <w:t>N</w:t>
                            </w:r>
                          </w:p>
                        </w:txbxContent>
                      </v:textbox>
                    </v:shape>
                  </w:pict>
                </mc:Fallback>
              </mc:AlternateContent>
            </w: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2430780</wp:posOffset>
                      </wp:positionH>
                      <wp:positionV relativeFrom="paragraph">
                        <wp:posOffset>236855</wp:posOffset>
                      </wp:positionV>
                      <wp:extent cx="539115" cy="28067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r>
                                    <w:rPr>
                                      <w:rFonts w:hint="default" w:ascii="Times New Roman" w:hAnsi="Times New Roman" w:cs="Times New Roman"/>
                                      <w:sz w:val="21"/>
                                      <w:szCs w:val="21"/>
                                      <w:lang w:val="en-US" w:eastAsia="zh-CN"/>
                                    </w:rPr>
                                    <w:t>N</w:t>
                                  </w:r>
                                </w:p>
                              </w:txbxContent>
                            </wps:txbx>
                            <wps:bodyPr upright="1"/>
                          </wps:wsp>
                        </a:graphicData>
                      </a:graphic>
                    </wp:anchor>
                  </w:drawing>
                </mc:Choice>
                <mc:Fallback>
                  <w:pict>
                    <v:shape id="_x0000_s1026" o:spid="_x0000_s1026" o:spt="202" type="#_x0000_t202" style="position:absolute;left:0pt;margin-left:191.4pt;margin-top:18.65pt;height:22.1pt;width:42.45pt;z-index:251692032;mso-width-relative:page;mso-height-relative:page;" filled="f" stroked="f" coordsize="21600,21600" o:gfxdata="UEsDBAoAAAAAAIdO4kAAAAAAAAAAAAAAAAAEAAAAZHJzL1BLAwQUAAAACACHTuJA5YdMkNcAAAAJ&#10;AQAADwAAAGRycy9kb3ducmV2LnhtbE2PzU7DMBCE70h9B2uRuFE7/UsIcXoo4gqitEjc3HibRMTr&#10;KHab8PYsJ7jtaEcz3xTbyXXiikNoPWlI5goEUuVtS7WGw/vzfQYiREPWdJ5QwzcG2Jazm8Lk1o/0&#10;htd9rAWHUMiNhibGPpcyVA06E+a+R+Lf2Q/ORJZDLe1gRg53nVwotZHOtMQNjelx12D1tb84DceX&#10;8+fHSr3WT27dj35SktyD1PruNlGPICJO8c8Mv/iMDiUznfyFbBCdhmW2YPTIR7oEwYbVJk1BnDRk&#10;yRpkWcj/C8ofUEsDBBQAAAAIAIdO4kDOJ+uC9QEAAOUDAAAOAAAAZHJzL2Uyb0RvYy54bWytU0tu&#10;GzEM3RfoHQTt6xm7sJsYHgcI3HRTtAWSHkCWOB4B+kGUPeMLtDfoqpvuey6fo5TsOEG68SIbDUVy&#10;HvkeqcXNYA3bQUTtXcPHo5ozcNIr7TYN//5w9+6KM0zCKWG8g4bvAfnN8u2bRR/mMPGdNwoiIxCH&#10;8z40vEspzKsKZQdW4MgHcBRsfbQi0TVuKhVFT+jWVJO6nlW9jypELwGRvKtjkJ8Q4yWAvm21hJWX&#10;WwsuHVEjGJGIEnY6IF+WbtsWZPratgiJmYYT01ROKkL2Op/VciHmmyhCp+WpBXFJCy84WaEdFT1D&#10;rUQSbBv1f1BWy+jRt2kkva2ORIoixGJcv9DmvhMBCheSGsNZdHw9WPll9y0yrRo+m3DmhKWJH379&#10;PPz+e/jzg5GPBOoDzinvPlBmGm79QGvz6EdyZt5DG23+EiNGcZJ3f5YXhsQkOafvr8fjKWeSQpOr&#10;evahyF89/Rwipk/gLctGwyNNr4gqdp8xUSOU+piSazl/p40pEzSO9Q2/nk4yvKCtbGkbyLSBmKHb&#10;FJhn+RlmJbBjO0GLgd5odVwFqxPEAtmBUB+dYmkfSBNHb4HnGhYUZwbo6WSrZCahzSWZ1L5xxCLr&#10;edQtW2lYDwSTzbVXe9J4G6LedCRAUbmk0/QL/dOm5vV6fi+gT69z+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h0yQ1wAAAAkBAAAPAAAAAAAAAAEAIAAAACIAAABkcnMvZG93bnJldi54bWxQSwEC&#10;FAAUAAAACACHTuJAzifrgvUBAADlAwAADgAAAAAAAAABACAAAAAmAQAAZHJzL2Uyb0RvYy54bWxQ&#10;SwUGAAAAAAYABgBZAQAAjQU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r>
                              <w:rPr>
                                <w:rFonts w:hint="default" w:ascii="Times New Roman" w:hAnsi="Times New Roman" w:cs="Times New Roman"/>
                                <w:sz w:val="21"/>
                                <w:szCs w:val="21"/>
                                <w:lang w:val="en-US" w:eastAsia="zh-CN"/>
                              </w:rPr>
                              <w:t>N</w:t>
                            </w:r>
                          </w:p>
                        </w:txbxContent>
                      </v:textbox>
                    </v:shape>
                  </w:pict>
                </mc:Fallback>
              </mc:AlternateContent>
            </w: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1361440</wp:posOffset>
                      </wp:positionH>
                      <wp:positionV relativeFrom="paragraph">
                        <wp:posOffset>215265</wp:posOffset>
                      </wp:positionV>
                      <wp:extent cx="539115" cy="28067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SN</w:t>
                                  </w:r>
                                </w:p>
                              </w:txbxContent>
                            </wps:txbx>
                            <wps:bodyPr upright="1"/>
                          </wps:wsp>
                        </a:graphicData>
                      </a:graphic>
                    </wp:anchor>
                  </w:drawing>
                </mc:Choice>
                <mc:Fallback>
                  <w:pict>
                    <v:shape id="_x0000_s1026" o:spid="_x0000_s1026" o:spt="202" type="#_x0000_t202" style="position:absolute;left:0pt;margin-left:107.2pt;margin-top:16.95pt;height:22.1pt;width:42.45pt;z-index:251692032;mso-width-relative:page;mso-height-relative:page;" filled="f" stroked="f" coordsize="21600,21600" o:gfxdata="UEsDBAoAAAAAAIdO4kAAAAAAAAAAAAAAAAAEAAAAZHJzL1BLAwQUAAAACACHTuJA9DJcndcAAAAJ&#10;AQAADwAAAGRycy9kb3ducmV2LnhtbE2Py07DMBBF90j8gzVI7KidB9CETLoAsQVRoFJ3bjxNIuJx&#10;FLtN+HvMCpaje3TvmWqz2EGcafK9Y4RkpUAQN8703CJ8vD/frEH4oNnowTEhfJOHTX15UenSuJnf&#10;6LwNrYgl7EuN0IUwllL6piOr/cqNxDE7usnqEM+plWbScyy3g0yVupNW9xwXOj3SY0fN1/ZkET5f&#10;jvtdrl7bJ3s7zm5Rkm0hEa+vEvUAItAS/mD41Y/qUEengzux8WJASJM8jyhClhUgIpAWRQbigHC/&#10;TkDWlfz/Qf0DUEsDBBQAAAAIAIdO4kAhK9gb9QEAAOUDAAAOAAAAZHJzL2Uyb0RvYy54bWytU0tu&#10;GzEM3RfoHQTt6xm7sJsYHgcI3HRTtAWSHkCWOB4B+kGUPeMLtDfoqpvuey6fo5TsOEG68SIbDUVy&#10;HvkeqcXNYA3bQUTtXcPHo5ozcNIr7TYN//5w9+6KM0zCKWG8g4bvAfnN8u2bRR/mMPGdNwoiIxCH&#10;8z40vEspzKsKZQdW4MgHcBRsfbQi0TVuKhVFT+jWVJO6nlW9jypELwGRvKtjkJ8Q4yWAvm21hJWX&#10;WwsuHVEjGJGIEnY6IF+WbtsWZPratgiJmYYT01ROKkL2Op/VciHmmyhCp+WpBXFJCy84WaEdFT1D&#10;rUQSbBv1f1BWy+jRt2kkva2ORIoixGJcv9DmvhMBCheSGsNZdHw9WPll9y0yrRo+G3PmhKWJH379&#10;PPz+e/jzg5GPBOoDzinvPlBmGm79QGvz6EdyZt5DG23+EiNGcZJ3f5YXhsQkOafvr8fjKWeSQpOr&#10;evahyF89/Rwipk/gLctGwyNNr4gqdp8xUSOU+piSazl/p40pEzSO9Q2/nk4yvKCtbGkbyLSBmKHb&#10;FJhn+RlmJbBjO0GLgd5odVwFqxPEAtmBUB+dYmkfSBNHb4HnGhYUZwbo6WSrZCahzSWZ1L5xxCLr&#10;edQtW2lYDwSTzbVXe9J4G6LedCRAUbmk0/QL/dOm5vV6fi+gT69z+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Mlyd1wAAAAkBAAAPAAAAAAAAAAEAIAAAACIAAABkcnMvZG93bnJldi54bWxQSwEC&#10;FAAUAAAACACHTuJAISvYG/UBAADlAwAADgAAAAAAAAABACAAAAAmAQAAZHJzL2Uyb0RvYy54bWxQ&#10;SwUGAAAAAAYABgBZAQAAjQU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SN</w:t>
                            </w:r>
                          </w:p>
                        </w:txbxContent>
                      </v:textbox>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kern w:val="0"/>
                <w:sz w:val="24"/>
                <w:u w:val="single"/>
              </w:rPr>
              <mc:AlternateContent>
                <mc:Choice Requires="wps">
                  <w:drawing>
                    <wp:anchor distT="0" distB="0" distL="114300" distR="114300" simplePos="0" relativeHeight="251681792" behindDoc="0" locked="0" layoutInCell="1" allowOverlap="1">
                      <wp:simplePos x="0" y="0"/>
                      <wp:positionH relativeFrom="column">
                        <wp:posOffset>3347720</wp:posOffset>
                      </wp:positionH>
                      <wp:positionV relativeFrom="paragraph">
                        <wp:posOffset>191135</wp:posOffset>
                      </wp:positionV>
                      <wp:extent cx="824230" cy="280670"/>
                      <wp:effectExtent l="4445" t="4445" r="9525" b="19685"/>
                      <wp:wrapNone/>
                      <wp:docPr id="27" name="文本框 27"/>
                      <wp:cNvGraphicFramePr/>
                      <a:graphic xmlns:a="http://schemas.openxmlformats.org/drawingml/2006/main">
                        <a:graphicData uri="http://schemas.microsoft.com/office/word/2010/wordprocessingShape">
                          <wps:wsp>
                            <wps:cNvSpPr txBox="1"/>
                            <wps:spPr>
                              <a:xfrm>
                                <a:off x="0" y="0"/>
                                <a:ext cx="82423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FF0000"/>
                                      <w:sz w:val="21"/>
                                      <w:szCs w:val="21"/>
                                      <w:lang w:val="en-US" w:eastAsia="zh-CN"/>
                                    </w:rPr>
                                  </w:pPr>
                                  <w:r>
                                    <w:rPr>
                                      <w:rFonts w:hint="eastAsia"/>
                                      <w:color w:val="FF0000"/>
                                      <w:sz w:val="21"/>
                                      <w:szCs w:val="21"/>
                                      <w:lang w:val="en-US" w:eastAsia="zh-CN"/>
                                    </w:rPr>
                                    <w:t>注塑成型</w:t>
                                  </w:r>
                                </w:p>
                              </w:txbxContent>
                            </wps:txbx>
                            <wps:bodyPr upright="1"/>
                          </wps:wsp>
                        </a:graphicData>
                      </a:graphic>
                    </wp:anchor>
                  </w:drawing>
                </mc:Choice>
                <mc:Fallback>
                  <w:pict>
                    <v:shape id="_x0000_s1026" o:spid="_x0000_s1026" o:spt="202" type="#_x0000_t202" style="position:absolute;left:0pt;margin-left:263.6pt;margin-top:15.05pt;height:22.1pt;width:64.9pt;z-index:251681792;mso-width-relative:page;mso-height-relative:page;" fillcolor="#FFFFFF" filled="t" stroked="t" coordsize="21600,21600" o:gfxdata="UEsDBAoAAAAAAIdO4kAAAAAAAAAAAAAAAAAEAAAAZHJzL1BLAwQUAAAACACHTuJAVHXir9kAAAAJ&#10;AQAADwAAAGRycy9kb3ducmV2LnhtbE2Py07DMBBF90j8gzVIbBC1k7RJCXG6QALBDgqCrRtPkwg/&#10;gu2m5e8ZVrAczdG95zabkzVsxhBH7yRkCwEMXef16HoJb6/312tgMSmnlfEOJXxjhE17ftaoWvuj&#10;e8F5m3pGIS7WSsKQ0lRzHrsBrYoLP6Gj394HqxKdoec6qCOFW8NzIUpu1eioYVAT3g3YfW4PVsJ6&#10;+Th/xKfi+b0r9+YmXVXzw1eQ8vIiE7fAEp7SHwy/+qQOLTnt/MHpyIyEVV7lhEooRAaMgHJV0bid&#10;hGpZAG8b/n9B+wNQSwMEFAAAAAgAh07iQO7ZUgENAgAANwQAAA4AAABkcnMvZTJvRG9jLnhtbK1T&#10;zY7TMBC+I/EOlu802cDulqjpSlDKBQHSwgO4tpNY8p88bpO+ALwBJy7cea4+B2On2/2BQw/k4Ixn&#10;xp/n+2a8uBmNJjsZQDnb0ItZSYm03Allu4Z+/bJ+MacEIrOCaWdlQ/cS6M3y+bPF4GtZud5pIQNB&#10;EAv14Bvax+jrogDeS8Ng5ry0GGxdMCziNnSFCGxAdKOLqiyvisEF4YPjEgC9qylIj4jhHEDXtorL&#10;leNbI22cUIPULCIl6JUHuszVtq3k8VPbgoxENxSZxrziJWhv0losF6zuAvO94scS2DklPOFkmLJ4&#10;6QlqxSIj26D+gjKKBweujTPuTDERyYogi4vyiTa3PfMyc0GpwZ9Eh/8Hyz/uPgeiREOra0osM9jx&#10;w4/vh5+/D7++EfShQIOHGvNuPWbG8Y0bcWzu/IDOxHtsg0l/ZEQwjvLuT/LKMRKOznn1qnqJEY6h&#10;al5eXWf5i/vDPkB8L50hyWhowO5lUdnuA0QsBFPvUtJd4LQSa6V13oRu81YHsmPY6XX+Uo145FGa&#10;tmRo6OvL6hLrYDi+LY4NmsajBGC7fN+jE/AQuMzfv4BTYSsG/VRARkhprDYqypCtXjLxzgoS9x5V&#10;tvi6aCrGSEGJlvgYk5UzI1P6nExkpy2STB2aOpGsOG5GhEnmxok9dm3rg+p6lDT3LafjPGV1jrOf&#10;BvbhPoPev/f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R14q/ZAAAACQEAAA8AAAAAAAAAAQAg&#10;AAAAIgAAAGRycy9kb3ducmV2LnhtbFBLAQIUABQAAAAIAIdO4kDu2VIBDQIAADcEAAAOAAAAAAAA&#10;AAEAIAAAACgBAABkcnMvZTJvRG9jLnhtbFBLBQYAAAAABgAGAFkBAACnBQAAAAA=&#10;">
                      <v:fill on="t" focussize="0,0"/>
                      <v:stroke color="#000000" joinstyle="miter"/>
                      <v:imagedata o:title=""/>
                      <o:lock v:ext="edit" aspectratio="f"/>
                      <v:textbox>
                        <w:txbxContent>
                          <w:p>
                            <w:pPr>
                              <w:rPr>
                                <w:rFonts w:hint="default" w:eastAsia="宋体"/>
                                <w:color w:val="FF0000"/>
                                <w:sz w:val="21"/>
                                <w:szCs w:val="21"/>
                                <w:lang w:val="en-US" w:eastAsia="zh-CN"/>
                              </w:rPr>
                            </w:pPr>
                            <w:r>
                              <w:rPr>
                                <w:rFonts w:hint="eastAsia"/>
                                <w:color w:val="FF0000"/>
                                <w:sz w:val="21"/>
                                <w:szCs w:val="21"/>
                                <w:lang w:val="en-US" w:eastAsia="zh-CN"/>
                              </w:rPr>
                              <w:t>注塑成型</w:t>
                            </w:r>
                          </w:p>
                        </w:txbxContent>
                      </v:textbox>
                    </v:shape>
                  </w:pict>
                </mc:Fallback>
              </mc:AlternateContent>
            </w:r>
            <w:r>
              <w:rPr>
                <w:kern w:val="0"/>
                <w:sz w:val="24"/>
                <w:u w:val="single"/>
              </w:rPr>
              <mc:AlternateContent>
                <mc:Choice Requires="wps">
                  <w:drawing>
                    <wp:anchor distT="0" distB="0" distL="114300" distR="114300" simplePos="0" relativeHeight="251679744" behindDoc="0" locked="0" layoutInCell="1" allowOverlap="1">
                      <wp:simplePos x="0" y="0"/>
                      <wp:positionH relativeFrom="column">
                        <wp:posOffset>1283335</wp:posOffset>
                      </wp:positionH>
                      <wp:positionV relativeFrom="paragraph">
                        <wp:posOffset>201930</wp:posOffset>
                      </wp:positionV>
                      <wp:extent cx="739775" cy="280670"/>
                      <wp:effectExtent l="4445" t="4445" r="17780" b="19685"/>
                      <wp:wrapNone/>
                      <wp:docPr id="25" name="文本框 25"/>
                      <wp:cNvGraphicFramePr/>
                      <a:graphic xmlns:a="http://schemas.openxmlformats.org/drawingml/2006/main">
                        <a:graphicData uri="http://schemas.microsoft.com/office/word/2010/wordprocessingShape">
                          <wps:wsp>
                            <wps:cNvSpPr txBox="1"/>
                            <wps:spPr>
                              <a:xfrm>
                                <a:off x="0" y="0"/>
                                <a:ext cx="7397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1"/>
                                      <w:lang w:val="en-US"/>
                                    </w:rPr>
                                  </w:pPr>
                                  <w:r>
                                    <w:rPr>
                                      <w:rFonts w:hint="eastAsia"/>
                                      <w:sz w:val="21"/>
                                      <w:szCs w:val="21"/>
                                      <w:lang w:val="en-US" w:eastAsia="zh-CN"/>
                                    </w:rPr>
                                    <w:t>调色混料</w:t>
                                  </w:r>
                                </w:p>
                              </w:txbxContent>
                            </wps:txbx>
                            <wps:bodyPr upright="1"/>
                          </wps:wsp>
                        </a:graphicData>
                      </a:graphic>
                    </wp:anchor>
                  </w:drawing>
                </mc:Choice>
                <mc:Fallback>
                  <w:pict>
                    <v:shape id="_x0000_s1026" o:spid="_x0000_s1026" o:spt="202" type="#_x0000_t202" style="position:absolute;left:0pt;margin-left:101.05pt;margin-top:15.9pt;height:22.1pt;width:58.25pt;z-index:251679744;mso-width-relative:page;mso-height-relative:page;" fillcolor="#FFFFFF" filled="t" stroked="t" coordsize="21600,21600" o:gfxdata="UEsDBAoAAAAAAIdO4kAAAAAAAAAAAAAAAAAEAAAAZHJzL1BLAwQUAAAACACHTuJAFXaAiNgAAAAJ&#10;AQAADwAAAGRycy9kb3ducmV2LnhtbE2PTU/DMAyG70j8h8hIXBBL2qFulLo7IIHgxgbarlnrtRX5&#10;KEnWjX+POcHJsvzo9fNWq7M1YqIQB+8QspkCQa7x7eA6hI/3p9sliJi0a7XxjhC+KcKqvryodNn6&#10;k1vTtEmd4BAXS43QpzSWUsamJ6vjzI/k+HbwwerEa+hkG/SJw62RuVKFtHpw/KHXIz321HxujhZh&#10;efcy7eLr/G3bFAdzn24W0/NXQLy+ytQDiETn9AfDrz6rQ81Oe390bRQGIVd5xijCPOMKDPAsQOwR&#10;FoUCWVfyf4P6B1BLAwQUAAAACACHTuJAK43JUAwCAAA3BAAADgAAAGRycy9lMm9Eb2MueG1srVNL&#10;jhMxEN0jcQfLe9I9QTOZaaUzEoSwQYA0cADHn25L/snlpDsXgBuwYsOec+UclJ1M5gOLLOiFu1wu&#10;v6r3qjy/Ha0hWxlBe9fSi0lNiXTcC+26ln79snp1TQkk5gQz3smW7iTQ28XLF/MhNHLqe2+EjARB&#10;HDRDaGmfUmiqCngvLYOJD9LhofLRsoTb2FUisgHRrammdX1VDT6KED2XAOhdHg7pETGeA+iV0lwu&#10;Pd9Y6dIBNUrDElKCXgegi1KtUpKnT0qBTMS0FJmmsmIStNd5rRZz1nSRhV7zYwnsnBKecbJMO0x6&#10;glqyxMgm6r+grObRg1dpwr2tDkSKIsjion6mzV3PgixcUGoIJ9Hh/8Hyj9vPkWjR0uklJY5Z7Pj+&#10;x/f9z9/7X98I+lCgIUCDcXcBI9P4xo84Nvd+QGfmPapo8x8ZETxHeXcneeWYCEfn7PXNbIZZOB5N&#10;r+urWZG/ergcIqT30luSjZZG7F4RlW0/QMJCMPQ+JOcCb7RYaWPKJnbrtyaSLcNOr8qXa8QrT8KM&#10;I0NLby4zW85wfBWODZo2oATgupLvyQ14DFyX71/AubAlg/5QQEHIYayxOslYrF4y8c4JknYBVXb4&#10;umguxkpBiZH4GLNVIhPT5pxIZGcckswdOnQiW2lcjwiTzbUXO+zaJkTd9Shp6VsJx3kq6hxnPw/s&#10;430BfXjvi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doCI2AAAAAkBAAAPAAAAAAAAAAEAIAAA&#10;ACIAAABkcnMvZG93bnJldi54bWxQSwECFAAUAAAACACHTuJAK43JUAwCAAA3BAAADgAAAAAAAAAB&#10;ACAAAAAnAQAAZHJzL2Uyb0RvYy54bWxQSwUGAAAAAAYABgBZAQAApQUAAAAA&#10;">
                      <v:fill on="t" focussize="0,0"/>
                      <v:stroke color="#000000" joinstyle="miter"/>
                      <v:imagedata o:title=""/>
                      <o:lock v:ext="edit" aspectratio="f"/>
                      <v:textbox>
                        <w:txbxContent>
                          <w:p>
                            <w:pPr>
                              <w:rPr>
                                <w:rFonts w:hint="default"/>
                                <w:sz w:val="21"/>
                                <w:szCs w:val="21"/>
                                <w:lang w:val="en-US"/>
                              </w:rPr>
                            </w:pPr>
                            <w:r>
                              <w:rPr>
                                <w:rFonts w:hint="eastAsia"/>
                                <w:sz w:val="21"/>
                                <w:szCs w:val="21"/>
                                <w:lang w:val="en-US" w:eastAsia="zh-CN"/>
                              </w:rPr>
                              <w:t>调色混料</w:t>
                            </w:r>
                          </w:p>
                        </w:txbxContent>
                      </v:textbox>
                    </v:shape>
                  </w:pict>
                </mc:Fallback>
              </mc:AlternateContent>
            </w:r>
            <w:r>
              <w:rPr>
                <w:kern w:val="0"/>
                <w:sz w:val="24"/>
                <w:u w:val="single"/>
              </w:rPr>
              <mc:AlternateContent>
                <mc:Choice Requires="wps">
                  <w:drawing>
                    <wp:anchor distT="0" distB="0" distL="114300" distR="114300" simplePos="0" relativeHeight="251682816" behindDoc="0" locked="0" layoutInCell="1" allowOverlap="1">
                      <wp:simplePos x="0" y="0"/>
                      <wp:positionH relativeFrom="column">
                        <wp:posOffset>4469765</wp:posOffset>
                      </wp:positionH>
                      <wp:positionV relativeFrom="paragraph">
                        <wp:posOffset>194310</wp:posOffset>
                      </wp:positionV>
                      <wp:extent cx="549275" cy="280670"/>
                      <wp:effectExtent l="4445" t="4445" r="17780" b="19685"/>
                      <wp:wrapNone/>
                      <wp:docPr id="28" name="文本框 28"/>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color w:val="FF0000"/>
                                      <w:sz w:val="21"/>
                                      <w:szCs w:val="21"/>
                                      <w:lang w:val="en-US"/>
                                    </w:rPr>
                                  </w:pPr>
                                  <w:r>
                                    <w:rPr>
                                      <w:rFonts w:hint="eastAsia"/>
                                      <w:color w:val="FF0000"/>
                                      <w:sz w:val="21"/>
                                      <w:szCs w:val="21"/>
                                      <w:lang w:val="en-US" w:eastAsia="zh-CN"/>
                                    </w:rPr>
                                    <w:t>上色</w:t>
                                  </w:r>
                                </w:p>
                              </w:txbxContent>
                            </wps:txbx>
                            <wps:bodyPr upright="1"/>
                          </wps:wsp>
                        </a:graphicData>
                      </a:graphic>
                    </wp:anchor>
                  </w:drawing>
                </mc:Choice>
                <mc:Fallback>
                  <w:pict>
                    <v:shape id="_x0000_s1026" o:spid="_x0000_s1026" o:spt="202" type="#_x0000_t202" style="position:absolute;left:0pt;margin-left:351.95pt;margin-top:15.3pt;height:22.1pt;width:43.25pt;z-index:251682816;mso-width-relative:page;mso-height-relative:page;" fillcolor="#FFFFFF" filled="t" stroked="t" coordsize="21600,21600" o:gfxdata="UEsDBAoAAAAAAIdO4kAAAAAAAAAAAAAAAAAEAAAAZHJzL1BLAwQUAAAACACHTuJAlBbdw9gAAAAJ&#10;AQAADwAAAGRycy9kb3ducmV2LnhtbE2Py07DMBBF90j8gzVIbBC1S6K8iNMFEgh2UBBs3XiaRPgR&#10;bDctf8+wgt2M5ujOue3mZA1bMMTJOwnrlQCGrvd6coOEt9f76wpYTMppZbxDCd8YYdOdn7Wq0f7o&#10;XnDZpoFRiIuNkjCmNDecx35Eq+LKz+jotvfBqkRrGLgO6kjh1vAbIQpu1eTow6hmvBux/9werIQq&#10;f1w+4lP2/N4Xe1Onq3J5+ApSXl6sxS2whKf0B8OvPqlDR047f3A6MiOhFFlNqIRMFMAIKGuRA9vR&#10;kFfAu5b/b9D9AFBLAwQUAAAACACHTuJAdteKgg0CAAA3BAAADgAAAGRycy9lMm9Eb2MueG1srVPL&#10;rtMwEN0j8Q+W9zS5Eb2PqOmVoJQNAqQLH+DaTmLJL3ncJv0B+ANWbNjzXf0Oxk5v7wMWXZCFMx6P&#10;z8w5M17cjkaTnQygnG3oxaykRFruhLJdQ79+Wb+6pgQis4JpZ2VD9xLo7fLli8Xga1m53mkhA0EQ&#10;C/XgG9rH6OuiAN5Lw2DmvLR42LpgWMRt6AoR2IDoRhdVWV4WgwvCB8clAHpX0yE9IoZzAF3bKi5X&#10;jm+NtHFCDVKziJSgVx7oMlfbtpLHT20LMhLdUGQa84pJ0N6ktVguWN0F5nvFjyWwc0p4xskwZTHp&#10;CWrFIiPboP6CMooHB66NM+5MMRHJiiCLi/KZNnc98zJzQanBn0SH/wfLP+4+B6JEQyvsu2UGO374&#10;8f3w8/fh1zeCPhRo8FBj3J3HyDi+cSOOzb0f0Jl4j20w6Y+MCJ6jvPuTvHKMhKNz/vqmuppTwvGo&#10;ui4vr7L8xcNlHyC+l86QZDQ0YPeyqGz3ASIWgqH3ISkXOK3EWmmdN6HbvNWB7Bh2ep2/VCNeeRKm&#10;LRkaejOvUh0Mx7fFsUHTeJQAbJfzPbkBj4HL/P0LOBW2YtBPBWSEFMZqo6IM2eolE++sIHHvUWWL&#10;r4umYowUlGiJjzFZOTIypc+JRHbaIsnUoakTyYrjZkSYZG6c2GPXtj6orkdJc99yOM5TVuc4+2lg&#10;H+8z6MN7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Bbdw9gAAAAJAQAADwAAAAAAAAABACAA&#10;AAAiAAAAZHJzL2Rvd25yZXYueG1sUEsBAhQAFAAAAAgAh07iQHbXioINAgAANwQAAA4AAAAAAAAA&#10;AQAgAAAAJwEAAGRycy9lMm9Eb2MueG1sUEsFBgAAAAAGAAYAWQEAAKYFAAAAAA==&#10;">
                      <v:fill on="t" focussize="0,0"/>
                      <v:stroke color="#000000" joinstyle="miter"/>
                      <v:imagedata o:title=""/>
                      <o:lock v:ext="edit" aspectratio="f"/>
                      <v:textbox>
                        <w:txbxContent>
                          <w:p>
                            <w:pPr>
                              <w:rPr>
                                <w:rFonts w:hint="default"/>
                                <w:color w:val="FF0000"/>
                                <w:sz w:val="21"/>
                                <w:szCs w:val="21"/>
                                <w:lang w:val="en-US"/>
                              </w:rPr>
                            </w:pPr>
                            <w:r>
                              <w:rPr>
                                <w:rFonts w:hint="eastAsia"/>
                                <w:color w:val="FF0000"/>
                                <w:sz w:val="21"/>
                                <w:szCs w:val="21"/>
                                <w:lang w:val="en-US" w:eastAsia="zh-CN"/>
                              </w:rPr>
                              <w:t>上色</w:t>
                            </w:r>
                          </w:p>
                        </w:txbxContent>
                      </v:textbox>
                    </v:shape>
                  </w:pict>
                </mc:Fallback>
              </mc:AlternateContent>
            </w:r>
            <w:r>
              <w:rPr>
                <w:kern w:val="0"/>
                <w:sz w:val="24"/>
                <w:u w:val="single"/>
              </w:rPr>
              <mc:AlternateContent>
                <mc:Choice Requires="wps">
                  <w:drawing>
                    <wp:anchor distT="0" distB="0" distL="114300" distR="114300" simplePos="0" relativeHeight="251680768" behindDoc="0" locked="0" layoutInCell="1" allowOverlap="1">
                      <wp:simplePos x="0" y="0"/>
                      <wp:positionH relativeFrom="column">
                        <wp:posOffset>2384425</wp:posOffset>
                      </wp:positionH>
                      <wp:positionV relativeFrom="paragraph">
                        <wp:posOffset>194310</wp:posOffset>
                      </wp:positionV>
                      <wp:extent cx="549275" cy="280670"/>
                      <wp:effectExtent l="4445" t="4445" r="17780" b="19685"/>
                      <wp:wrapNone/>
                      <wp:docPr id="26" name="文本框 26"/>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1"/>
                                      <w:lang w:val="en-US"/>
                                    </w:rPr>
                                  </w:pPr>
                                  <w:r>
                                    <w:rPr>
                                      <w:rFonts w:hint="eastAsia"/>
                                      <w:sz w:val="21"/>
                                      <w:szCs w:val="21"/>
                                      <w:lang w:val="en-US" w:eastAsia="zh-CN"/>
                                    </w:rPr>
                                    <w:t>烘料</w:t>
                                  </w:r>
                                </w:p>
                              </w:txbxContent>
                            </wps:txbx>
                            <wps:bodyPr upright="1"/>
                          </wps:wsp>
                        </a:graphicData>
                      </a:graphic>
                    </wp:anchor>
                  </w:drawing>
                </mc:Choice>
                <mc:Fallback>
                  <w:pict>
                    <v:shape id="_x0000_s1026" o:spid="_x0000_s1026" o:spt="202" type="#_x0000_t202" style="position:absolute;left:0pt;margin-left:187.75pt;margin-top:15.3pt;height:22.1pt;width:43.25pt;z-index:251680768;mso-width-relative:page;mso-height-relative:page;" fillcolor="#FFFFFF" filled="t" stroked="t" coordsize="21600,21600" o:gfxdata="UEsDBAoAAAAAAIdO4kAAAAAAAAAAAAAAAAAEAAAAZHJzL1BLAwQUAAAACACHTuJAclhyPtkAAAAJ&#10;AQAADwAAAGRycy9kb3ducmV2LnhtbE2Py07DMBBF90j8gzVIbBC126ZJCHG6QALBDgpqt248TSL8&#10;CLablr9nWMFuRnN059x6fbaGTRji4J2E+UwAQ9d6PbhOwsf7420JLCbltDLeoYRvjLBuLi9qVWl/&#10;cm84bVLHKMTFSknoUxorzmPbo1Vx5kd0dDv4YFWiNXRcB3WicGv4QoicWzU4+tCrER96bD83Ryuh&#10;zJ6nXXxZvm7b/GDu0k0xPX0FKa+v5uIeWMJz+oPhV5/UoSGnvT86HZmRsCxWK0JpEDkwArJ8QeX2&#10;EoqsBN7U/H+D5gdQSwMEFAAAAAgAh07iQGVvSgEOAgAANwQAAA4AAABkcnMvZTJvRG9jLnhtbK1T&#10;zY7TMBC+I/EOlu802Yh2d6OmK0EpFwRICw/g2k5iyX/yuE36AvAGnLhw57n6HIzdbveHPfSwOTjj&#10;8fib+b4Zz29Go8lWBlDONvRiUlIiLXdC2a6h37+t3lxRApFZwbSzsqE7CfRm8frVfPC1rFzvtJCB&#10;IIiFevAN7WP0dVEA76VhMHFeWjxsXTAs4jZ0hQhsQHSji6osZ8XggvDBcQmA3uXhkB4RwzmArm0V&#10;l0vHN0baeEANUrOIlKBXHugiV9u2kscvbQsyEt1QZBrziknQXqe1WMxZ3QXme8WPJbBzSnjCyTBl&#10;MekJaskiI5ug/oMyigcHro0T7kxxIJIVQRYX5RNtbnvmZeaCUoM/iQ4vB8s/b78GokRDqxkllhns&#10;+P7Xz/3vv/s/Pwj6UKDBQ41xtx4j4/jOjTg2d35AZ+I9tsGkPzIieI7y7k7yyjESjs7p2+vqckoJ&#10;x6PqqpxdZvmL+8s+QPwonSHJaGjA7mVR2fYTRCwEQ+9CUi5wWomV0jpvQrd+rwPZMuz0Kn+pRrzy&#10;KExbMjT0elqlOhiOb4tjg6bxKAHYLud7dAMeApf5ew44FbZk0B8KyAgpjNVGRRmy1UsmPlhB4s6j&#10;yhZfF03FGCko0RIfY7JyZGRKnxOJ7LRFkqlDh04kK47rEWGSuXZih13b+KC6HiXNfcvhOE9ZnePs&#10;p4F9uM+g9+998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WHI+2QAAAAkBAAAPAAAAAAAAAAEA&#10;IAAAACIAAABkcnMvZG93bnJldi54bWxQSwECFAAUAAAACACHTuJAZW9KAQ4CAAA3BAAADgAAAAAA&#10;AAABACAAAAAoAQAAZHJzL2Uyb0RvYy54bWxQSwUGAAAAAAYABgBZAQAAqAUAAAAA&#10;">
                      <v:fill on="t" focussize="0,0"/>
                      <v:stroke color="#000000" joinstyle="miter"/>
                      <v:imagedata o:title=""/>
                      <o:lock v:ext="edit" aspectratio="f"/>
                      <v:textbox>
                        <w:txbxContent>
                          <w:p>
                            <w:pPr>
                              <w:rPr>
                                <w:rFonts w:hint="default"/>
                                <w:sz w:val="21"/>
                                <w:szCs w:val="21"/>
                                <w:lang w:val="en-US"/>
                              </w:rPr>
                            </w:pPr>
                            <w:r>
                              <w:rPr>
                                <w:rFonts w:hint="eastAsia"/>
                                <w:sz w:val="21"/>
                                <w:szCs w:val="21"/>
                                <w:lang w:val="en-US" w:eastAsia="zh-CN"/>
                              </w:rPr>
                              <w:t>烘料</w:t>
                            </w:r>
                          </w:p>
                        </w:txbxContent>
                      </v:textbox>
                    </v:shape>
                  </w:pict>
                </mc:Fallback>
              </mc:AlternateContent>
            </w:r>
            <w:r>
              <w:rPr>
                <w:kern w:val="0"/>
                <w:sz w:val="24"/>
                <w:u w:val="single"/>
              </w:rPr>
              <mc:AlternateContent>
                <mc:Choice Requires="wps">
                  <w:drawing>
                    <wp:anchor distT="0" distB="0" distL="114300" distR="114300" simplePos="0" relativeHeight="251678720" behindDoc="0" locked="0" layoutInCell="1" allowOverlap="1">
                      <wp:simplePos x="0" y="0"/>
                      <wp:positionH relativeFrom="column">
                        <wp:posOffset>401320</wp:posOffset>
                      </wp:positionH>
                      <wp:positionV relativeFrom="paragraph">
                        <wp:posOffset>168910</wp:posOffset>
                      </wp:positionV>
                      <wp:extent cx="549275" cy="280670"/>
                      <wp:effectExtent l="4445" t="4445" r="17780" b="19685"/>
                      <wp:wrapNone/>
                      <wp:docPr id="24" name="文本框 24"/>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1"/>
                                      <w:lang w:val="en-US"/>
                                    </w:rPr>
                                  </w:pPr>
                                  <w:r>
                                    <w:rPr>
                                      <w:rFonts w:hint="eastAsia"/>
                                      <w:sz w:val="21"/>
                                      <w:szCs w:val="21"/>
                                      <w:lang w:val="en-US" w:eastAsia="zh-CN"/>
                                    </w:rPr>
                                    <w:t>原料</w:t>
                                  </w:r>
                                </w:p>
                              </w:txbxContent>
                            </wps:txbx>
                            <wps:bodyPr upright="1"/>
                          </wps:wsp>
                        </a:graphicData>
                      </a:graphic>
                    </wp:anchor>
                  </w:drawing>
                </mc:Choice>
                <mc:Fallback>
                  <w:pict>
                    <v:shape id="_x0000_s1026" o:spid="_x0000_s1026" o:spt="202" type="#_x0000_t202" style="position:absolute;left:0pt;margin-left:31.6pt;margin-top:13.3pt;height:22.1pt;width:43.25pt;z-index:251678720;mso-width-relative:page;mso-height-relative:page;" fillcolor="#FFFFFF" filled="t" stroked="t" coordsize="21600,21600" o:gfxdata="UEsDBAoAAAAAAIdO4kAAAAAAAAAAAAAAAAAEAAAAZHJzL1BLAwQUAAAACACHTuJA96ciINgAAAAI&#10;AQAADwAAAGRycy9kb3ducmV2LnhtbE2PMU/DMBSEdyT+g/WQWFBrN62cNMTpgASCDQoqqxu/JhHx&#10;c7DdtPx73AnG053uvqs2ZzuwCX3oHSlYzAUwpMaZnloFH++PswJYiJqMHhyhgh8MsKmvrypdGnei&#10;N5y2sWWphEKpFXQxjiXnoenQ6jB3I1LyDs5bHZP0LTden1K5HXgmhORW95QWOj3iQ4fN1/ZoFRSr&#10;5+kzvCxfd408DOt4l09P316p25uFuAcW8Rz/wnDBT+hQJ6a9O5IJbFAgl1lKKsikBHbxV+sc2F5B&#10;LgrgdcX/H6h/AVBLAwQUAAAACACHTuJAuFEKNw4CAAA3BAAADgAAAGRycy9lMm9Eb2MueG1srVNL&#10;btswEN0X6B0I7mspQpyPYDlA6rqboi2Q9gA0SUkE+AOHtuQLtDfoqpvuey6fI0PacT7twotoQQ2H&#10;wzfz3gxnN6PRZCMDKGcbejYpKZGWO6Fs19Dv35bvriiByKxg2lnZ0K0EejN/+2Y2+FpWrndayEAQ&#10;xEI9+Ib2Mfq6KID30jCYOC8tHrYuGBZxG7pCBDYgutFFVZYXxeCC8MFxCYDexf6QHhDDKYCubRWX&#10;C8fXRtq4Rw1Ss4iUoFce6DxX27aSxy9tCzIS3VBkGvOKSdBepbWYz1jdBeZ7xQ8lsFNKeMHJMGUx&#10;6RFqwSIj66D+gTKKBweujRPuTLEnkhVBFmflC23ueuZl5oJSgz+KDq8Hyz9vvgaiREOrc0osM9jx&#10;3a+fu99/d39+EPShQIOHGuPuPEbG8daNODYPfkBn4j22waQ/MiJ4jvJuj/LKMRKOzun5dXU5pYTj&#10;UXVVXlxm+YvHyz5A/CidIcloaMDuZVHZ5hNELARDH0JSLnBaiaXSOm9Ct3qvA9kw7PQyf6lGvPIs&#10;TFsyNPR6WqU6GI5vi2ODpvEoAdgu53t2A54Cl/n7H3AqbMGg3xeQEVIYq42KMmSrl0x8sILErUeV&#10;Lb4umooxUlCiJT7GZOXIyJQ+JRLZaYskU4f2nUhWHFcjwiRz5cQWu7b2QXU9Spr7lsNxnrI6h9lP&#10;A/t0n0Ef3/v8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enIiDYAAAACAEAAA8AAAAAAAAAAQAg&#10;AAAAIgAAAGRycy9kb3ducmV2LnhtbFBLAQIUABQAAAAIAIdO4kC4UQo3DgIAADcEAAAOAAAAAAAA&#10;AAEAIAAAACcBAABkcnMvZTJvRG9jLnhtbFBLBQYAAAAABgAGAFkBAACnBQAAAAA=&#10;">
                      <v:fill on="t" focussize="0,0"/>
                      <v:stroke color="#000000" joinstyle="miter"/>
                      <v:imagedata o:title=""/>
                      <o:lock v:ext="edit" aspectratio="f"/>
                      <v:textbox>
                        <w:txbxContent>
                          <w:p>
                            <w:pPr>
                              <w:rPr>
                                <w:rFonts w:hint="default"/>
                                <w:sz w:val="21"/>
                                <w:szCs w:val="21"/>
                                <w:lang w:val="en-US"/>
                              </w:rPr>
                            </w:pPr>
                            <w:r>
                              <w:rPr>
                                <w:rFonts w:hint="eastAsia"/>
                                <w:sz w:val="21"/>
                                <w:szCs w:val="21"/>
                                <w:lang w:val="en-US" w:eastAsia="zh-CN"/>
                              </w:rPr>
                              <w:t>原料</w:t>
                            </w:r>
                          </w:p>
                        </w:txbxContent>
                      </v:textbox>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sz w:val="24"/>
                <w:u w:val="single"/>
              </w:rPr>
              <mc:AlternateContent>
                <mc:Choice Requires="wps">
                  <w:drawing>
                    <wp:anchor distT="0" distB="0" distL="114300" distR="114300" simplePos="0" relativeHeight="251700224" behindDoc="0" locked="0" layoutInCell="1" allowOverlap="1">
                      <wp:simplePos x="0" y="0"/>
                      <wp:positionH relativeFrom="column">
                        <wp:posOffset>4754245</wp:posOffset>
                      </wp:positionH>
                      <wp:positionV relativeFrom="paragraph">
                        <wp:posOffset>240030</wp:posOffset>
                      </wp:positionV>
                      <wp:extent cx="10795" cy="199390"/>
                      <wp:effectExtent l="43180" t="0" r="60325" b="10160"/>
                      <wp:wrapNone/>
                      <wp:docPr id="48" name="直接箭头连接符 48"/>
                      <wp:cNvGraphicFramePr/>
                      <a:graphic xmlns:a="http://schemas.openxmlformats.org/drawingml/2006/main">
                        <a:graphicData uri="http://schemas.microsoft.com/office/word/2010/wordprocessingShape">
                          <wps:wsp>
                            <wps:cNvCnPr/>
                            <wps:spPr>
                              <a:xfrm>
                                <a:off x="0" y="0"/>
                                <a:ext cx="10795" cy="199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4.35pt;margin-top:18.9pt;height:15.7pt;width:0.85pt;z-index:251700224;mso-width-relative:page;mso-height-relative:page;" filled="f" stroked="t" coordsize="21600,21600" o:gfxdata="UEsDBAoAAAAAAIdO4kAAAAAAAAAAAAAAAAAEAAAAZHJzL1BLAwQUAAAACACHTuJAObvgttoAAAAJ&#10;AQAADwAAAGRycy9kb3ducmV2LnhtbE2Py07DMBBF90j8gzVI7KidUJISMqkQUqUuQKIBiS7dZIhT&#10;YjuK3Qd/z7CC5WiO7j23XJ7tII40hd47hGSmQJBrfNu7DuH9bXWzABGidq0evCOEbwqwrC4vSl20&#10;/uQ2dKxjJzjEhUIjmBjHQsrQGLI6zPxIjn+ffrI68jl1sp30icPtIFOlMml177jB6JGeDDVf9cEi&#10;fKyTLKm35pHiav/y/Jpu9Wa/Rry+StQDiEjn+AfDrz6rQ8VOO39wbRADQj5f5Iwi3OY8gYH8Ts1B&#10;7BCy+xRkVcr/C6ofUEsDBBQAAAAIAIdO4kDoJXBQGgIAAAUEAAAOAAAAZHJzL2Uyb0RvYy54bWyt&#10;U81y0zAQvjPDO2h0J7ZDQ3EmTocmLRd+MgM8wEaWbc3obyQ1Tl6CF2CGE+UEnHrnaaA8Bis5TaFc&#10;euAirXa93+5++3l2slWSbLjzwuiKFqOcEq6ZqYVuK/ru7fmjp5T4ALoGaTSv6I57ejJ/+GDW2ykf&#10;m87ImjuCINpPe1vRLgQ7zTLPOq7Aj4zlGoONcQoCPl2b1Q56RFcyG+f5k6w3rrbOMO49epdDkO4R&#10;3X0ATdMIxpeGXSiuw4DquISAI/lOWE/nqdum4Sy8bhrPA5EVxUlDOrEI2ut4ZvMZTFsHthNs3wLc&#10;p4U7MykQGoseoJYQgFw48Q+UEswZb5owYkZlwyCJEZyiyO9w86YDy9MsSLW3B9L9/4NlrzYrR0Rd&#10;0SPcuwaFG7/+cPXz/eX1t68/Pl39+v4x2l8+E4wjWb31U8xZ6JXbv7xduTj5tnEq3jgT2SaCdweC&#10;+TYQhs4iPy4nlDCMFGX5uEz8Z7e51vnwnBtFolFRHxyItgsLozVu0rgicQybFz5gdUy8SYiFtTkX&#10;UqaFSk36ipaTcSwGKNIGxYGmsjio1y0lIFtUPwsuIXojRR2zI4537XohHdkAaubo2fHZ6enwUQc1&#10;H7zlJM/32vEQXpp6cBf5jR9b28OkNv/Cjz0vwXdDTgoNMgwg5JmuSdhZ3AI4Z/oYQCyp8YrUD2RH&#10;a23qXdpB8qM60od7JUf5/flO2bd/7/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bvgttoAAAAJ&#10;AQAADwAAAAAAAAABACAAAAAiAAAAZHJzL2Rvd25yZXYueG1sUEsBAhQAFAAAAAgAh07iQOglcFAa&#10;AgAABQQAAA4AAAAAAAAAAQAgAAAAKQEAAGRycy9lMm9Eb2MueG1sUEsFBgAAAAAGAAYAWQEAALUF&#10;A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93056" behindDoc="0" locked="0" layoutInCell="1" allowOverlap="1">
                      <wp:simplePos x="0" y="0"/>
                      <wp:positionH relativeFrom="column">
                        <wp:posOffset>4080510</wp:posOffset>
                      </wp:positionH>
                      <wp:positionV relativeFrom="paragraph">
                        <wp:posOffset>75565</wp:posOffset>
                      </wp:positionV>
                      <wp:extent cx="392430" cy="0"/>
                      <wp:effectExtent l="0" t="48895" r="7620" b="65405"/>
                      <wp:wrapNone/>
                      <wp:docPr id="40" name="直接箭头连接符 40"/>
                      <wp:cNvGraphicFramePr/>
                      <a:graphic xmlns:a="http://schemas.openxmlformats.org/drawingml/2006/main">
                        <a:graphicData uri="http://schemas.microsoft.com/office/word/2010/wordprocessingShape">
                          <wps:wsp>
                            <wps:cNvCnPr/>
                            <wps:spPr>
                              <a:xfrm>
                                <a:off x="0" y="0"/>
                                <a:ext cx="392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1.3pt;margin-top:5.95pt;height:0pt;width:30.9pt;z-index:251693056;mso-width-relative:page;mso-height-relative:page;" filled="f" stroked="t" coordsize="21600,21600" o:gfxdata="UEsDBAoAAAAAAIdO4kAAAAAAAAAAAAAAAAAEAAAAZHJzL1BLAwQUAAAACACHTuJA11yt+NgAAAAJ&#10;AQAADwAAAGRycy9kb3ducmV2LnhtbE2PTUvEMBCG74L/IYzgzU1SSnW7TRcRFvag4FbBPWabsena&#10;JKXJfvjvHfGwHmfeh3eeqZZnN7AjTrEPXoGcCWDo22B63yl4f1vdPQCLSXujh+BRwTdGWNbXV5Uu&#10;TTj5DR6b1DEq8bHUCmxKY8l5bC06HWdhRE/ZZ5icTjROHTeTPlG5G3gmRMGd7j1dsHrEJ4vtV3Nw&#10;Cj7WspDN1j5iWu1fnl+zrd7s10rd3kixAJbwnC4w/OqTOtTktAsHbyIbFBR5VhBKgZwDI+Be5Dmw&#10;3d+C1xX//0H9A1BLAwQUAAAACACHTuJAMTBjHxYCAAABBAAADgAAAGRycy9lMm9Eb2MueG1srVNL&#10;ktMwEN1TxR1U2hM7mQRIKs4Uk8yw4ZMq4AAdWbZVpV9Jmji5BBegihXDCljNntPAcAxaspOBYTML&#10;Nnar2/2639Pz/HSnJNly54XRBR0Ockq4ZqYUui7ou7cXj55S4gPoEqTRvKB77unp4uGDeWtnfGQa&#10;I0vuCIJoP2ttQZsQ7CzLPGu4Aj8wlmssVsYpCHh0dVY6aBFdyWyU54+z1rjSOsO495hddUXaI7r7&#10;AJqqEoyvDLtUXIcO1XEJASn5RlhPF2nbquIsvK4qzwORBUWmIT1xCMab+MwWc5jVDmwjWL8C3GeF&#10;O5wUCI1Dj1ArCEAunfgHSgnmjDdVGDCjso5IUgRZDPM72rxpwPLEBaX29ii6/3+w7NV27YgoCzpG&#10;STQovPGbD9c/31/dfPv649P1r+8fY/zlM8E6itVaP8OepV67/uTt2kXmu8qp+EZOZJcE3h8F5rtA&#10;GCZPpqPxCc5hh1J222edD8+5USQGBfXBgaibsDRa4y0aN0z6wvaFDzgZGw8Ncag2F0LKdJlSk7ag&#10;08lognMADVqhMTBUFkl6XVMCskbns+ASojdSlLE74nhXb5bSkS2gX8bPnpyfnXUfNVDyLjud5Hnv&#10;Gw/hpSm79DA/5HG1Hiat+Rd+3HkFvul6UqmzYAAhz3VJwt7iDYBzpo0FxJIaX1H2TugYbUy5T/qn&#10;PDojfdi7OFrvz3Pqvv1z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1yt+NgAAAAJAQAADwAA&#10;AAAAAAABACAAAAAiAAAAZHJzL2Rvd25yZXYueG1sUEsBAhQAFAAAAAgAh07iQDEwYx8WAgAAAQQA&#10;AA4AAAAAAAAAAQAgAAAAJwEAAGRycy9lMm9Eb2MueG1sUEsFBgAAAAAGAAYAWQEAAK8FA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91008" behindDoc="0" locked="0" layoutInCell="1" allowOverlap="1">
                      <wp:simplePos x="0" y="0"/>
                      <wp:positionH relativeFrom="column">
                        <wp:posOffset>874395</wp:posOffset>
                      </wp:positionH>
                      <wp:positionV relativeFrom="paragraph">
                        <wp:posOffset>76200</wp:posOffset>
                      </wp:positionV>
                      <wp:extent cx="392430" cy="0"/>
                      <wp:effectExtent l="0" t="48895" r="7620" b="65405"/>
                      <wp:wrapNone/>
                      <wp:docPr id="39" name="直接箭头连接符 39"/>
                      <wp:cNvGraphicFramePr/>
                      <a:graphic xmlns:a="http://schemas.openxmlformats.org/drawingml/2006/main">
                        <a:graphicData uri="http://schemas.microsoft.com/office/word/2010/wordprocessingShape">
                          <wps:wsp>
                            <wps:cNvCnPr/>
                            <wps:spPr>
                              <a:xfrm>
                                <a:off x="0" y="0"/>
                                <a:ext cx="392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85pt;margin-top:6pt;height:0pt;width:30.9pt;z-index:251691008;mso-width-relative:page;mso-height-relative:page;" filled="f" stroked="t" coordsize="21600,21600" o:gfxdata="UEsDBAoAAAAAAIdO4kAAAAAAAAAAAAAAAAAEAAAAZHJzL1BLAwQUAAAACACHTuJAcjNIHdcAAAAJ&#10;AQAADwAAAGRycy9kb3ducmV2LnhtbE2PT0vDQBDF74LfYRnBm90kYmtjNkWEQg8KNgr2OE3GbGp2&#10;NmS3f/z2TvGgt3kzjze/VyxOrlcHGkPn2UA6SUAR177puDXw/ra8uQcVInKDvWcy8E0BFuXlRYF5&#10;44+8pkMVWyUhHHI0YGMccq1DbclhmPiBWG6ffnQYRY6tbkY8SrjrdZYkU+2wY/lgcaAnS/VXtXcG&#10;PlbpNK029pHicvfy/JptcL1bGXN9lSYPoCKd4p8ZzviCDqUwbf2em6B60bezmVhlyKTT2TCf34Ha&#10;/i50Wej/DcofUEsDBBQAAAAIAIdO4kCEOT+dFgIAAAEEAAAOAAAAZHJzL2Uyb0RvYy54bWytU0uS&#10;0zAQ3VPFHVTaEzvJBEgqzhSTzLDhkyrgAIos26rSr1qaOLkEF6CKFcMKWM2e08BwDFqyk4FhMws2&#10;dqvb/brf0/P8dKcV2Qrw0pqCDgc5JcJwW0pTF/Td24tHTynxgZmSKWtEQffC09PFwwfz1s3EyDZW&#10;lQIIghg/a11BmxDcLMs8b4RmfmCdMFisLGgW8Ah1VgJrEV2rbJTnj7PWQunAcuE9ZlddkfaIcB9A&#10;W1WSi5Xll1qY0KGCUCwgJd9I5+kibVtVgofXVeVFIKqgyDSkJw7BeBOf2WLOZjUw10jer8Dus8Id&#10;TppJg0OPUCsWGLkE+Q+Ulhyst1UYcKuzjkhSBFkM8zvavGmYE4kLSu3dUXT//2D5q+0aiCwLOp5S&#10;YpjGG7/5cP3z/dXNt68/Pl3/+v4xxl8+E6yjWK3zM+xZmjX0J+/WEJnvKtDxjZzILgm8PwosdoFw&#10;TI6no5MxSs8Ppey2z4EPz4XVJAYF9QGYrJuwtMbgLVoYJn3Z9oUPOBkbDw1xqLEXUql0mcqQtqDT&#10;yWiCcxgatEJjYKgdkvSmpoSpGp3PAyREb5UsY3fE8VBvlgrIlqFfTp49OT876z5qWCm67HSS571v&#10;PAsvbdmlh/khj6v1MGnNv/Djzivmm64nlToLBibVuSlJ2Du8AQZg21hALGXwFWXvhI7Rxpb7pH/K&#10;ozPSh72Lo/X+PKfu2z93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M0gd1wAAAAkBAAAPAAAA&#10;AAAAAAEAIAAAACIAAABkcnMvZG93bnJldi54bWxQSwECFAAUAAAACACHTuJAhDk/nRYCAAABBAAA&#10;DgAAAAAAAAABACAAAAAmAQAAZHJzL2Uyb0RvYy54bWxQSwUGAAAAAAYABgBZAQAArgU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88960" behindDoc="0" locked="0" layoutInCell="1" allowOverlap="1">
                      <wp:simplePos x="0" y="0"/>
                      <wp:positionH relativeFrom="column">
                        <wp:posOffset>1974850</wp:posOffset>
                      </wp:positionH>
                      <wp:positionV relativeFrom="paragraph">
                        <wp:posOffset>75565</wp:posOffset>
                      </wp:positionV>
                      <wp:extent cx="392430" cy="0"/>
                      <wp:effectExtent l="0" t="48895" r="7620" b="65405"/>
                      <wp:wrapNone/>
                      <wp:docPr id="38" name="直接箭头连接符 38"/>
                      <wp:cNvGraphicFramePr/>
                      <a:graphic xmlns:a="http://schemas.openxmlformats.org/drawingml/2006/main">
                        <a:graphicData uri="http://schemas.microsoft.com/office/word/2010/wordprocessingShape">
                          <wps:wsp>
                            <wps:cNvCnPr/>
                            <wps:spPr>
                              <a:xfrm>
                                <a:off x="0" y="0"/>
                                <a:ext cx="392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5.5pt;margin-top:5.95pt;height:0pt;width:30.9pt;z-index:251688960;mso-width-relative:page;mso-height-relative:page;" filled="f" stroked="t" coordsize="21600,21600" o:gfxdata="UEsDBAoAAAAAAIdO4kAAAAAAAAAAAAAAAAAEAAAAZHJzL1BLAwQUAAAACACHTuJAPFZ+0tgAAAAJ&#10;AQAADwAAAGRycy9kb3ducmV2LnhtbE2PzU7DMBCE70i8g7VI3KjjVCo0jVMhpEo9gEQDEj1u4yVO&#10;ie0odn94exZxKMedGc3OVy7PrhdHGmMXvAY1yUCQb4LpfKvh/W119wAiJvQG++BJwzdFWFbXVyUW&#10;Jpz8ho51agWX+FigBpvSUEgZG0sO4yQM5Nn7DKPDxOfYSjPiictdL/Msm0mHnecPFgd6stR81Qen&#10;4WOtZqre2kdKq/3L82u+xc1+rfXtjcoWIBKd0yUMv/N5OlS8aRcO3kTRa5gqxSyJDTUHwYHpfc4s&#10;uz9BVqX8T1D9AFBLAwQUAAAACACHTuJAjQ0GVBYCAAABBAAADgAAAGRycy9lMm9Eb2MueG1srVPN&#10;jtMwEL4j8Q6W7zRpuwVaNV2x7S4XfioBDzB1nMSS/2R7m/YleAEkTiwn4LR3ngaWx2DspF1YLnvg&#10;Yo9nMt/MfPNlfrpTkmy588Logg4HOSVcM1MKXRf03duLR08p8QF0CdJoXtA99/R08fDBvLUzPjKN&#10;kSV3BEG0n7W2oE0IdpZlnjVcgR8YyzUGK+MUBHy6OisdtIiuZDbK88dZa1xpnWHce/SuuiDtEd19&#10;AE1VCcZXhl0qrkOH6riEgCP5RlhPF6nbquIsvK4qzwORBcVJQzqxCNqbeGaLOcxqB7YRrG8B7tPC&#10;nZkUCI1Fj1ArCEAunfgHSgnmjDdVGDCjsm6QxAhOMczvcPOmAcvTLEi1t0fS/f+DZa+2a0dEWdAx&#10;7l2Dwo3ffLj++f7q5tvXH5+uf33/GO0vnwnGkazW+hnmLPXa9S9v1y5OvqucijfORHaJ4P2RYL4L&#10;hKFzPB2djJF6dghlt3nW+fCcG0WiUVAfHIi6CUujNW7RuGHiF7YvfMDKmHhIiEW1uRBSpmVKTdqC&#10;TiejCdYBFGiFwkBTWRzS65oSkDUqnwWXEL2RoozZEce7erOUjmwB9XLy7Mn52Vn3UQMl77zTSZ73&#10;uvEQXpqycw/zgx9b62FSm3/hx55X4JsuJ4U6CQYQ8lyXJOwtbgCcM20MIJbUeEXaO6KjtTHlPvGf&#10;/KiM9GGv4ii9P9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FZ+0tgAAAAJAQAADwAA&#10;AAAAAAABACAAAAAiAAAAZHJzL2Rvd25yZXYueG1sUEsBAhQAFAAAAAgAh07iQI0NBlQWAgAAAQQA&#10;AA4AAAAAAAAAAQAgAAAAJwEAAGRycy9lMm9Eb2MueG1sUEsFBgAAAAAGAAYAWQEAAK8FA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87936" behindDoc="0" locked="0" layoutInCell="1" allowOverlap="1">
                      <wp:simplePos x="0" y="0"/>
                      <wp:positionH relativeFrom="column">
                        <wp:posOffset>2933700</wp:posOffset>
                      </wp:positionH>
                      <wp:positionV relativeFrom="paragraph">
                        <wp:posOffset>68580</wp:posOffset>
                      </wp:positionV>
                      <wp:extent cx="414020" cy="3175"/>
                      <wp:effectExtent l="0" t="48260" r="5080" b="62865"/>
                      <wp:wrapNone/>
                      <wp:docPr id="37" name="直接箭头连接符 37"/>
                      <wp:cNvGraphicFramePr/>
                      <a:graphic xmlns:a="http://schemas.openxmlformats.org/drawingml/2006/main">
                        <a:graphicData uri="http://schemas.microsoft.com/office/word/2010/wordprocessingShape">
                          <wps:wsp>
                            <wps:cNvCnPr>
                              <a:stCxn id="26" idx="3"/>
                              <a:endCxn id="27" idx="1"/>
                            </wps:cNvCnPr>
                            <wps:spPr>
                              <a:xfrm flipV="1">
                                <a:off x="4394200" y="4039870"/>
                                <a:ext cx="414020"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1pt;margin-top:5.4pt;height:0.25pt;width:32.6pt;z-index:251687936;mso-width-relative:page;mso-height-relative:page;" filled="f" stroked="t" coordsize="21600,21600" o:gfxdata="UEsDBAoAAAAAAIdO4kAAAAAAAAAAAAAAAAAEAAAAZHJzL1BLAwQUAAAACACHTuJAO9WBFtkAAAAJ&#10;AQAADwAAAGRycy9kb3ducmV2LnhtbE2PwU7DMBBE70j8g7VI3KidlBSUxqkEEoceOBAiVdzceJtE&#10;jddR7LaBr2c50ePOjGbnFZvZDeKMU+g9aUgWCgRS421PrYb68+3hGUSIhqwZPKGGbwywKW9vCpNb&#10;f6EPPFexFVxCITcauhjHXMrQdOhMWPgRib2Dn5yJfE6ttJO5cLkbZKrUSjrTE3/ozIivHTbH6uQ0&#10;+O3u6L9eavWT1dlyl85j9b7NtL6/S9QaRMQ5/ofhbz5Ph5I37f2JbBCDhsdVyiyRDcUIHMjSpxTE&#10;noVkCbIs5DVB+QtQSwMEFAAAAAgAh07iQBC5abRHAgAAXAQAAA4AAABkcnMvZTJvRG9jLnhtbK1U&#10;zW4TMRC+I/EOlu90N39NE2VT0aTlwk8kfu4Tr3fXkte2bDebvAQvgMQJOAGn3nkaKI/B2E5TWi49&#10;cPGOPZ5vZr75vLPTbSvJhlsntCpo7yinhCumS6Hqgr59c/HkhBLnQZUgteIF3XFHT+ePH806M+V9&#10;3WhZcksQRLlpZwraeG+mWeZYw1twR9pwhc5K2xY8bm2dlRY6RG9l1s/z46zTtjRWM+4cni6Tk+4R&#10;7UMAdVUJxpeaXbZc+YRquQSPLblGGEfnsdqq4sy/qirHPZEFxU59XDEJ2uuwZvMZTGsLphFsXwI8&#10;pIR7PbUgFCY9QC3BA7m04h+oVjCrna78EdNtlhqJjGAXvfweN68bMDz2glQ7cyDd/T9Y9nKzskSU&#10;BR2MKVHQ4sSvP1z9ev/5+vu3n5+ufv/4GOyvXwj6kazOuCnGLNTKhnadX2xVDO8fU/xuESdxylV5&#10;cCFydPWCK7sDETbOJLBtZVtSSWHeoS4jm8gPQcjhYDJE6VCyQzsfTE7G+8HxrScsXOgN8z76GV4Y&#10;9MajmAemATBUaazzz7huSTAK6rwFUTd+oZVCgWibksHmufOhwNuAEKz0hZAy6kQq0hV0MuqPMBWg&#10;9ivUHJqtQf6cqikBWeOjYt7G8p2WogzRkSpbrxfSkg2gFIdPx+dnZ+lSAyVPp5NRjl3GVA78C12m&#10;415+c46luQQTy7yDH3pbgmtSTHQlKA9CnquS+J3B4YK1utvzI9V+HGkCYRZrXe5W9mZMKLqYaP9A&#10;gqr/3sfo25/C/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71YEW2QAAAAkBAAAPAAAAAAAAAAEA&#10;IAAAACIAAABkcnMvZG93bnJldi54bWxQSwECFAAUAAAACACHTuJAELlptEcCAABcBAAADgAAAAAA&#10;AAABACAAAAAoAQAAZHJzL2Uyb0RvYy54bWxQSwUGAAAAAAYABgBZAQAA4QUAAAAA&#10;">
                      <v:fill on="f" focussize="0,0"/>
                      <v:stroke color="#4A7EBB [3204]" joinstyle="round" endarrow="open"/>
                      <v:imagedata o:title=""/>
                      <o:lock v:ext="edit" aspectratio="f"/>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3542030</wp:posOffset>
                      </wp:positionH>
                      <wp:positionV relativeFrom="paragraph">
                        <wp:posOffset>125095</wp:posOffset>
                      </wp:positionV>
                      <wp:extent cx="539115" cy="28067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wps:txbx>
                            <wps:bodyPr upright="1"/>
                          </wps:wsp>
                        </a:graphicData>
                      </a:graphic>
                    </wp:anchor>
                  </w:drawing>
                </mc:Choice>
                <mc:Fallback>
                  <w:pict>
                    <v:shape id="_x0000_s1026" o:spid="_x0000_s1026" o:spt="202" type="#_x0000_t202" style="position:absolute;left:0pt;margin-left:278.9pt;margin-top:9.85pt;height:22.1pt;width:42.45pt;z-index:251692032;mso-width-relative:page;mso-height-relative:page;" filled="f" stroked="f" coordsize="21600,21600" o:gfxdata="UEsDBAoAAAAAAIdO4kAAAAAAAAAAAAAAAAAEAAAAZHJzL1BLAwQUAAAACACHTuJAB3t2v9YAAAAJ&#10;AQAADwAAAGRycy9kb3ducmV2LnhtbE2PwW7CMBBE75X6D9ZW6q3YUAIkxOHQqtdWBVqJm4mXJCJe&#10;R7Eh6d93eyq3Wc1o9k2+GV0rrtiHxpOG6USBQCq9bajSsN+9Pa1AhGjImtYTavjBAJvi/i43mfUD&#10;feJ1GyvBJRQyo6GOscukDGWNzoSJ75DYO/nemchnX0nbm4HLXStnSi2kMw3xh9p0+FJjed5enIav&#10;99Phe64+qleXdIMflSSXSq0fH6ZqDSLiGP/D8IfP6FAw09FfyAbRakiSJaNHNtIlCA4s5jMWRxbP&#10;Kcgil7cLil9QSwMEFAAAAAgAh07iQC4Bo2L1AQAA5QMAAA4AAABkcnMvZTJvRG9jLnhtbK1TS24b&#10;MQzdF+gdBO3rGbuwmxgeBwjcdFO0BZIeQJY4HgH6QZQ94wu0N+iqm+57Lp+jlOw4QbrxIhsNRXIe&#10;+R6pxc1gDdtBRO1dw8ejmjNw0ivtNg3//nD37oozTMIpYbyDhu8B+c3y7ZtFH+Yw8Z03CiIjEIfz&#10;PjS8SynMqwplB1bgyAdwFGx9tCLRNW4qFUVP6NZUk7qeVb2PKkQvAZG8q2OQnxDjJYC+bbWElZdb&#10;Cy4dUSMYkYgSdjogX5Zu2xZk+tq2CImZhhPTVE4qQvY6n9VyIeabKEKn5akFcUkLLzhZoR0VPUOt&#10;RBJsG/V/UFbL6NG3aSS9rY5EiiLEYly/0Oa+EwEKF5Iaw1l0fD1Y+WX3LTKtGj6juTthaeKHXz8P&#10;v/8e/vxg5COB+oBzyrsPlJmGWz/Q2jz6kZyZ99BGm7/EiFGc5N2f5YUhMUnO6fvr8XjKmaTQ5Kqe&#10;fSjyV08/h4jpE3jLstHwSNMroordZ0zUCKU+puRazt9pY8oEjWN9w6+nkwwvaCtb2gYybSBm6DYF&#10;5ll+hlkJ7NhO0GKgN1odV8HqBLFAdiDUR6dY2gfSxNFb4LmGBcWZAXo62SqZSWhzSSa1bxyxyHoe&#10;dctWGtYDwWRz7dWeNN6GqDcdCVBULuk0/UL/tKl5vZ7fC+jT61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7dr/WAAAACQEAAA8AAAAAAAAAAQAgAAAAIgAAAGRycy9kb3ducmV2LnhtbFBLAQIU&#10;ABQAAAAIAIdO4kAuAaNi9QEAAOUDAAAOAAAAAAAAAAEAIAAAACUBAABkcnMvZTJvRG9jLnhtbFBL&#10;BQYAAAAABgAGAFkBAACMBQ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v:textbox>
                    </v:shape>
                  </w:pict>
                </mc:Fallback>
              </mc:AlternateContent>
            </w:r>
            <w:r>
              <w:rPr>
                <w:kern w:val="0"/>
                <w:sz w:val="24"/>
                <w:u w:val="single"/>
              </w:rPr>
              <mc:AlternateContent>
                <mc:Choice Requires="wps">
                  <w:drawing>
                    <wp:anchor distT="0" distB="0" distL="114300" distR="114300" simplePos="0" relativeHeight="251692032" behindDoc="0" locked="0" layoutInCell="1" allowOverlap="1">
                      <wp:simplePos x="0" y="0"/>
                      <wp:positionH relativeFrom="column">
                        <wp:posOffset>4356735</wp:posOffset>
                      </wp:positionH>
                      <wp:positionV relativeFrom="paragraph">
                        <wp:posOffset>103505</wp:posOffset>
                      </wp:positionV>
                      <wp:extent cx="539115" cy="28067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539115" cy="280670"/>
                              </a:xfrm>
                              <a:prstGeom prst="rect">
                                <a:avLst/>
                              </a:prstGeom>
                              <a:noFill/>
                              <a:ln w="9525" cap="flat" cmpd="sng">
                                <a:noFill/>
                                <a:prstDash val="solid"/>
                                <a:miter/>
                                <a:headEnd type="none" w="med" len="med"/>
                                <a:tailEnd type="none" w="med" len="med"/>
                              </a:ln>
                            </wps:spPr>
                            <wps:txb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wps:txbx>
                            <wps:bodyPr upright="1"/>
                          </wps:wsp>
                        </a:graphicData>
                      </a:graphic>
                    </wp:anchor>
                  </w:drawing>
                </mc:Choice>
                <mc:Fallback>
                  <w:pict>
                    <v:shape id="_x0000_s1026" o:spid="_x0000_s1026" o:spt="202" type="#_x0000_t202" style="position:absolute;left:0pt;margin-left:343.05pt;margin-top:8.15pt;height:22.1pt;width:42.45pt;z-index:251692032;mso-width-relative:page;mso-height-relative:page;" filled="f" stroked="f" coordsize="21600,21600" o:gfxdata="UEsDBAoAAAAAAIdO4kAAAAAAAAAAAAAAAAAEAAAAZHJzL1BLAwQUAAAACACHTuJADZiEwtUAAAAJ&#10;AQAADwAAAGRycy9kb3ducmV2LnhtbE2Py07DMBBF90j8gzVI7Og4QNMS4nQBYguiPCR2bjxNIuJx&#10;FLtN+HuGFV2O7tGdc8vN7Ht1pDF2gQ1kCw2KuA6u48bA+9vT1RpUTJad7QOTgR+KsKnOz0pbuDDx&#10;Kx23qVFSwrGwBtqUhgIx1i15GxdhIJZsH0Zvk5xjg260k5T7Hq+1ztHbjuVDawd6aKn+3h68gY/n&#10;/dfnrX5pHv1ymMKskf0dGnN5kel7UInm9A/Dn76oQyVOu3BgF1VvIF/nmaAS5DegBFitMhm3k0Qv&#10;AasSTxdUv1BLAwQUAAAACACHTuJAvjTP8vUBAADlAwAADgAAAGRycy9lMm9Eb2MueG1srVNLbhsx&#10;DN0X6B0E7esZO7CTGB4HCNx0U7QF0h5AljgeAfpBlD3jC7Q36Kqb7nsun6OU7DhBuvGiGw1Fch75&#10;HqnF3WAN20FE7V3Dx6OaM3DSK+02Df/29eHdDWeYhFPCeAcN3wPyu+XbN4s+zGHiO28UREYgDud9&#10;aHiXUphXFcoOrMCRD+Ao2PpoRaJr3FQqip7QrakmdT2reh9ViF4CInlXxyA/IcZLAH3bagkrL7cW&#10;XDqiRjAiESXsdEC+LN22Lcj0uW0REjMNJ6apnFSE7HU+q+VCzDdRhE7LUwvikhZecbJCOyp6hlqJ&#10;JNg26n+grJbRo2/TSHpbHYkURYjFuH6lzWMnAhQuJDWGs+j4/2Dlp92XyLRq+OyaMycsTfzw88fh&#10;15/D7++MfCRQH3BOeY+BMtNw7wdamyc/kjPzHtpo85cYMYqTvPuzvDAkJsk5vbodj6ecSQpNburZ&#10;dZG/ev45REwfwFuWjYZHml4RVew+YqJGKPUpJddy/kEbUyZoHOsbfjudZHhBW9nSNpBpAzFDtykw&#10;L/IzzEpgx3aCFgO90eq4ClYniAWyA6HeO8XSPpAmjt4CzzUsKM4M0NPJVslMQptLMql944hF1vOo&#10;W7bSsB4IJptrr/ak8TZEvelIgKJySafpF/qnTc3r9fJeQJ9f5/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ZiEwtUAAAAJAQAADwAAAAAAAAABACAAAAAiAAAAZHJzL2Rvd25yZXYueG1sUEsBAhQA&#10;FAAAAAgAh07iQL40z/L1AQAA5QMAAA4AAAAAAAAAAQAgAAAAJAEAAGRycy9lMm9Eb2MueG1sUEsF&#10;BgAAAAAGAAYAWQEAAIsFAAAAAA==&#10;">
                      <v:fill on="f" focussize="0,0"/>
                      <v:stroke on="f" joinstyle="miter"/>
                      <v:imagedata o:title=""/>
                      <o:lock v:ext="edit" aspectratio="f"/>
                      <v:textbox>
                        <w:txbxContent>
                          <w:p>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G</w:t>
                            </w:r>
                          </w:p>
                        </w:txbxContent>
                      </v:textbox>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kern w:val="0"/>
                <w:sz w:val="24"/>
                <w:u w:val="single"/>
              </w:rPr>
              <mc:AlternateContent>
                <mc:Choice Requires="wps">
                  <w:drawing>
                    <wp:anchor distT="0" distB="0" distL="114300" distR="114300" simplePos="0" relativeHeight="251684864" behindDoc="0" locked="0" layoutInCell="1" allowOverlap="1">
                      <wp:simplePos x="0" y="0"/>
                      <wp:positionH relativeFrom="column">
                        <wp:posOffset>3216910</wp:posOffset>
                      </wp:positionH>
                      <wp:positionV relativeFrom="paragraph">
                        <wp:posOffset>95885</wp:posOffset>
                      </wp:positionV>
                      <wp:extent cx="951230" cy="280670"/>
                      <wp:effectExtent l="4445" t="4445" r="15875" b="19685"/>
                      <wp:wrapNone/>
                      <wp:docPr id="30" name="文本框 30"/>
                      <wp:cNvGraphicFramePr/>
                      <a:graphic xmlns:a="http://schemas.openxmlformats.org/drawingml/2006/main">
                        <a:graphicData uri="http://schemas.microsoft.com/office/word/2010/wordprocessingShape">
                          <wps:wsp>
                            <wps:cNvSpPr txBox="1"/>
                            <wps:spPr>
                              <a:xfrm>
                                <a:off x="0" y="0"/>
                                <a:ext cx="95123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FF0000"/>
                                      <w:sz w:val="21"/>
                                      <w:szCs w:val="21"/>
                                      <w:lang w:val="en-US" w:eastAsia="zh-CN"/>
                                    </w:rPr>
                                  </w:pPr>
                                  <w:r>
                                    <w:rPr>
                                      <w:rFonts w:hint="eastAsia"/>
                                      <w:color w:val="FF0000"/>
                                      <w:sz w:val="21"/>
                                      <w:szCs w:val="21"/>
                                      <w:lang w:val="en-US" w:eastAsia="zh-CN"/>
                                    </w:rPr>
                                    <w:t>移（丝）印</w:t>
                                  </w:r>
                                </w:p>
                              </w:txbxContent>
                            </wps:txbx>
                            <wps:bodyPr upright="1"/>
                          </wps:wsp>
                        </a:graphicData>
                      </a:graphic>
                    </wp:anchor>
                  </w:drawing>
                </mc:Choice>
                <mc:Fallback>
                  <w:pict>
                    <v:shape id="_x0000_s1026" o:spid="_x0000_s1026" o:spt="202" type="#_x0000_t202" style="position:absolute;left:0pt;margin-left:253.3pt;margin-top:7.55pt;height:22.1pt;width:74.9pt;z-index:251684864;mso-width-relative:page;mso-height-relative:page;" fillcolor="#FFFFFF" filled="t" stroked="t" coordsize="21600,21600" o:gfxdata="UEsDBAoAAAAAAIdO4kAAAAAAAAAAAAAAAAAEAAAAZHJzL1BLAwQUAAAACACHTuJAG6blR9gAAAAJ&#10;AQAADwAAAGRycy9kb3ducmV2LnhtbE2Py07DMBBF90j8gzVIbBC1QxvThjhdIIFgVwqCrRtPkwg/&#10;gu2m5e8ZVrAcnat7z9Trk7NswpiG4BUUMwEMfRvM4DsFb68P10tgKWtvtA0eFXxjgnVzflbryoSj&#10;f8FpmztGJT5VWkGf81hxntoenU6zMKIntg/R6Uxn7LiJ+kjlzvIbISR3evC00OsR73tsP7cHp2C5&#10;eJo+0vN8897KvV3lq9vp8SsqdXlRiDtgGU/5Lwy/+qQODTntwsGbxKyCUkhJUQJlAYwCspQLYDsi&#10;qznwpub/P2h+AFBLAwQUAAAACACHTuJANSR+EQoCAAA3BAAADgAAAGRycy9lMm9Eb2MueG1srVNL&#10;jhMxEN0jcQfLe9KdoBmGVjojQQgbBEgDB3Dc7m5L/sl20p0LwA1YsWHPuXIOnp1M5rvIgl64y+Xy&#10;q3qvyvPrUSuyFT5Ia2o6nZSUCMNtI01X0+/fVq+uKAmRmYYpa0RNdyLQ68XLF/PBVWJme6sa4QlA&#10;TKgGV9M+RlcVReC90CxMrBMGh631mkVsfVc0ng1A16qYleVlMVjfOG+5CAHe5eGQHhH9OYC2bSUX&#10;S8s3Wph4QPVCsQhKoZcu0EWutm0Fj1/aNohIVE3BNOYVSWCv01os5qzqPHO95McS2DklPOKkmTRI&#10;eoJassjIxssnUFpyb4Nt44RbXRyIZEXAYlo+0uamZ05kLpA6uJPo4f/B8s/br57IpqavIYlhGh3f&#10;//q5//13/+cHgQ8CDS5UiLtxiIzjOztibG79Ac7Ee2y9Tn8wIjgH1u4krxgj4XC+vZjOUhaOo9lV&#10;efkmoxd3l50P8aOwmiSjph7dy6Ky7acQUQhCb0NSrmCVbFZSqbzx3fq98mTL0OlV/lKNuPIgTBky&#10;pEpmF6iDYXxbjA1M7SBBMF3O9+BGuA9c5u854FTYkoX+UEBGSGGs0jIKn61esOaDaUjcOahs8Lpo&#10;KkaLhhIl8BiTlSMjk+qcSLBTBiRThw6dSFYc1yNgkrm2zQ5d2zgvux6S5r7lcMxTVuc4+2lg7+8z&#10;6N17X/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6blR9gAAAAJAQAADwAAAAAAAAABACAAAAAi&#10;AAAAZHJzL2Rvd25yZXYueG1sUEsBAhQAFAAAAAgAh07iQDUkfhEKAgAANwQAAA4AAAAAAAAAAQAg&#10;AAAAJwEAAGRycy9lMm9Eb2MueG1sUEsFBgAAAAAGAAYAWQEAAKMFAAAAAA==&#10;">
                      <v:fill on="t" focussize="0,0"/>
                      <v:stroke color="#000000" joinstyle="miter"/>
                      <v:imagedata o:title=""/>
                      <o:lock v:ext="edit" aspectratio="f"/>
                      <v:textbox>
                        <w:txbxContent>
                          <w:p>
                            <w:pPr>
                              <w:rPr>
                                <w:rFonts w:hint="default" w:eastAsia="宋体"/>
                                <w:color w:val="FF0000"/>
                                <w:sz w:val="21"/>
                                <w:szCs w:val="21"/>
                                <w:lang w:val="en-US" w:eastAsia="zh-CN"/>
                              </w:rPr>
                            </w:pPr>
                            <w:r>
                              <w:rPr>
                                <w:rFonts w:hint="eastAsia"/>
                                <w:color w:val="FF0000"/>
                                <w:sz w:val="21"/>
                                <w:szCs w:val="21"/>
                                <w:lang w:val="en-US" w:eastAsia="zh-CN"/>
                              </w:rPr>
                              <w:t>移（丝）印</w:t>
                            </w:r>
                          </w:p>
                        </w:txbxContent>
                      </v:textbox>
                    </v:shape>
                  </w:pict>
                </mc:Fallback>
              </mc:AlternateContent>
            </w:r>
            <w:r>
              <w:rPr>
                <w:sz w:val="24"/>
                <w:u w:val="single"/>
              </w:rPr>
              <mc:AlternateContent>
                <mc:Choice Requires="wps">
                  <w:drawing>
                    <wp:anchor distT="0" distB="0" distL="114300" distR="114300" simplePos="0" relativeHeight="251689984" behindDoc="0" locked="0" layoutInCell="1" allowOverlap="1">
                      <wp:simplePos x="0" y="0"/>
                      <wp:positionH relativeFrom="column">
                        <wp:posOffset>1954530</wp:posOffset>
                      </wp:positionH>
                      <wp:positionV relativeFrom="paragraph">
                        <wp:posOffset>243205</wp:posOffset>
                      </wp:positionV>
                      <wp:extent cx="291465" cy="2540"/>
                      <wp:effectExtent l="0" t="47625" r="13335" b="64135"/>
                      <wp:wrapNone/>
                      <wp:docPr id="51" name="直接箭头连接符 51"/>
                      <wp:cNvGraphicFramePr/>
                      <a:graphic xmlns:a="http://schemas.openxmlformats.org/drawingml/2006/main">
                        <a:graphicData uri="http://schemas.microsoft.com/office/word/2010/wordprocessingShape">
                          <wps:wsp>
                            <wps:cNvCnPr/>
                            <wps:spPr>
                              <a:xfrm flipH="1">
                                <a:off x="0" y="0"/>
                                <a:ext cx="291465"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3.9pt;margin-top:19.15pt;height:0.2pt;width:22.95pt;z-index:251689984;mso-width-relative:page;mso-height-relative:page;" filled="f" stroked="t" coordsize="21600,21600" o:gfxdata="UEsDBAoAAAAAAIdO4kAAAAAAAAAAAAAAAAAEAAAAZHJzL1BLAwQUAAAACACHTuJAOUaeTdkAAAAJ&#10;AQAADwAAAGRycy9kb3ducmV2LnhtbE2PMU/DMBCFdyT+g3VIbNRuo5AqxKkEEkOHDoRIFZsbH0nU&#10;+BzFbhv667lOsN29e3rvu2Izu0GccQq9Jw3LhQKB1HjbU6uh/nx/WoMI0ZA1gyfU8IMBNuX9XWFy&#10;6y/0gecqtoJDKORGQxfjmEsZmg6dCQs/IvHt20/ORF6nVtrJXDjcDXKl1LN0pidu6MyIbx02x+rk&#10;NPjt/ui/Xmt1Tes02a/msdptU60fH5bqBUTEOf6Z4YbP6FAy08GfyAYxaEhUxuiRh3UCgg1JmmQg&#10;DjchA1kW8v8H5S9QSwMEFAAAAAgAh07iQA4skFciAgAADgQAAA4AAABkcnMvZTJvRG9jLnhtbK1T&#10;zY7TMBC+I/EOlu80adUutGq6YttdOPBTCXgA13ESS45tzXib9iV4ASROwAk47Z2ngeUxGDvdAstl&#10;D1yS8Uzm83zffJmf7lrDtgpQO1vw4SDnTFnpSm3rgr95ffHgEWcYhC2FcVYVfK+Qny7u35t3fqZG&#10;rnGmVMAIxOKs8wVvQvCzLEPZqFbgwHllqVg5aEWgI9RZCaIj9NZkozw/yToHpQcnFSJlV32RHxDh&#10;LoCuqrRUKycvW2VDjwrKiECUsNEe+SJNW1VKhpdVhSowU3BiGtKTLqF4E5/ZYi5mNQjfaHkYQdxl&#10;hFucWqEtXXqEWokg2CXof6BaLcGhq8JAujbriSRFiMUwv6XNq0Z4lbiQ1OiPouP/g5Uvtmtguiz4&#10;ZMiZFS1t/Prd1Y+3H6+/fvn+4ernt/cx/vyJUZ3E6jzOqGdp13A4oV9DZL6roGWV0f4puSppQezY&#10;Lkm9P0qtdoFJSo6mw/HJhDNJpdFknBaR9SARzAOGJ8q1LAYFxwBC101YOmtppQ76C8T2GQYagxpv&#10;GmKzdRfamLRZY1lX8OlkFK8S5NaKXEJh64kx2pozYWr6DWSANDI6o8vYHXEQ6s3SANsKMs/48cPz&#10;s7P+o0aUqs9OJ3l+MBGK8NyVfXqY3+RptANMGvMv/DjzSmDT96RS78cgtDm3JQt7T+sQAK6LBcIy&#10;ll5xB73qMdq4cp+WkfJkk/ThwdLRh3+eU/fv33j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G&#10;nk3ZAAAACQEAAA8AAAAAAAAAAQAgAAAAIgAAAGRycy9kb3ducmV2LnhtbFBLAQIUABQAAAAIAIdO&#10;4kAOLJBXIgIAAA4EAAAOAAAAAAAAAAEAIAAAACgBAABkcnMvZTJvRG9jLnhtbFBLBQYAAAAABgAG&#10;AFkBAAC8BQ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689984" behindDoc="0" locked="0" layoutInCell="1" allowOverlap="1">
                      <wp:simplePos x="0" y="0"/>
                      <wp:positionH relativeFrom="column">
                        <wp:posOffset>2927985</wp:posOffset>
                      </wp:positionH>
                      <wp:positionV relativeFrom="paragraph">
                        <wp:posOffset>243840</wp:posOffset>
                      </wp:positionV>
                      <wp:extent cx="291465" cy="2540"/>
                      <wp:effectExtent l="0" t="47625" r="13335" b="64135"/>
                      <wp:wrapNone/>
                      <wp:docPr id="50" name="直接箭头连接符 50"/>
                      <wp:cNvGraphicFramePr/>
                      <a:graphic xmlns:a="http://schemas.openxmlformats.org/drawingml/2006/main">
                        <a:graphicData uri="http://schemas.microsoft.com/office/word/2010/wordprocessingShape">
                          <wps:wsp>
                            <wps:cNvCnPr/>
                            <wps:spPr>
                              <a:xfrm flipH="1">
                                <a:off x="0" y="0"/>
                                <a:ext cx="291465"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0.55pt;margin-top:19.2pt;height:0.2pt;width:22.95pt;z-index:251689984;mso-width-relative:page;mso-height-relative:page;" filled="f" stroked="t" coordsize="21600,21600" o:gfxdata="UEsDBAoAAAAAAIdO4kAAAAAAAAAAAAAAAAAEAAAAZHJzL1BLAwQUAAAACACHTuJA4dnM+tkAAAAJ&#10;AQAADwAAAGRycy9kb3ducmV2LnhtbE2PwU7DMAyG70i8Q2Qkbizpto6qNJ0EEocdOFAqTdyyxrTV&#10;Gqdqsq3w9HgnONr+9Pv7i+3sBnHGKfSeNCQLBQKp8banVkP98fqQgQjRkDWDJ9TwjQG25e1NYXLr&#10;L/SO5yq2gkMo5EZDF+OYSxmaDp0JCz8i8e3LT85EHqdW2slcONwNcqnURjrTE3/ozIgvHTbH6uQ0&#10;+N3+6D+fa/WT1ulqv5zH6m2Xan1/l6gnEBHn+AfDVZ/VoWSngz+RDWLQsN4kCaMaVtkaBAOpeuRy&#10;h+siA1kW8n+D8hdQSwMEFAAAAAgAh07iQG97pxAhAgAADgQAAA4AAABkcnMvZTJvRG9jLnhtbK1T&#10;zY7TMBC+I/EOlu80adUutGq6YttdOPBTCXiAqeMklhzb8nib9iV4ASROwAk47Z2ngeUxGDvdAstl&#10;D1yS8Uzm83zffJmf7lrNttKjsqbgw0HOmTTClsrUBX/z+uLBI84wgClBWyMLvpfITxf37807N5Mj&#10;21hdSs8IxOCscwVvQnCzLEPRyBZwYJ00VKysbyHQ0ddZ6aEj9FZnozw/yTrrS+etkIiUXfVFfkD0&#10;dwG0VaWEXFlx2UoTelQvNQSihI1yyBdp2qqSIrysKpSB6YIT05CedAnFm/jMFnOY1R5co8RhBLjL&#10;CLc4taAMXXqEWkEAdunVP1CtEt6ircJA2DbriSRFiMUwv6XNqwacTFxIanRH0fH/wYoX27Vnqiz4&#10;hCQx0NLGr99d/Xj78frrl+8frn5+ex/jz58Y1UmszuGMepZm7Q8ndGsfme8q37JKK/eUXJW0IHZs&#10;l6TeH6WWu8AEJUfT4fhkwpmg0mgyTthZDxLBnMfwRNqWxaDgGDyouglLawyt1Pr+Atg+w0BjUONN&#10;Q2w29kJpnTarDesKPp2M4lVAbq3IJRS2jhijqTkDXdNvIIJPI6PVqozdEQd9vVlqz7ZA5hk/fnh+&#10;dtZ/1EAp++x0kucHEyGE57bs08P8Jk+jHWDSmH/hx5lXgE3fk0q9HwMofW5KFvaO1gHe2y4WCEsb&#10;esUd9KrHaGPLfVpGypNN0ocHS0cf/nlO3b9/48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dnM&#10;+tkAAAAJAQAADwAAAAAAAAABACAAAAAiAAAAZHJzL2Rvd25yZXYueG1sUEsBAhQAFAAAAAgAh07i&#10;QG97pxAhAgAADgQAAA4AAAAAAAAAAQAgAAAAKAEAAGRycy9lMm9Eb2MueG1sUEsFBgAAAAAGAAYA&#10;WQEAALsFAAAAAA==&#10;">
                      <v:fill on="f" focussize="0,0"/>
                      <v:stroke color="#4A7EBB [3204]" joinstyle="round" endarrow="open"/>
                      <v:imagedata o:title=""/>
                      <o:lock v:ext="edit" aspectratio="f"/>
                    </v:shape>
                  </w:pict>
                </mc:Fallback>
              </mc:AlternateContent>
            </w:r>
            <w:r>
              <w:rPr>
                <w:sz w:val="24"/>
                <w:u w:val="single"/>
              </w:rPr>
              <mc:AlternateContent>
                <mc:Choice Requires="wps">
                  <w:drawing>
                    <wp:anchor distT="0" distB="0" distL="114300" distR="114300" simplePos="0" relativeHeight="251701248" behindDoc="0" locked="0" layoutInCell="1" allowOverlap="1">
                      <wp:simplePos x="0" y="0"/>
                      <wp:positionH relativeFrom="column">
                        <wp:posOffset>4140835</wp:posOffset>
                      </wp:positionH>
                      <wp:positionV relativeFrom="paragraph">
                        <wp:posOffset>196850</wp:posOffset>
                      </wp:positionV>
                      <wp:extent cx="291465" cy="2540"/>
                      <wp:effectExtent l="0" t="47625" r="13335" b="64135"/>
                      <wp:wrapNone/>
                      <wp:docPr id="49" name="直接箭头连接符 49"/>
                      <wp:cNvGraphicFramePr/>
                      <a:graphic xmlns:a="http://schemas.openxmlformats.org/drawingml/2006/main">
                        <a:graphicData uri="http://schemas.microsoft.com/office/word/2010/wordprocessingShape">
                          <wps:wsp>
                            <wps:cNvCnPr/>
                            <wps:spPr>
                              <a:xfrm flipH="1">
                                <a:off x="0" y="0"/>
                                <a:ext cx="291465"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6.05pt;margin-top:15.5pt;height:0.2pt;width:22.95pt;z-index:251701248;mso-width-relative:page;mso-height-relative:page;" filled="f" stroked="t" coordsize="21600,21600" o:gfxdata="UEsDBAoAAAAAAIdO4kAAAAAAAAAAAAAAAAAEAAAAZHJzL1BLAwQUAAAACACHTuJASyAAa9kAAAAJ&#10;AQAADwAAAGRycy9kb3ducmV2LnhtbE2PQU+DQBCF7yb+h8008WYXqJBKWZpo4qEHDyJJ423LjkDK&#10;zhJ226K/3unJ3mbmvbz5XrGd7SDOOPnekYJ4GYFAapzpqVVQf749rkH4oMnowREq+EEP2/L+rtC5&#10;cRf6wHMVWsEh5HOtoAthzKX0TYdW+6UbkVj7dpPVgdeplWbSFw63g0yiKJNW98QfOj3ia4fNsTpZ&#10;BW63P7qvlzr6Tet0tU/msXrfpUo9LOJoAyLgHP7NcMVndCiZ6eBOZLwYFGRpErNVwSrmTmzIntc8&#10;HK6HJ5BlIW8blH9QSwMEFAAAAAgAh07iQFz7SzkiAgAADgQAAA4AAABkcnMvZTJvRG9jLnhtbK1T&#10;zY7TMBC+I/EOlu80adUutGq6YttdOPBTCXgA13ESS45tzXib9iV4ASROwAk47Z2ngeUxGDvdAstl&#10;D1yS8Uzm83zffJmf7lrDtgpQO1vw4SDnTFnpSm3rgr95ffHgEWcYhC2FcVYVfK+Qny7u35t3fqZG&#10;rnGmVMAIxOKs8wVvQvCzLEPZqFbgwHllqVg5aEWgI9RZCaIj9NZkozw/yToHpQcnFSJlV32RHxDh&#10;LoCuqrRUKycvW2VDjwrKiECUsNEe+SJNW1VKhpdVhSowU3BiGtKTLqF4E5/ZYi5mNQjfaHkYQdxl&#10;hFucWqEtXXqEWokg2CXof6BaLcGhq8JAujbriSRFiMUwv6XNq0Z4lbiQ1OiPouP/g5Uvtmtguiz4&#10;eMqZFS1t/Prd1Y+3H6+/fvn+4ernt/cx/vyJUZ3E6jzOqGdp13A4oV9DZL6roGWV0f4puSppQezY&#10;Lkm9P0qtdoFJSo6mw/HJhDNJpdFknBaR9SARzAOGJ8q1LAYFxwBC101YOmtppQ76C8T2GQYagxpv&#10;GmKzdRfamLRZY1lX8OlkFK8S5NaKXEJh64kx2pozYWr6DWSANDI6o8vYHXEQ6s3SANsKMs/48cPz&#10;s7P+o0aUqs9OJ3l+MBGK8NyVfXqY3+RptANMGvMv/DjzSmDT96RS78cgtDm3JQt7T+sQAK6LBcIy&#10;ll5xB73qMdq4cp+WkfJkk/ThwdLRh3+eU/fv33j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sg&#10;AGvZAAAACQEAAA8AAAAAAAAAAQAgAAAAIgAAAGRycy9kb3ducmV2LnhtbFBLAQIUABQAAAAIAIdO&#10;4kBc+0s5IgIAAA4EAAAOAAAAAAAAAAEAIAAAACgBAABkcnMvZTJvRG9jLnhtbFBLBQYAAAAABgAG&#10;AFkBAAC8BQAAAAA=&#10;">
                      <v:fill on="f" focussize="0,0"/>
                      <v:stroke color="#4A7EBB [3204]" joinstyle="round" endarrow="open"/>
                      <v:imagedata o:title=""/>
                      <o:lock v:ext="edit" aspectratio="f"/>
                    </v:shape>
                  </w:pict>
                </mc:Fallback>
              </mc:AlternateContent>
            </w:r>
            <w:r>
              <w:rPr>
                <w:kern w:val="0"/>
                <w:sz w:val="24"/>
                <w:u w:val="single"/>
              </w:rPr>
              <mc:AlternateContent>
                <mc:Choice Requires="wps">
                  <w:drawing>
                    <wp:anchor distT="0" distB="0" distL="114300" distR="114300" simplePos="0" relativeHeight="251686912" behindDoc="0" locked="0" layoutInCell="1" allowOverlap="1">
                      <wp:simplePos x="0" y="0"/>
                      <wp:positionH relativeFrom="column">
                        <wp:posOffset>1145540</wp:posOffset>
                      </wp:positionH>
                      <wp:positionV relativeFrom="paragraph">
                        <wp:posOffset>80010</wp:posOffset>
                      </wp:positionV>
                      <wp:extent cx="813435" cy="280670"/>
                      <wp:effectExtent l="4445" t="5080" r="20320" b="19050"/>
                      <wp:wrapNone/>
                      <wp:docPr id="33" name="文本框 33"/>
                      <wp:cNvGraphicFramePr/>
                      <a:graphic xmlns:a="http://schemas.openxmlformats.org/drawingml/2006/main">
                        <a:graphicData uri="http://schemas.microsoft.com/office/word/2010/wordprocessingShape">
                          <wps:wsp>
                            <wps:cNvSpPr txBox="1"/>
                            <wps:spPr>
                              <a:xfrm>
                                <a:off x="0" y="0"/>
                                <a:ext cx="81343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包装出库</w:t>
                                  </w:r>
                                </w:p>
                              </w:txbxContent>
                            </wps:txbx>
                            <wps:bodyPr upright="1"/>
                          </wps:wsp>
                        </a:graphicData>
                      </a:graphic>
                    </wp:anchor>
                  </w:drawing>
                </mc:Choice>
                <mc:Fallback>
                  <w:pict>
                    <v:shape id="_x0000_s1026" o:spid="_x0000_s1026" o:spt="202" type="#_x0000_t202" style="position:absolute;left:0pt;margin-left:90.2pt;margin-top:6.3pt;height:22.1pt;width:64.05pt;z-index:251686912;mso-width-relative:page;mso-height-relative:page;" fillcolor="#FFFFFF" filled="t" stroked="t" coordsize="21600,21600" o:gfxdata="UEsDBAoAAAAAAIdO4kAAAAAAAAAAAAAAAAAEAAAAZHJzL1BLAwQUAAAACACHTuJAu1jne9gAAAAJ&#10;AQAADwAAAGRycy9kb3ducmV2LnhtbE2Py07DMBBF90j8gzVIbBC1+womxOkCCQS7UqqydWM3ibDH&#10;wXbT8vcMK9jN1RzdOVOtzt6x0cbUB1QwnQhgFptgemwVbN+fbiWwlDUa7QJaBd82waq+vKh0acIJ&#10;3+y4yS2jEkylVtDlPJScp6azXqdJGCzS7hCi15libLmJ+kTl3vGZEAX3uke60OnBPna2+dwcvQK5&#10;eBk/0ut8vWuKg7vPN3fj81dU6vpqKh6AZXvOfzD86pM61OS0D0c0iTnKUiwIpWFWACNgLuQS2F7B&#10;spDA64r//6D+AVBLAwQUAAAACACHTuJAvIz8Jw0CAAA3BAAADgAAAGRycy9lMm9Eb2MueG1srVNN&#10;rtMwEN4jcQfLe5q05T1K1PRJUMoGAdKDA7i2k1jynzxuk14AbsCKDXvO1XMwdvr6fmDRBVk44/H4&#10;m/m+GS9vBqPJXgZQztZ0OikpkZY7oWxb069fNi8WlEBkVjDtrKzpQQK9WT1/tux9JWeuc1rIQBDE&#10;QtX7mnYx+qoogHfSMJg4Ly0eNi4YFnEb2kIE1iO60cWsLK+L3gXhg+MSAL3r8ZCeEMMlgK5pFJdr&#10;x3dG2jiiBqlZRErQKQ90lattGsnjp6YBGYmuKTKNecUkaG/TWqyWrGoD853ipxLYJSU84WSYspj0&#10;DLVmkZFdUH9BGcWDA9fECXemGIlkRZDFtHyizW3HvMxcUGrwZ9Hh/8Hyj/vPgShR0/mcEssMdvz4&#10;4/vx5+/jr28EfShQ76HCuFuPkXF44wYcmzs/oDPxHppg0h8ZETxHeQ9neeUQCUfnYjp/Ob+ihOPR&#10;bFFev8ryF/eXfYD4XjpDklHTgN3LorL9B4hYCIbehaRc4LQSG6V13oR2+1YHsmfY6U3+Uo145VGY&#10;tqSv6eurWaqD4fg2ODZoGo8SgG1zvkc34CFwmb9/AafC1gy6sYCMkMJYZVSUIVudZOKdFSQePKps&#10;8XXRVIyRghIt8TEmK0dGpvQlkchOWySZOjR2Illx2A4Ik8ytEwfs2s4H1XYoae5bDsd5yuqcZj8N&#10;7MN9Br1/76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1jne9gAAAAJAQAADwAAAAAAAAABACAA&#10;AAAiAAAAZHJzL2Rvd25yZXYueG1sUEsBAhQAFAAAAAgAh07iQLyM/CcNAgAANwQAAA4AAAAAAAAA&#10;AQAgAAAAJwEAAGRycy9lMm9Eb2MueG1sUEsFBgAAAAAGAAYAWQEAAKYFA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包装出库</w:t>
                            </w:r>
                          </w:p>
                        </w:txbxContent>
                      </v:textbox>
                    </v:shape>
                  </w:pict>
                </mc:Fallback>
              </mc:AlternateContent>
            </w:r>
            <w:r>
              <w:rPr>
                <w:kern w:val="0"/>
                <w:sz w:val="24"/>
                <w:u w:val="single"/>
              </w:rPr>
              <mc:AlternateContent>
                <mc:Choice Requires="wps">
                  <w:drawing>
                    <wp:anchor distT="0" distB="0" distL="114300" distR="114300" simplePos="0" relativeHeight="251685888" behindDoc="0" locked="0" layoutInCell="1" allowOverlap="1">
                      <wp:simplePos x="0" y="0"/>
                      <wp:positionH relativeFrom="column">
                        <wp:posOffset>2326005</wp:posOffset>
                      </wp:positionH>
                      <wp:positionV relativeFrom="paragraph">
                        <wp:posOffset>75565</wp:posOffset>
                      </wp:positionV>
                      <wp:extent cx="549275" cy="280670"/>
                      <wp:effectExtent l="4445" t="4445" r="17780" b="19685"/>
                      <wp:wrapNone/>
                      <wp:docPr id="32" name="文本框 32"/>
                      <wp:cNvGraphicFramePr/>
                      <a:graphic xmlns:a="http://schemas.openxmlformats.org/drawingml/2006/main">
                        <a:graphicData uri="http://schemas.microsoft.com/office/word/2010/wordprocessingShape">
                          <wps:wsp>
                            <wps:cNvSpPr txBox="1"/>
                            <wps:spPr>
                              <a:xfrm>
                                <a:off x="0" y="0"/>
                                <a:ext cx="5492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组装</w:t>
                                  </w:r>
                                </w:p>
                              </w:txbxContent>
                            </wps:txbx>
                            <wps:bodyPr upright="1"/>
                          </wps:wsp>
                        </a:graphicData>
                      </a:graphic>
                    </wp:anchor>
                  </w:drawing>
                </mc:Choice>
                <mc:Fallback>
                  <w:pict>
                    <v:shape id="_x0000_s1026" o:spid="_x0000_s1026" o:spt="202" type="#_x0000_t202" style="position:absolute;left:0pt;margin-left:183.15pt;margin-top:5.95pt;height:22.1pt;width:43.25pt;z-index:251685888;mso-width-relative:page;mso-height-relative:page;" fillcolor="#FFFFFF" filled="t" stroked="t" coordsize="21600,21600" o:gfxdata="UEsDBAoAAAAAAIdO4kAAAAAAAAAAAAAAAAAEAAAAZHJzL1BLAwQUAAAACACHTuJALwPDedgAAAAJ&#10;AQAADwAAAGRycy9kb3ducmV2LnhtbE2PwU7DMBBE70j8g7VIXBB10rSmDXF6QALBDQqCqxtvkwh7&#10;HWI3LX/PcoLjap5m31Sbk3diwjH2gTTkswwEUhNsT62Gt9f76xWImAxZ4wKhhm+MsKnPzypT2nCk&#10;F5y2qRVcQrE0GrqUhlLK2HToTZyFAYmzfRi9SXyOrbSjOXK5d3KeZUp60xN/6MyAdx02n9uD17Ba&#10;PE4f8al4fm/U3q3T1c308DVqfXmRZ7cgEp7SHwy/+qwONTvtwoFsFE5DoVTBKAf5GgQDi+Wct+w0&#10;LFUOsq7k/wX1D1BLAwQUAAAACACHTuJA1OZY/A4CAAA3BAAADgAAAGRycy9lMm9Eb2MueG1srVNL&#10;jhMxEN0jcQfLe9I9DZlPK52RIIQNAqRhDuDY7m5L/snlpDsXgBuwYsOec+UcU3YymR+LLOiFu1wu&#10;v6r3qjy7Ho0mGxlAOdvQs0lJibTcCWW7ht5+X765pAQis4JpZ2VDtxLo9fz1q9nga1m53mkhA0EQ&#10;C/XgG9rH6OuiAN5Lw2DivLR42LpgWMRt6AoR2IDoRhdVWZ4XgwvCB8clAHoX+0N6QAynALq2VVwu&#10;HF8baeMeNUjNIlKCXnmg81xt20oev7YtyEh0Q5FpzCsmQXuV1mI+Y3UXmO8VP5TATinhGSfDlMWk&#10;R6gFi4ysg3oBZRQPDlwbJ9yZYk8kK4Iszspn2tz0zMvMBaUGfxQd/h8s/7L5FogSDX1bUWKZwY7v&#10;fv3c/f67+/ODoA8FGjzUGHfjMTKO792IY3PvB3Qm3mMbTPojI4LnKO/2KK8cI+HonL67qi6mlHA8&#10;qi7L84ssf/Fw2QeIn6QzJBkNDdi9LCrbfIaIhWDofUjKBU4rsVRa503oVh90IBuGnV7mL9WIV56E&#10;aUuGhl5Nq1QHw/FtcWzQNB4lANvlfE9uwGPgMn//Ak6FLRj0+wIyQgpjtVFRhmz1komPVpC49aiy&#10;xddFUzFGCkq0xMeYrBwZmdKnRCI7bZFk6tC+E8mK42pEmGSunNhi19Y+qK5HSXPfcjjOU1bnMPtp&#10;YB/vM+jDe5/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8Dw3nYAAAACQEAAA8AAAAAAAAAAQAg&#10;AAAAIgAAAGRycy9kb3ducmV2LnhtbFBLAQIUABQAAAAIAIdO4kDU5lj8DgIAADcEAAAOAAAAAAAA&#10;AAEAIAAAACcBAABkcnMvZTJvRG9jLnhtbFBLBQYAAAAABgAGAFkBAACnBQ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组装</w:t>
                            </w:r>
                          </w:p>
                        </w:txbxContent>
                      </v:textbox>
                    </v:shape>
                  </w:pict>
                </mc:Fallback>
              </mc:AlternateContent>
            </w:r>
            <w:r>
              <w:rPr>
                <w:kern w:val="0"/>
                <w:sz w:val="24"/>
                <w:u w:val="single"/>
              </w:rPr>
              <mc:AlternateContent>
                <mc:Choice Requires="wps">
                  <w:drawing>
                    <wp:anchor distT="0" distB="0" distL="114300" distR="114300" simplePos="0" relativeHeight="251683840" behindDoc="0" locked="0" layoutInCell="1" allowOverlap="1">
                      <wp:simplePos x="0" y="0"/>
                      <wp:positionH relativeFrom="column">
                        <wp:posOffset>4469130</wp:posOffset>
                      </wp:positionH>
                      <wp:positionV relativeFrom="paragraph">
                        <wp:posOffset>50800</wp:posOffset>
                      </wp:positionV>
                      <wp:extent cx="661670" cy="280670"/>
                      <wp:effectExtent l="4445" t="4445" r="19685" b="19685"/>
                      <wp:wrapNone/>
                      <wp:docPr id="29" name="文本框 29"/>
                      <wp:cNvGraphicFramePr/>
                      <a:graphic xmlns:a="http://schemas.openxmlformats.org/drawingml/2006/main">
                        <a:graphicData uri="http://schemas.microsoft.com/office/word/2010/wordprocessingShape">
                          <wps:wsp>
                            <wps:cNvSpPr txBox="1"/>
                            <wps:spPr>
                              <a:xfrm>
                                <a:off x="0" y="0"/>
                                <a:ext cx="66167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color w:val="FF0000"/>
                                      <w:sz w:val="21"/>
                                      <w:szCs w:val="21"/>
                                      <w:lang w:val="en-US"/>
                                    </w:rPr>
                                  </w:pPr>
                                  <w:r>
                                    <w:rPr>
                                      <w:rFonts w:hint="eastAsia"/>
                                      <w:color w:val="FF0000"/>
                                      <w:sz w:val="21"/>
                                      <w:szCs w:val="21"/>
                                      <w:lang w:val="en-US" w:eastAsia="zh-CN"/>
                                    </w:rPr>
                                    <w:t>喷油漆</w:t>
                                  </w:r>
                                </w:p>
                              </w:txbxContent>
                            </wps:txbx>
                            <wps:bodyPr upright="1"/>
                          </wps:wsp>
                        </a:graphicData>
                      </a:graphic>
                    </wp:anchor>
                  </w:drawing>
                </mc:Choice>
                <mc:Fallback>
                  <w:pict>
                    <v:shape id="_x0000_s1026" o:spid="_x0000_s1026" o:spt="202" type="#_x0000_t202" style="position:absolute;left:0pt;margin-left:351.9pt;margin-top:4pt;height:22.1pt;width:52.1pt;z-index:251683840;mso-width-relative:page;mso-height-relative:page;" fillcolor="#FFFFFF" filled="t" stroked="t" coordsize="21600,21600" o:gfxdata="UEsDBAoAAAAAAIdO4kAAAAAAAAAAAAAAAAAEAAAAZHJzL1BLAwQUAAAACACHTuJAQow7MdcAAAAI&#10;AQAADwAAAGRycy9kb3ducmV2LnhtbE2PwU7DMAyG70i8Q2QkLogl62ArpekOSCC4jTGNa9Z4bUXj&#10;lCTrxtvjneBm67c+f3+5PLlejBhi50nDdKJAINXedtRo2Hw83+YgYjJkTe8JNfxghGV1eVGawvoj&#10;veO4To1gCMXCaGhTGgopY92iM3HiByTO9j44k3gNjbTBHBnuepkpNZfOdMQfWjPgU4v11/rgNOR3&#10;r+NnfJuttvV83z+km8X48h20vr6aqkcQCU/p7xjO+qwOFTvt/IFsFL2GhZqxemIYV+I8V+dhp+E+&#10;y0BWpfxfoPoFUEsDBBQAAAAIAIdO4kCH9x2nCQIAADcEAAAOAAAAZHJzL2Uyb0RvYy54bWytU82O&#10;0zAQviPxDpbvNGmkLbtR05WglAsCpIUHcG0nseQ/edwmfQF4A05cuPNcfQ7GTrf7A4ceyMEZz3z+&#10;PPPNeHk7Gk32MoBytqHzWUmJtNwJZbuGfv2yeXVNCURmBdPOyoYeJNDb1csXy8HXsnK900IGgiQW&#10;6sE3tI/R10UBvJeGwcx5aTHYumBYxG3oChHYgOxGF1VZLorBBeGD4xIAvespSE+M4RJC17aKy7Xj&#10;OyNtnFiD1CxiSdArD3SVs21byeOntgUZiW4oVhrzipegvU1rsVqyugvM94qfUmCXpPCsJsOUxUvP&#10;VGsWGdkF9ReVUTw4cG2ccWeKqZCsCFYxL59pc9czL3MtKDX4s+jw/2j5x/3nQJRoaHVDiWUGO378&#10;8f348/fx1zeCPhRo8FAj7s4jMo5v3Ihjc+8HdKa6xzaY9MeKCMZR3sNZXjlGwtG5WMwXrzHCMVRd&#10;l8lG9uLhsA8Q30tnSDIaGrB7WVS2/wBxgt5D0l3gtBIbpXXehG77VgeyZ9jpTf5O7E9g2pKhoTdX&#10;1RXmwXB8WxwbNI1HCcB2+b4nJ+AxcZm/fxGnxNYM+imBzJBgrDYqypCtXjLxzgoSDx5Vtvi6aErG&#10;SEGJlvgYk5WRkSl9CRK10xYlTB2aOpGsOG5HpEnm1okDdm3ng+p6lDT3LcNxnrL2p9lPA/t4n0kf&#10;3vv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MOzHXAAAACAEAAA8AAAAAAAAAAQAgAAAAIgAA&#10;AGRycy9kb3ducmV2LnhtbFBLAQIUABQAAAAIAIdO4kCH9x2nCQIAADcEAAAOAAAAAAAAAAEAIAAA&#10;ACYBAABkcnMvZTJvRG9jLnhtbFBLBQYAAAAABgAGAFkBAAChBQAAAAA=&#10;">
                      <v:fill on="t" focussize="0,0"/>
                      <v:stroke color="#000000" joinstyle="miter"/>
                      <v:imagedata o:title=""/>
                      <o:lock v:ext="edit" aspectratio="f"/>
                      <v:textbox>
                        <w:txbxContent>
                          <w:p>
                            <w:pPr>
                              <w:rPr>
                                <w:rFonts w:hint="default"/>
                                <w:color w:val="FF0000"/>
                                <w:sz w:val="21"/>
                                <w:szCs w:val="21"/>
                                <w:lang w:val="en-US"/>
                              </w:rPr>
                            </w:pPr>
                            <w:r>
                              <w:rPr>
                                <w:rFonts w:hint="eastAsia"/>
                                <w:color w:val="FF0000"/>
                                <w:sz w:val="21"/>
                                <w:szCs w:val="21"/>
                                <w:lang w:val="en-US" w:eastAsia="zh-CN"/>
                              </w:rPr>
                              <w:t>喷油漆</w:t>
                            </w:r>
                          </w:p>
                        </w:txbxContent>
                      </v:textbox>
                    </v:shape>
                  </w:pict>
                </mc:Fallback>
              </mc:AlternateConten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p>
          <w:p>
            <w:pPr>
              <w:adjustRightInd w:val="0"/>
              <w:snapToGrid w:val="0"/>
              <w:spacing w:line="360" w:lineRule="auto"/>
              <w:jc w:val="center"/>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图2-</w:t>
            </w:r>
            <w:r>
              <w:rPr>
                <w:rFonts w:hint="default" w:ascii="Times New Roman" w:hAnsi="Times New Roman" w:cs="Times New Roman"/>
                <w:b/>
                <w:bCs/>
                <w:sz w:val="24"/>
                <w:szCs w:val="24"/>
                <w:u w:val="single"/>
                <w:lang w:val="en-US" w:eastAsia="zh-CN"/>
              </w:rPr>
              <w:t>1</w:t>
            </w:r>
            <w:r>
              <w:rPr>
                <w:rFonts w:hint="default" w:ascii="Times New Roman" w:hAnsi="Times New Roman" w:cs="Times New Roman"/>
                <w:b/>
                <w:bCs/>
                <w:sz w:val="24"/>
                <w:szCs w:val="24"/>
                <w:u w:val="single"/>
                <w:lang w:val="en-US"/>
              </w:rPr>
              <w:t>项目营运期工艺流程图</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u w:val="single"/>
              </w:rPr>
              <w:t>废气:G</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u w:val="single"/>
              </w:rPr>
              <w:t>固废:S</w:t>
            </w:r>
          </w:p>
          <w:p>
            <w:pPr>
              <w:pStyle w:val="23"/>
              <w:spacing w:beforeLines="0"/>
              <w:ind w:left="44" w:leftChars="20" w:right="44" w:rightChars="20" w:firstLine="42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噪声:N</w:t>
            </w:r>
          </w:p>
          <w:p>
            <w:pPr>
              <w:pStyle w:val="23"/>
              <w:spacing w:beforeLines="0"/>
              <w:ind w:left="44" w:leftChars="20" w:right="44" w:rightChars="20" w:firstLine="42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废水:W</w:t>
            </w:r>
          </w:p>
          <w:p>
            <w:pPr>
              <w:pStyle w:val="23"/>
              <w:spacing w:before="120"/>
              <w:ind w:left="44" w:leftChars="20" w:right="44" w:rightChars="20" w:firstLine="422"/>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主要工艺流程简述：</w:t>
            </w:r>
          </w:p>
          <w:p>
            <w:pPr>
              <w:pStyle w:val="23"/>
              <w:spacing w:beforeLines="0"/>
              <w:ind w:left="44" w:leftChars="20" w:right="44" w:rightChars="20" w:firstLine="420"/>
              <w:jc w:val="both"/>
              <w:rPr>
                <w:rFonts w:hint="eastAsia"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rPr>
              <w:t>裁型</w:t>
            </w:r>
            <w:r>
              <w:rPr>
                <w:rFonts w:hint="eastAsia"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EVA塑胶海绵、布卷通过裁型机裁出</w:t>
            </w:r>
            <w:r>
              <w:rPr>
                <w:rFonts w:hint="eastAsia" w:ascii="Times New Roman" w:hAnsi="Times New Roman" w:eastAsia="宋体" w:cs="Times New Roman"/>
                <w:sz w:val="24"/>
                <w:szCs w:val="24"/>
                <w:u w:val="single"/>
                <w:lang w:val="en-US" w:eastAsia="zh-CN"/>
              </w:rPr>
              <w:t>工艺品需要</w:t>
            </w:r>
            <w:r>
              <w:rPr>
                <w:rFonts w:hint="default" w:ascii="Times New Roman" w:hAnsi="Times New Roman" w:eastAsia="宋体" w:cs="Times New Roman"/>
                <w:sz w:val="24"/>
                <w:szCs w:val="24"/>
                <w:u w:val="single"/>
              </w:rPr>
              <w:t>的形状，该过程有边角料产生</w:t>
            </w:r>
            <w:r>
              <w:rPr>
                <w:rFonts w:hint="eastAsia" w:ascii="Times New Roman" w:hAnsi="Times New Roman" w:eastAsia="宋体" w:cs="Times New Roman"/>
                <w:sz w:val="24"/>
                <w:szCs w:val="24"/>
                <w:u w:val="single"/>
                <w:lang w:val="en-US" w:eastAsia="zh-CN"/>
              </w:rPr>
              <w:t>；</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冲床：部分工艺品根据订单需求进入冲床进行加工；</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染色：根据订单需求对部分工艺品进行染色；</w:t>
            </w:r>
          </w:p>
          <w:p>
            <w:pPr>
              <w:pStyle w:val="23"/>
              <w:spacing w:beforeLines="0"/>
              <w:ind w:left="44" w:leftChars="20" w:right="44" w:rightChars="20" w:firstLine="42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定型</w:t>
            </w:r>
            <w:r>
              <w:rPr>
                <w:rFonts w:hint="eastAsia"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裁型通过定型机定型，定型过程中为常温，定型过程为简单的物理压制过程，无相关废气的产生;</w:t>
            </w:r>
          </w:p>
          <w:p>
            <w:pPr>
              <w:pStyle w:val="23"/>
              <w:spacing w:beforeLines="0"/>
              <w:ind w:left="44" w:leftChars="20" w:right="44" w:rightChars="20" w:firstLine="420"/>
              <w:jc w:val="both"/>
              <w:rPr>
                <w:rFonts w:hint="eastAsia"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rPr>
              <w:t>射骨</w:t>
            </w:r>
            <w:r>
              <w:rPr>
                <w:rFonts w:hint="eastAsia"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部分定型后的花、叶经过加入塑胶粒的射骨机在180℃下用熔融的塑料射出枝于的形状，该过程有少量有机废气产生</w:t>
            </w:r>
            <w:r>
              <w:rPr>
                <w:rFonts w:hint="eastAsia" w:ascii="Times New Roman" w:hAnsi="Times New Roman" w:eastAsia="宋体" w:cs="Times New Roman"/>
                <w:sz w:val="24"/>
                <w:szCs w:val="24"/>
                <w:u w:val="single"/>
                <w:lang w:val="en-US" w:eastAsia="zh-CN"/>
              </w:rPr>
              <w:t>；</w:t>
            </w:r>
          </w:p>
          <w:p>
            <w:pPr>
              <w:pStyle w:val="23"/>
              <w:spacing w:beforeLines="0"/>
              <w:ind w:left="44" w:leftChars="20" w:right="44" w:rightChars="20" w:firstLine="420"/>
              <w:jc w:val="both"/>
              <w:rPr>
                <w:rFonts w:hint="default" w:ascii="Times New Roman" w:hAnsi="Times New Roman" w:eastAsia="宋体" w:cs="Times New Roman"/>
                <w:sz w:val="24"/>
                <w:szCs w:val="24"/>
                <w:u w:val="single"/>
              </w:rPr>
            </w:pPr>
            <w:r>
              <w:rPr>
                <w:rFonts w:hint="eastAsia" w:ascii="Times New Roman" w:hAnsi="Times New Roman" w:eastAsia="宋体" w:cs="Times New Roman"/>
                <w:sz w:val="24"/>
                <w:szCs w:val="24"/>
                <w:u w:val="single"/>
                <w:lang w:val="en-US" w:eastAsia="zh-CN"/>
              </w:rPr>
              <w:t>上</w:t>
            </w:r>
            <w:r>
              <w:rPr>
                <w:rFonts w:hint="default" w:ascii="Times New Roman" w:hAnsi="Times New Roman" w:eastAsia="宋体" w:cs="Times New Roman"/>
                <w:sz w:val="24"/>
                <w:szCs w:val="24"/>
                <w:u w:val="single"/>
              </w:rPr>
              <w:t>色</w:t>
            </w:r>
            <w:r>
              <w:rPr>
                <w:rFonts w:hint="eastAsia"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项目部分定型后EVA塑胶海绵布卷和部分射骨后的EVA塑胶海绵、布卷通过喷色柜进行喷色，喷色过程中水性聚丙烯脂乳液中的有机溶剂挥发会产生少量的有机废气</w:t>
            </w:r>
            <w:r>
              <w:rPr>
                <w:rFonts w:hint="eastAsia" w:ascii="Times New Roman" w:hAnsi="Times New Roman" w:eastAsia="宋体" w:cs="Times New Roman"/>
                <w:sz w:val="24"/>
                <w:szCs w:val="24"/>
                <w:u w:val="single"/>
                <w:lang w:eastAsia="zh-CN"/>
              </w:rPr>
              <w:t>。</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rPr>
              <w:t>移印：部分</w:t>
            </w:r>
            <w:r>
              <w:rPr>
                <w:rFonts w:hint="eastAsia" w:ascii="Times New Roman" w:hAnsi="Times New Roman" w:eastAsia="宋体" w:cs="Times New Roman"/>
                <w:sz w:val="24"/>
                <w:szCs w:val="24"/>
                <w:u w:val="single"/>
                <w:lang w:val="en-US" w:eastAsia="zh-CN"/>
              </w:rPr>
              <w:t>工艺半成品</w:t>
            </w:r>
            <w:r>
              <w:rPr>
                <w:rFonts w:hint="default" w:ascii="Times New Roman" w:hAnsi="Times New Roman" w:eastAsia="宋体" w:cs="Times New Roman"/>
                <w:sz w:val="24"/>
                <w:szCs w:val="24"/>
                <w:u w:val="single"/>
              </w:rPr>
              <w:t>只需对某一个区域进行上色，此时需要用到移印机对半成品某一个区域</w:t>
            </w:r>
            <w:r>
              <w:rPr>
                <w:rFonts w:hint="default" w:ascii="Times New Roman" w:hAnsi="Times New Roman" w:eastAsia="宋体" w:cs="Times New Roman"/>
                <w:sz w:val="24"/>
                <w:szCs w:val="24"/>
                <w:u w:val="single"/>
                <w:lang w:val="en-US"/>
              </w:rPr>
              <w:t>进行移印上色</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u w:val="single"/>
                <w:lang w:val="en-US"/>
              </w:rPr>
              <w:t>移印是利用显像原理，将要印刷的小部位晒蚀在钢板上，然后在移印机上利用软性胶垫（硅橡胶头）把移印油漆按钢板上的大小转移到被移印的对象上，首先对印版的蚀刻凹陷区域添加移印油漆，然后移印头向滚动的凹版均匀施加压力，使油漆离开移印头而粘附在承印物表面上。</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喷油漆：部分工艺品需要进行喷油漆，</w:t>
            </w:r>
            <w:r>
              <w:rPr>
                <w:rFonts w:hint="default" w:ascii="Times New Roman" w:hAnsi="Times New Roman" w:eastAsia="宋体" w:cs="Times New Roman"/>
                <w:sz w:val="24"/>
                <w:szCs w:val="24"/>
                <w:u w:val="single"/>
                <w:lang w:val="en-US"/>
              </w:rPr>
              <w:t>本项目在厂房内设有一个独立</w:t>
            </w:r>
            <w:r>
              <w:rPr>
                <w:rFonts w:hint="eastAsia" w:ascii="Times New Roman" w:hAnsi="Times New Roman" w:eastAsia="宋体" w:cs="Times New Roman"/>
                <w:sz w:val="24"/>
                <w:szCs w:val="24"/>
                <w:u w:val="single"/>
                <w:lang w:val="en-US" w:eastAsia="zh-CN"/>
              </w:rPr>
              <w:t>密闭</w:t>
            </w:r>
            <w:r>
              <w:rPr>
                <w:rFonts w:hint="default" w:ascii="Times New Roman" w:hAnsi="Times New Roman" w:eastAsia="宋体" w:cs="Times New Roman"/>
                <w:sz w:val="24"/>
                <w:szCs w:val="24"/>
                <w:u w:val="single"/>
                <w:lang w:val="en-US"/>
              </w:rPr>
              <w:t>的喷</w:t>
            </w:r>
            <w:r>
              <w:rPr>
                <w:rFonts w:hint="eastAsia" w:ascii="Times New Roman" w:hAnsi="Times New Roman" w:eastAsia="宋体" w:cs="Times New Roman"/>
                <w:sz w:val="24"/>
                <w:szCs w:val="24"/>
                <w:u w:val="single"/>
                <w:lang w:val="en-US" w:eastAsia="zh-CN"/>
              </w:rPr>
              <w:t>漆房，废气通过活性炭处理后外排。</w:t>
            </w:r>
          </w:p>
          <w:p>
            <w:pPr>
              <w:pStyle w:val="23"/>
              <w:spacing w:beforeLines="0"/>
              <w:ind w:left="44" w:leftChars="20" w:right="44" w:rightChars="20" w:firstLine="420"/>
              <w:jc w:val="both"/>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最后进行组装，再包装出库。</w:t>
            </w:r>
          </w:p>
          <w:p>
            <w:pPr>
              <w:pStyle w:val="23"/>
              <w:spacing w:beforeLines="0"/>
              <w:ind w:left="44" w:leftChars="20" w:right="44" w:rightChars="20" w:firstLine="420"/>
              <w:jc w:val="both"/>
              <w:rPr>
                <w:rFonts w:hint="eastAsia" w:ascii="Times New Roman" w:hAnsi="Times New Roman" w:eastAsia="宋体" w:cs="Times New Roman"/>
                <w:sz w:val="24"/>
                <w:szCs w:val="24"/>
                <w:u w:val="single"/>
                <w:lang w:val="en-US" w:eastAsia="zh-CN"/>
              </w:rPr>
            </w:pPr>
          </w:p>
          <w:p>
            <w:pPr>
              <w:pStyle w:val="23"/>
              <w:spacing w:beforeLines="0"/>
              <w:ind w:left="44" w:leftChars="20" w:right="44" w:rightChars="20" w:firstLine="420"/>
              <w:jc w:val="both"/>
              <w:rPr>
                <w:rFonts w:hint="eastAsia"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rPr>
              <w:t>混料</w:t>
            </w:r>
            <w:r>
              <w:rPr>
                <w:rFonts w:hint="eastAsia"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外购回来的塑胶粒、色粉按比例投加入混料机中进行混合均匀，混料时为密闭状态，混料过程中没有粉尘产生</w:t>
            </w:r>
            <w:r>
              <w:rPr>
                <w:rFonts w:hint="eastAsia" w:ascii="Times New Roman" w:hAnsi="Times New Roman" w:eastAsia="宋体" w:cs="Times New Roman"/>
                <w:sz w:val="24"/>
                <w:szCs w:val="24"/>
                <w:u w:val="single"/>
                <w:lang w:val="en-US" w:eastAsia="zh-CN"/>
              </w:rPr>
              <w:t>；</w:t>
            </w:r>
          </w:p>
          <w:p>
            <w:pPr>
              <w:pStyle w:val="23"/>
              <w:spacing w:beforeLines="0"/>
              <w:ind w:left="44" w:leftChars="20" w:right="44" w:rightChars="20" w:firstLine="42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烘料</w:t>
            </w:r>
            <w:r>
              <w:rPr>
                <w:rFonts w:hint="eastAsia"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项目使用烘干箱对原材料进行烘干，该工序一般在潮湿季节进行，干燥的气候不进行，烘干温度在30℃至50℃。</w:t>
            </w:r>
          </w:p>
          <w:p>
            <w:pPr>
              <w:pStyle w:val="23"/>
              <w:spacing w:beforeLines="0"/>
              <w:ind w:left="44" w:leftChars="20" w:right="44" w:rightChars="20" w:firstLine="420"/>
              <w:jc w:val="both"/>
              <w:rPr>
                <w:rFonts w:hint="eastAsia"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rPr>
              <w:t>注塑成型</w:t>
            </w:r>
            <w:r>
              <w:rPr>
                <w:rFonts w:hint="eastAsia"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塑胶料通过输送管进入注塑机中，在注塑机中加热(温度为160℃~280℃)作用下熔化，然后通过螺旋杆的作用将熔化的塑胶料推入模具中，在加压的作用下，利用水间接冷却成型(不添加任何药剂，循环使用，不外排)，在注塑工序中由于塑胶粒的受热会有少量的有机废气产生</w:t>
            </w:r>
            <w:r>
              <w:rPr>
                <w:rFonts w:hint="eastAsia" w:ascii="Times New Roman" w:hAnsi="Times New Roman" w:eastAsia="宋体" w:cs="Times New Roman"/>
                <w:sz w:val="24"/>
                <w:szCs w:val="24"/>
                <w:u w:val="single"/>
                <w:lang w:val="en-US" w:eastAsia="zh-CN"/>
              </w:rPr>
              <w:t>；</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然后再上色、喷油漆、</w:t>
            </w:r>
            <w:r>
              <w:rPr>
                <w:rFonts w:hint="default" w:ascii="Times New Roman" w:hAnsi="Times New Roman" w:eastAsia="宋体" w:cs="Times New Roman"/>
                <w:sz w:val="24"/>
                <w:szCs w:val="24"/>
                <w:u w:val="single"/>
              </w:rPr>
              <w:t>移印</w:t>
            </w:r>
            <w:r>
              <w:rPr>
                <w:rFonts w:hint="eastAsia" w:ascii="Times New Roman" w:hAnsi="Times New Roman" w:eastAsia="宋体" w:cs="Times New Roman"/>
                <w:sz w:val="24"/>
                <w:szCs w:val="24"/>
                <w:u w:val="single"/>
                <w:lang w:val="en-US" w:eastAsia="zh-CN"/>
              </w:rPr>
              <w:t>后进入组织车间最后包装入库。</w:t>
            </w:r>
          </w:p>
          <w:p>
            <w:pPr>
              <w:pStyle w:val="23"/>
              <w:spacing w:beforeLines="0"/>
              <w:ind w:left="44" w:leftChars="20" w:right="44" w:rightChars="20" w:firstLine="422"/>
              <w:jc w:val="both"/>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u w:val="single"/>
              </w:rPr>
              <w:t>产污环节：</w:t>
            </w:r>
          </w:p>
          <w:p>
            <w:pPr>
              <w:pStyle w:val="23"/>
              <w:spacing w:beforeLines="0"/>
              <w:ind w:left="44" w:leftChars="20" w:right="44" w:rightChars="20" w:firstLine="42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①废气：本项目运营过程中产生的废气污染物主要为</w:t>
            </w:r>
            <w:ins w:id="3" w:author="呼呼" w:date="2023-01-18T10:39:20Z">
              <w:r>
                <w:rPr>
                  <w:rFonts w:hint="eastAsia" w:ascii="Times New Roman" w:hAnsi="Times New Roman" w:eastAsia="宋体" w:cs="Times New Roman"/>
                  <w:sz w:val="24"/>
                  <w:szCs w:val="24"/>
                  <w:u w:val="single"/>
                  <w:lang w:val="en-US" w:eastAsia="zh-CN"/>
                </w:rPr>
                <w:t>染</w:t>
              </w:r>
            </w:ins>
            <w:r>
              <w:rPr>
                <w:rFonts w:hint="eastAsia" w:ascii="Times New Roman" w:hAnsi="Times New Roman" w:eastAsia="宋体" w:cs="Times New Roman"/>
                <w:sz w:val="24"/>
                <w:szCs w:val="24"/>
                <w:u w:val="single"/>
                <w:lang w:val="en-US" w:eastAsia="zh-CN"/>
              </w:rPr>
              <w:t>色</w:t>
            </w:r>
            <w:r>
              <w:rPr>
                <w:rFonts w:hint="default" w:ascii="Times New Roman" w:hAnsi="Times New Roman" w:eastAsia="宋体" w:cs="Times New Roman"/>
                <w:sz w:val="24"/>
                <w:szCs w:val="24"/>
                <w:u w:val="single"/>
                <w:lang w:val="en-US"/>
              </w:rPr>
              <w:t>、移印</w:t>
            </w:r>
            <w:r>
              <w:rPr>
                <w:rFonts w:hint="eastAsia" w:ascii="Times New Roman" w:hAnsi="Times New Roman" w:eastAsia="宋体" w:cs="Times New Roman"/>
                <w:sz w:val="24"/>
                <w:szCs w:val="24"/>
                <w:u w:val="single"/>
                <w:lang w:val="en-US" w:eastAsia="zh-CN"/>
              </w:rPr>
              <w:t>、</w:t>
            </w:r>
            <w:ins w:id="4" w:author="呼呼" w:date="2023-01-18T10:31:17Z">
              <w:r>
                <w:rPr>
                  <w:rFonts w:hint="eastAsia"/>
                  <w:lang w:val="en-US" w:eastAsia="zh-CN"/>
                </w:rPr>
                <w:t>喷漆</w:t>
              </w:r>
            </w:ins>
            <w:r>
              <w:rPr>
                <w:rFonts w:hint="default" w:ascii="Times New Roman" w:hAnsi="Times New Roman" w:eastAsia="宋体" w:cs="Times New Roman"/>
                <w:sz w:val="24"/>
                <w:szCs w:val="24"/>
                <w:u w:val="single"/>
                <w:lang w:val="en-US"/>
              </w:rPr>
              <w:t>产生的有机废气。</w:t>
            </w:r>
          </w:p>
          <w:p>
            <w:pPr>
              <w:pStyle w:val="23"/>
              <w:spacing w:beforeLines="0"/>
              <w:ind w:left="44" w:leftChars="20" w:right="44" w:rightChars="20" w:firstLine="42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②废水：本项目运营过程中产生的废水主要为办公生活废水。</w:t>
            </w:r>
          </w:p>
          <w:p>
            <w:pPr>
              <w:pStyle w:val="23"/>
              <w:spacing w:beforeLines="0"/>
              <w:ind w:left="44" w:leftChars="20" w:right="44" w:rightChars="20" w:firstLine="42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③噪声：</w:t>
            </w:r>
            <w:r>
              <w:rPr>
                <w:rFonts w:hint="default" w:ascii="Times New Roman" w:hAnsi="Times New Roman" w:eastAsia="宋体" w:cs="Times New Roman"/>
                <w:sz w:val="24"/>
                <w:szCs w:val="24"/>
                <w:u w:val="single"/>
                <w:lang w:val="en-US"/>
              </w:rPr>
              <w:t>项目在运行过程中的噪声主要来自于空压机、</w:t>
            </w:r>
            <w:r>
              <w:rPr>
                <w:rFonts w:hint="default" w:ascii="Times New Roman" w:hAnsi="Times New Roman" w:eastAsia="宋体" w:cs="Times New Roman"/>
                <w:sz w:val="24"/>
                <w:szCs w:val="24"/>
                <w:u w:val="single"/>
                <w:lang w:val="en-US" w:eastAsia="zh-CN"/>
              </w:rPr>
              <w:t>射骨机</w:t>
            </w:r>
            <w:r>
              <w:rPr>
                <w:rFonts w:hint="eastAsia" w:ascii="Times New Roman" w:hAnsi="Times New Roman" w:eastAsia="宋体" w:cs="Times New Roman"/>
                <w:sz w:val="24"/>
                <w:szCs w:val="24"/>
                <w:u w:val="single"/>
                <w:lang w:val="en-US" w:eastAsia="zh-CN"/>
              </w:rPr>
              <w:t>、</w:t>
            </w:r>
            <w:r>
              <w:rPr>
                <w:rFonts w:hint="default" w:ascii="Times New Roman" w:hAnsi="Times New Roman" w:eastAsia="宋体" w:cs="Times New Roman"/>
                <w:sz w:val="24"/>
                <w:szCs w:val="24"/>
                <w:u w:val="single"/>
                <w:lang w:val="en-US" w:eastAsia="zh-CN"/>
              </w:rPr>
              <w:t>冲床</w:t>
            </w:r>
            <w:r>
              <w:rPr>
                <w:rFonts w:hint="eastAsia" w:ascii="Times New Roman" w:hAnsi="Times New Roman" w:eastAsia="宋体" w:cs="Times New Roman"/>
                <w:sz w:val="24"/>
                <w:szCs w:val="24"/>
                <w:u w:val="single"/>
                <w:lang w:val="en-US" w:eastAsia="zh-CN"/>
              </w:rPr>
              <w:t>、</w:t>
            </w:r>
            <w:r>
              <w:rPr>
                <w:rFonts w:hint="default" w:ascii="Times New Roman" w:hAnsi="Times New Roman" w:eastAsia="宋体" w:cs="Times New Roman"/>
                <w:sz w:val="24"/>
                <w:szCs w:val="24"/>
                <w:u w:val="single"/>
                <w:lang w:val="en-US"/>
              </w:rPr>
              <w:t>移印机等各类机械设备的运行噪声。</w:t>
            </w:r>
          </w:p>
          <w:p>
            <w:pPr>
              <w:pStyle w:val="23"/>
              <w:spacing w:beforeLines="0"/>
              <w:ind w:left="44" w:leftChars="20" w:right="44" w:rightChars="20" w:firstLine="420"/>
              <w:jc w:val="both"/>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rPr>
              <w:t>④固废：本项目运营过程中产生的污染物主要</w:t>
            </w:r>
            <w:r>
              <w:rPr>
                <w:rFonts w:hint="default" w:ascii="Times New Roman" w:hAnsi="Times New Roman" w:eastAsia="宋体" w:cs="Times New Roman"/>
                <w:sz w:val="24"/>
                <w:szCs w:val="24"/>
                <w:u w:val="single"/>
                <w:lang w:val="en-US"/>
              </w:rPr>
              <w:t>有员工产生的生活垃圾、玩具质检过程产生的残次品、废油漆桶、废润滑油</w:t>
            </w:r>
            <w:r>
              <w:rPr>
                <w:rFonts w:hint="eastAsia" w:ascii="Times New Roman" w:hAnsi="Times New Roman" w:eastAsia="宋体" w:cs="Times New Roman"/>
                <w:sz w:val="24"/>
                <w:szCs w:val="24"/>
                <w:u w:val="single"/>
                <w:lang w:val="en-US" w:eastAsia="zh-CN"/>
              </w:rPr>
              <w:t>、废活性炭</w:t>
            </w:r>
            <w:r>
              <w:rPr>
                <w:rFonts w:hint="default" w:ascii="Times New Roman" w:hAnsi="Times New Roman" w:eastAsia="宋体" w:cs="Times New Roman"/>
                <w:sz w:val="24"/>
                <w:szCs w:val="24"/>
                <w:u w:val="single"/>
                <w:lang w:val="en-US"/>
              </w:rPr>
              <w:t>。</w:t>
            </w:r>
          </w:p>
          <w:p>
            <w:pPr>
              <w:pStyle w:val="23"/>
              <w:spacing w:beforeLines="0"/>
              <w:ind w:left="44" w:leftChars="20" w:right="44" w:rightChars="20" w:firstLine="420"/>
              <w:jc w:val="both"/>
              <w:rPr>
                <w:rFonts w:hint="default" w:ascii="Times New Roman" w:hAnsi="Times New Roman" w:eastAsia="宋体" w:cs="Times New Roman"/>
                <w:sz w:val="24"/>
                <w:szCs w:val="24"/>
                <w:lang w:val="en-US"/>
              </w:rPr>
            </w:pPr>
          </w:p>
          <w:p>
            <w:pPr>
              <w:pStyle w:val="23"/>
              <w:spacing w:beforeLines="0"/>
              <w:ind w:right="44" w:rightChars="20" w:firstLine="0" w:firstLineChars="0"/>
              <w:jc w:val="both"/>
              <w:rPr>
                <w:rFonts w:hint="default" w:ascii="Times New Roman" w:hAnsi="Times New Roman" w:cs="Times New Roman"/>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9" w:hRule="atLeast"/>
        </w:trPr>
        <w:tc>
          <w:tcPr>
            <w:tcW w:w="823" w:type="dxa"/>
            <w:tcBorders>
              <w:top w:val="single" w:color="000000" w:sz="4" w:space="0"/>
              <w:right w:val="single" w:color="000000" w:sz="4" w:space="0"/>
            </w:tcBorders>
            <w:noWrap w:val="0"/>
            <w:vAlign w:val="center"/>
          </w:tcPr>
          <w:p>
            <w:pPr>
              <w:pStyle w:val="51"/>
              <w:spacing w:line="242" w:lineRule="auto"/>
              <w:ind w:right="79"/>
              <w:jc w:val="center"/>
              <w:rPr>
                <w:rFonts w:hint="default" w:ascii="Times New Roman" w:hAnsi="Times New Roman" w:cs="Times New Roman"/>
                <w:sz w:val="24"/>
                <w:szCs w:val="24"/>
              </w:rPr>
            </w:pPr>
            <w:r>
              <w:rPr>
                <w:rFonts w:hint="default" w:ascii="Times New Roman" w:hAnsi="Times New Roman" w:cs="Times New Roman"/>
                <w:sz w:val="24"/>
                <w:szCs w:val="24"/>
              </w:rPr>
              <w:t>与项目有关的原有环境污染问题</w:t>
            </w:r>
          </w:p>
        </w:tc>
        <w:tc>
          <w:tcPr>
            <w:tcW w:w="8161" w:type="dxa"/>
            <w:tcBorders>
              <w:top w:val="single" w:color="000000" w:sz="4" w:space="0"/>
              <w:left w:val="single" w:color="000000" w:sz="4" w:space="0"/>
            </w:tcBorders>
            <w:noWrap w:val="0"/>
            <w:vAlign w:val="top"/>
          </w:tcPr>
          <w:p>
            <w:pPr>
              <w:adjustRightInd w:val="0"/>
              <w:snapToGrid w:val="0"/>
              <w:spacing w:line="360" w:lineRule="auto"/>
              <w:ind w:left="44" w:leftChars="20" w:right="44" w:rightChars="20" w:firstLine="556"/>
              <w:jc w:val="both"/>
              <w:rPr>
                <w:rFonts w:hint="default" w:ascii="Times New Roman" w:hAnsi="Times New Roman" w:eastAsia="宋体" w:cs="Times New Roman"/>
                <w:sz w:val="24"/>
                <w:szCs w:val="24"/>
                <w:lang w:val="en-US" w:eastAsia="zh-CN" w:bidi="zh-CN"/>
              </w:rPr>
            </w:pPr>
            <w:r>
              <w:rPr>
                <w:rFonts w:hint="default" w:ascii="Times New Roman" w:hAnsi="Times New Roman" w:eastAsia="宋体" w:cs="Times New Roman"/>
                <w:sz w:val="24"/>
                <w:szCs w:val="24"/>
                <w:lang w:val="en-US" w:eastAsia="zh-CN" w:bidi="zh-CN"/>
              </w:rPr>
              <w:t>本项目属于新建项目，租赁产</w:t>
            </w:r>
            <w:r>
              <w:rPr>
                <w:rFonts w:hint="default" w:ascii="Times New Roman" w:hAnsi="Times New Roman" w:eastAsia="宋体" w:cs="Times New Roman"/>
                <w:sz w:val="24"/>
                <w:szCs w:val="24"/>
                <w:lang w:val="zh-CN" w:eastAsia="zh-CN" w:bidi="zh-CN"/>
              </w:rPr>
              <w:t>业园现有</w:t>
            </w:r>
            <w:r>
              <w:rPr>
                <w:rFonts w:hint="default" w:ascii="Times New Roman" w:hAnsi="Times New Roman" w:eastAsia="宋体" w:cs="Times New Roman"/>
                <w:sz w:val="24"/>
                <w:szCs w:val="24"/>
                <w:lang w:val="en-US" w:eastAsia="zh-CN" w:bidi="zh-CN"/>
              </w:rPr>
              <w:t>空置厂房，无</w:t>
            </w:r>
            <w:r>
              <w:rPr>
                <w:rFonts w:hint="default" w:ascii="Times New Roman" w:hAnsi="Times New Roman" w:eastAsia="宋体" w:cs="Times New Roman"/>
                <w:sz w:val="24"/>
                <w:szCs w:val="24"/>
                <w:lang w:val="zh-CN" w:eastAsia="zh-CN" w:bidi="zh-CN"/>
              </w:rPr>
              <w:t>与项目有关的原有环境污染问题</w:t>
            </w:r>
            <w:r>
              <w:rPr>
                <w:rFonts w:hint="default" w:ascii="Times New Roman" w:hAnsi="Times New Roman" w:eastAsia="宋体" w:cs="Times New Roman"/>
                <w:sz w:val="24"/>
                <w:szCs w:val="24"/>
                <w:lang w:val="en-US" w:eastAsia="zh-CN" w:bidi="zh-CN"/>
              </w:rPr>
              <w:t>。</w:t>
            </w:r>
          </w:p>
          <w:p>
            <w:pPr>
              <w:adjustRightInd w:val="0"/>
              <w:snapToGrid w:val="0"/>
              <w:spacing w:line="360" w:lineRule="auto"/>
              <w:ind w:left="44" w:leftChars="20" w:right="44" w:rightChars="20" w:firstLine="556"/>
              <w:jc w:val="both"/>
              <w:rPr>
                <w:rFonts w:hint="default" w:ascii="Times New Roman" w:hAnsi="Times New Roman" w:eastAsia="宋体" w:cs="Times New Roman"/>
                <w:sz w:val="24"/>
                <w:szCs w:val="24"/>
                <w:u w:val="single"/>
                <w:lang w:val="en-US" w:eastAsia="zh-CN" w:bidi="zh-CN"/>
              </w:rPr>
            </w:pPr>
            <w:r>
              <w:rPr>
                <w:rFonts w:hint="default" w:ascii="Times New Roman" w:hAnsi="Times New Roman" w:eastAsia="宋体" w:cs="Times New Roman"/>
                <w:sz w:val="24"/>
                <w:szCs w:val="24"/>
                <w:u w:val="single"/>
                <w:lang w:val="en-US" w:eastAsia="zh-CN" w:bidi="zh-CN"/>
              </w:rPr>
              <w:t>表</w:t>
            </w:r>
            <w:r>
              <w:rPr>
                <w:rFonts w:hint="eastAsia" w:ascii="Times New Roman" w:hAnsi="Times New Roman" w:eastAsia="宋体" w:cs="Times New Roman"/>
                <w:sz w:val="24"/>
                <w:szCs w:val="24"/>
                <w:u w:val="single"/>
                <w:lang w:val="en-US" w:eastAsia="zh-CN" w:bidi="zh-CN"/>
              </w:rPr>
              <w:t>2-4</w:t>
            </w:r>
            <w:r>
              <w:rPr>
                <w:rFonts w:hint="default" w:ascii="Times New Roman" w:hAnsi="Times New Roman" w:eastAsia="宋体" w:cs="Times New Roman"/>
                <w:sz w:val="24"/>
                <w:szCs w:val="24"/>
                <w:u w:val="single"/>
                <w:lang w:val="en-US" w:eastAsia="zh-CN" w:bidi="zh-CN"/>
              </w:rPr>
              <w:tab/>
            </w:r>
            <w:r>
              <w:rPr>
                <w:rFonts w:hint="default" w:ascii="Times New Roman" w:hAnsi="Times New Roman" w:eastAsia="宋体" w:cs="Times New Roman"/>
                <w:sz w:val="24"/>
                <w:szCs w:val="24"/>
                <w:u w:val="single"/>
                <w:lang w:val="en-US" w:eastAsia="zh-CN" w:bidi="zh-CN"/>
              </w:rPr>
              <w:t>双牌工业集中区现有企业主要排污情况一览表</w:t>
            </w:r>
          </w:p>
          <w:tbl>
            <w:tblPr>
              <w:tblStyle w:val="25"/>
              <w:tblW w:w="79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2265"/>
              <w:gridCol w:w="1609"/>
              <w:gridCol w:w="1709"/>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25" w:type="dxa"/>
                  <w:vMerge w:val="restart"/>
                  <w:noWrap w:val="0"/>
                  <w:vAlign w:val="center"/>
                </w:tcPr>
                <w:p>
                  <w:pPr>
                    <w:spacing w:line="240" w:lineRule="auto"/>
                    <w:jc w:val="center"/>
                    <w:rPr>
                      <w:rFonts w:hint="default" w:ascii="Times New Roman" w:hAnsi="Times New Roman" w:eastAsia="宋体" w:cs="Times New Roman"/>
                      <w:bCs/>
                      <w:sz w:val="21"/>
                      <w:szCs w:val="21"/>
                      <w:u w:val="single"/>
                    </w:rPr>
                  </w:pPr>
                </w:p>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序号</w:t>
                  </w:r>
                </w:p>
              </w:tc>
              <w:tc>
                <w:tcPr>
                  <w:tcW w:w="2265" w:type="dxa"/>
                  <w:vMerge w:val="restart"/>
                  <w:noWrap w:val="0"/>
                  <w:vAlign w:val="center"/>
                </w:tcPr>
                <w:p>
                  <w:pPr>
                    <w:spacing w:line="240" w:lineRule="auto"/>
                    <w:jc w:val="center"/>
                    <w:rPr>
                      <w:rFonts w:hint="default" w:ascii="Times New Roman" w:hAnsi="Times New Roman" w:eastAsia="宋体" w:cs="Times New Roman"/>
                      <w:bCs/>
                      <w:sz w:val="21"/>
                      <w:szCs w:val="21"/>
                      <w:u w:val="single"/>
                    </w:rPr>
                  </w:pPr>
                </w:p>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企业名称</w:t>
                  </w:r>
                </w:p>
              </w:tc>
              <w:tc>
                <w:tcPr>
                  <w:tcW w:w="4788" w:type="dxa"/>
                  <w:gridSpan w:val="3"/>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特征污染物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25" w:type="dxa"/>
                  <w:vMerge w:val="continue"/>
                  <w:tcBorders>
                    <w:top w:val="nil"/>
                  </w:tcBorders>
                  <w:noWrap w:val="0"/>
                  <w:vAlign w:val="center"/>
                </w:tcPr>
                <w:p>
                  <w:pPr>
                    <w:spacing w:line="240" w:lineRule="auto"/>
                    <w:jc w:val="center"/>
                    <w:rPr>
                      <w:rFonts w:hint="default" w:ascii="Times New Roman" w:hAnsi="Times New Roman" w:eastAsia="宋体" w:cs="Times New Roman"/>
                      <w:bCs/>
                      <w:sz w:val="21"/>
                      <w:szCs w:val="21"/>
                      <w:u w:val="single"/>
                    </w:rPr>
                  </w:pPr>
                </w:p>
              </w:tc>
              <w:tc>
                <w:tcPr>
                  <w:tcW w:w="2265" w:type="dxa"/>
                  <w:vMerge w:val="continue"/>
                  <w:tcBorders>
                    <w:top w:val="nil"/>
                  </w:tcBorders>
                  <w:noWrap w:val="0"/>
                  <w:vAlign w:val="center"/>
                </w:tcPr>
                <w:p>
                  <w:pPr>
                    <w:spacing w:line="240" w:lineRule="auto"/>
                    <w:jc w:val="center"/>
                    <w:rPr>
                      <w:rFonts w:hint="default" w:ascii="Times New Roman" w:hAnsi="Times New Roman" w:eastAsia="宋体" w:cs="Times New Roman"/>
                      <w:bCs/>
                      <w:sz w:val="21"/>
                      <w:szCs w:val="21"/>
                      <w:u w:val="single"/>
                    </w:rPr>
                  </w:pPr>
                </w:p>
              </w:tc>
              <w:tc>
                <w:tcPr>
                  <w:tcW w:w="16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CODcr（mg/l）</w:t>
                  </w:r>
                </w:p>
              </w:tc>
              <w:tc>
                <w:tcPr>
                  <w:tcW w:w="17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BOD</w:t>
                  </w:r>
                  <w:r>
                    <w:rPr>
                      <w:rFonts w:hint="default" w:ascii="Times New Roman" w:hAnsi="Times New Roman" w:eastAsia="宋体" w:cs="Times New Roman"/>
                      <w:bCs/>
                      <w:sz w:val="21"/>
                      <w:szCs w:val="21"/>
                      <w:u w:val="single"/>
                      <w:vertAlign w:val="subscript"/>
                    </w:rPr>
                    <w:t>5</w:t>
                  </w:r>
                  <w:r>
                    <w:rPr>
                      <w:rFonts w:hint="default" w:ascii="Times New Roman" w:hAnsi="Times New Roman" w:eastAsia="宋体" w:cs="Times New Roman"/>
                      <w:bCs/>
                      <w:sz w:val="21"/>
                      <w:szCs w:val="21"/>
                      <w:u w:val="single"/>
                    </w:rPr>
                    <w:t>（mg/l）</w:t>
                  </w:r>
                </w:p>
              </w:tc>
              <w:tc>
                <w:tcPr>
                  <w:tcW w:w="1470"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其它（mg/l）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25" w:type="dxa"/>
                  <w:noWrap w:val="0"/>
                  <w:vAlign w:val="center"/>
                </w:tcPr>
                <w:p>
                  <w:pPr>
                    <w:spacing w:line="240" w:lineRule="auto"/>
                    <w:jc w:val="center"/>
                    <w:rPr>
                      <w:rFonts w:hint="default" w:ascii="Times New Roman" w:hAnsi="Times New Roman" w:eastAsia="宋体" w:cs="Times New Roman"/>
                      <w:bCs/>
                      <w:sz w:val="21"/>
                      <w:szCs w:val="21"/>
                      <w:u w:val="single"/>
                    </w:rPr>
                  </w:pPr>
                </w:p>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1</w:t>
                  </w:r>
                </w:p>
              </w:tc>
              <w:tc>
                <w:tcPr>
                  <w:tcW w:w="226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湖南南岭民用爆破器材股份有限公司双牌分公司</w:t>
                  </w:r>
                </w:p>
              </w:tc>
              <w:tc>
                <w:tcPr>
                  <w:tcW w:w="1609" w:type="dxa"/>
                  <w:noWrap w:val="0"/>
                  <w:vAlign w:val="center"/>
                </w:tcPr>
                <w:p>
                  <w:pPr>
                    <w:spacing w:line="240" w:lineRule="auto"/>
                    <w:jc w:val="center"/>
                    <w:rPr>
                      <w:rFonts w:hint="default" w:ascii="Times New Roman" w:hAnsi="Times New Roman" w:eastAsia="宋体" w:cs="Times New Roman"/>
                      <w:bCs/>
                      <w:sz w:val="21"/>
                      <w:szCs w:val="21"/>
                      <w:u w:val="single"/>
                    </w:rPr>
                  </w:pPr>
                </w:p>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240.32</w:t>
                  </w:r>
                </w:p>
              </w:tc>
              <w:tc>
                <w:tcPr>
                  <w:tcW w:w="1709" w:type="dxa"/>
                  <w:noWrap w:val="0"/>
                  <w:vAlign w:val="center"/>
                </w:tcPr>
                <w:p>
                  <w:pPr>
                    <w:spacing w:line="240" w:lineRule="auto"/>
                    <w:jc w:val="center"/>
                    <w:rPr>
                      <w:rFonts w:hint="default" w:ascii="Times New Roman" w:hAnsi="Times New Roman" w:eastAsia="宋体" w:cs="Times New Roman"/>
                      <w:bCs/>
                      <w:sz w:val="21"/>
                      <w:szCs w:val="21"/>
                      <w:u w:val="single"/>
                    </w:rPr>
                  </w:pPr>
                </w:p>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180.26</w:t>
                  </w:r>
                </w:p>
              </w:tc>
              <w:tc>
                <w:tcPr>
                  <w:tcW w:w="1470" w:type="dxa"/>
                  <w:noWrap w:val="0"/>
                  <w:vAlign w:val="center"/>
                </w:tcPr>
                <w:p>
                  <w:pPr>
                    <w:spacing w:line="240" w:lineRule="auto"/>
                    <w:jc w:val="center"/>
                    <w:rPr>
                      <w:rFonts w:hint="default" w:ascii="Times New Roman" w:hAnsi="Times New Roman" w:eastAsia="宋体" w:cs="Times New Roman"/>
                      <w:bCs/>
                      <w:sz w:val="21"/>
                      <w:szCs w:val="21"/>
                      <w:u w:val="single"/>
                    </w:rPr>
                  </w:pPr>
                </w:p>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氨氮、SS、石油类等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2</w:t>
                  </w:r>
                </w:p>
              </w:tc>
              <w:tc>
                <w:tcPr>
                  <w:tcW w:w="226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湖南省南岭化工集团有限责任公司</w:t>
                  </w:r>
                </w:p>
              </w:tc>
              <w:tc>
                <w:tcPr>
                  <w:tcW w:w="16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244.11</w:t>
                  </w:r>
                </w:p>
              </w:tc>
              <w:tc>
                <w:tcPr>
                  <w:tcW w:w="17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200.55</w:t>
                  </w:r>
                </w:p>
              </w:tc>
              <w:tc>
                <w:tcPr>
                  <w:tcW w:w="1470"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氨氮、SS、石油类等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3</w:t>
                  </w:r>
                </w:p>
              </w:tc>
              <w:tc>
                <w:tcPr>
                  <w:tcW w:w="226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永州利好科技有限公司</w:t>
                  </w:r>
                </w:p>
              </w:tc>
              <w:tc>
                <w:tcPr>
                  <w:tcW w:w="16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234.48</w:t>
                  </w:r>
                </w:p>
              </w:tc>
              <w:tc>
                <w:tcPr>
                  <w:tcW w:w="17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183.81</w:t>
                  </w:r>
                </w:p>
              </w:tc>
              <w:tc>
                <w:tcPr>
                  <w:tcW w:w="1470"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氨氮、SS、石油类等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4</w:t>
                  </w:r>
                </w:p>
              </w:tc>
              <w:tc>
                <w:tcPr>
                  <w:tcW w:w="226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湖南凯丰活性炭环保科技有限公司</w:t>
                  </w:r>
                </w:p>
              </w:tc>
              <w:tc>
                <w:tcPr>
                  <w:tcW w:w="16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218.51</w:t>
                  </w:r>
                </w:p>
              </w:tc>
              <w:tc>
                <w:tcPr>
                  <w:tcW w:w="17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180.38</w:t>
                  </w:r>
                </w:p>
              </w:tc>
              <w:tc>
                <w:tcPr>
                  <w:tcW w:w="1470"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氨氮、SS、石油类等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5</w:t>
                  </w:r>
                </w:p>
              </w:tc>
              <w:tc>
                <w:tcPr>
                  <w:tcW w:w="226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双牌县金蕊实业有限责任公司</w:t>
                  </w:r>
                </w:p>
              </w:tc>
              <w:tc>
                <w:tcPr>
                  <w:tcW w:w="16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243.01</w:t>
                  </w:r>
                </w:p>
              </w:tc>
              <w:tc>
                <w:tcPr>
                  <w:tcW w:w="17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164.41</w:t>
                  </w:r>
                </w:p>
              </w:tc>
              <w:tc>
                <w:tcPr>
                  <w:tcW w:w="1470"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氨氮、SS、石油类等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2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6</w:t>
                  </w:r>
                </w:p>
              </w:tc>
              <w:tc>
                <w:tcPr>
                  <w:tcW w:w="2265"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金财鞋业</w:t>
                  </w:r>
                </w:p>
              </w:tc>
              <w:tc>
                <w:tcPr>
                  <w:tcW w:w="16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211.09</w:t>
                  </w:r>
                </w:p>
              </w:tc>
              <w:tc>
                <w:tcPr>
                  <w:tcW w:w="1709"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178.87</w:t>
                  </w:r>
                </w:p>
              </w:tc>
              <w:tc>
                <w:tcPr>
                  <w:tcW w:w="1470" w:type="dxa"/>
                  <w:noWrap w:val="0"/>
                  <w:vAlign w:val="center"/>
                </w:tcPr>
                <w:p>
                  <w:pPr>
                    <w:spacing w:line="240" w:lineRule="auto"/>
                    <w:jc w:val="center"/>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u w:val="single"/>
                    </w:rPr>
                    <w:t>氨氮、SS、石油类等</w:t>
                  </w:r>
                </w:p>
              </w:tc>
            </w:tr>
          </w:tbl>
          <w:p>
            <w:pPr>
              <w:pStyle w:val="33"/>
              <w:rPr>
                <w:rFonts w:hint="default" w:ascii="Times New Roman" w:hAnsi="Times New Roman" w:cs="Times New Roman"/>
                <w:sz w:val="24"/>
                <w:szCs w:val="24"/>
                <w:lang w:bidi="zh-CN"/>
              </w:rPr>
            </w:pPr>
          </w:p>
          <w:p>
            <w:pPr>
              <w:rPr>
                <w:rFonts w:hint="default" w:ascii="Times New Roman" w:hAnsi="Times New Roman" w:cs="Times New Roman"/>
                <w:sz w:val="24"/>
                <w:szCs w:val="24"/>
                <w:lang w:val="en-US"/>
              </w:rPr>
            </w:pPr>
          </w:p>
          <w:p>
            <w:pPr>
              <w:pStyle w:val="33"/>
              <w:rPr>
                <w:rFonts w:hint="default" w:ascii="Times New Roman" w:hAnsi="Times New Roman" w:cs="Times New Roman"/>
                <w:sz w:val="24"/>
                <w:szCs w:val="24"/>
                <w:lang w:bidi="zh-CN"/>
              </w:rPr>
            </w:pPr>
          </w:p>
          <w:p>
            <w:pPr>
              <w:rPr>
                <w:rFonts w:hint="default" w:ascii="Times New Roman" w:hAnsi="Times New Roman" w:cs="Times New Roman"/>
                <w:sz w:val="24"/>
                <w:szCs w:val="24"/>
                <w:lang w:val="en-US"/>
              </w:rPr>
            </w:pPr>
          </w:p>
          <w:p>
            <w:pPr>
              <w:pStyle w:val="33"/>
              <w:rPr>
                <w:rFonts w:hint="default" w:ascii="Times New Roman" w:hAnsi="Times New Roman" w:cs="Times New Roman"/>
                <w:sz w:val="24"/>
                <w:szCs w:val="24"/>
                <w:lang w:bidi="zh-CN"/>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tc>
      </w:tr>
    </w:tbl>
    <w:p>
      <w:pPr>
        <w:rPr>
          <w:sz w:val="21"/>
        </w:rPr>
        <w:sectPr>
          <w:pgSz w:w="11910" w:h="16840"/>
          <w:pgMar w:top="1580" w:right="1320" w:bottom="1000" w:left="1340" w:header="0" w:footer="1043" w:gutter="0"/>
          <w:pgNumType w:fmt="numberInDash"/>
          <w:cols w:space="720" w:num="1"/>
        </w:sectPr>
      </w:pPr>
    </w:p>
    <w:p>
      <w:pPr>
        <w:pStyle w:val="11"/>
        <w:spacing w:before="2"/>
        <w:rPr>
          <w:sz w:val="27"/>
        </w:rPr>
      </w:pPr>
    </w:p>
    <w:p>
      <w:pPr>
        <w:pStyle w:val="11"/>
        <w:spacing w:before="58"/>
        <w:ind w:left="635" w:right="654"/>
        <w:jc w:val="center"/>
        <w:outlineLvl w:val="0"/>
        <w:rPr>
          <w:highlight w:val="none"/>
        </w:rPr>
      </w:pPr>
      <w:r>
        <w:rPr>
          <w:highlight w:val="none"/>
        </w:rPr>
        <w:t>三、区域环境质量现状、环境保护目标及评价标准</w:t>
      </w:r>
    </w:p>
    <w:p>
      <w:pPr>
        <w:pStyle w:val="11"/>
        <w:spacing w:before="1"/>
        <w:rPr>
          <w:sz w:val="22"/>
        </w:rPr>
      </w:pPr>
    </w:p>
    <w:tbl>
      <w:tblPr>
        <w:tblStyle w:val="25"/>
        <w:tblW w:w="9008"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9"/>
        <w:gridCol w:w="82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74" w:hRule="atLeast"/>
        </w:trPr>
        <w:tc>
          <w:tcPr>
            <w:tcW w:w="799" w:type="dxa"/>
            <w:tcBorders>
              <w:bottom w:val="single" w:color="000000" w:sz="4" w:space="0"/>
              <w:right w:val="single" w:color="000000" w:sz="4" w:space="0"/>
            </w:tcBorders>
            <w:noWrap w:val="0"/>
            <w:vAlign w:val="center"/>
          </w:tcPr>
          <w:p>
            <w:pPr>
              <w:pStyle w:val="51"/>
              <w:spacing w:before="139" w:line="242" w:lineRule="auto"/>
              <w:ind w:left="189" w:right="67"/>
              <w:jc w:val="center"/>
              <w:rPr>
                <w:rFonts w:hint="default" w:ascii="Times New Roman" w:hAnsi="Times New Roman" w:cs="Times New Roman"/>
                <w:sz w:val="21"/>
                <w:szCs w:val="21"/>
              </w:rPr>
            </w:pPr>
            <w:r>
              <w:rPr>
                <w:rFonts w:hint="default" w:ascii="Times New Roman" w:hAnsi="Times New Roman" w:cs="Times New Roman"/>
                <w:sz w:val="21"/>
                <w:szCs w:val="21"/>
              </w:rPr>
              <w:t>区域环境质量现状</w:t>
            </w:r>
          </w:p>
        </w:tc>
        <w:tc>
          <w:tcPr>
            <w:tcW w:w="8209" w:type="dxa"/>
            <w:tcBorders>
              <w:left w:val="single" w:color="000000" w:sz="4" w:space="0"/>
              <w:bottom w:val="single" w:color="000000" w:sz="4" w:space="0"/>
            </w:tcBorders>
            <w:noWrap w:val="0"/>
            <w:vAlign w:val="top"/>
          </w:tcPr>
          <w:p>
            <w:pPr>
              <w:adjustRightInd w:val="0"/>
              <w:snapToGrid w:val="0"/>
              <w:spacing w:line="360" w:lineRule="auto"/>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rPr>
              <w:t>一、环境空气质量</w:t>
            </w:r>
            <w:r>
              <w:rPr>
                <w:rFonts w:hint="default" w:ascii="Times New Roman" w:hAnsi="Times New Roman" w:cs="Times New Roman"/>
                <w:b/>
                <w:bCs/>
                <w:sz w:val="24"/>
                <w:szCs w:val="24"/>
                <w:u w:val="single"/>
                <w:lang w:val="en-US"/>
              </w:rPr>
              <w:t>现状</w:t>
            </w:r>
          </w:p>
          <w:p>
            <w:pPr>
              <w:pStyle w:val="11"/>
              <w:autoSpaceDE/>
              <w:autoSpaceDN/>
              <w:adjustRightInd w:val="0"/>
              <w:snapToGrid w:val="0"/>
              <w:spacing w:before="0" w:line="360" w:lineRule="auto"/>
              <w:ind w:left="0" w:firstLine="480" w:firstLineChars="200"/>
              <w:jc w:val="both"/>
              <w:rPr>
                <w:rFonts w:hint="default" w:ascii="Times New Roman" w:hAnsi="Times New Roman" w:cs="Times New Roman"/>
                <w:sz w:val="24"/>
                <w:szCs w:val="24"/>
                <w:u w:val="single"/>
              </w:rPr>
            </w:pPr>
            <w:r>
              <w:rPr>
                <w:rFonts w:hint="default" w:ascii="Times New Roman" w:hAnsi="Times New Roman" w:eastAsia="宋体" w:cs="Times New Roman"/>
                <w:sz w:val="24"/>
                <w:szCs w:val="24"/>
                <w:u w:val="single"/>
              </w:rPr>
              <w:t>本次评价采用永州市生态环境局双牌县分局公开发布的20</w:t>
            </w:r>
            <w:r>
              <w:rPr>
                <w:rFonts w:hint="default" w:ascii="Times New Roman" w:hAnsi="Times New Roman" w:eastAsia="宋体" w:cs="Times New Roman"/>
                <w:sz w:val="24"/>
                <w:szCs w:val="24"/>
                <w:u w:val="single"/>
                <w:lang w:val="en-US" w:eastAsia="zh-CN"/>
              </w:rPr>
              <w:t>20</w:t>
            </w:r>
            <w:r>
              <w:rPr>
                <w:rFonts w:hint="default" w:ascii="Times New Roman" w:hAnsi="Times New Roman" w:eastAsia="宋体" w:cs="Times New Roman"/>
                <w:sz w:val="24"/>
                <w:szCs w:val="24"/>
                <w:u w:val="single"/>
              </w:rPr>
              <w:t>年度双牌县环境空气质量监测数据。20</w:t>
            </w:r>
            <w:r>
              <w:rPr>
                <w:rFonts w:hint="default" w:ascii="Times New Roman" w:hAnsi="Times New Roman" w:eastAsia="宋体" w:cs="Times New Roman"/>
                <w:sz w:val="24"/>
                <w:szCs w:val="24"/>
                <w:u w:val="single"/>
                <w:lang w:val="en-US" w:eastAsia="zh-CN"/>
              </w:rPr>
              <w:t>21</w:t>
            </w:r>
            <w:r>
              <w:rPr>
                <w:rFonts w:hint="default" w:ascii="Times New Roman" w:hAnsi="Times New Roman" w:eastAsia="宋体" w:cs="Times New Roman"/>
                <w:sz w:val="24"/>
                <w:szCs w:val="24"/>
                <w:u w:val="single"/>
              </w:rPr>
              <w:t>年永州市生态环境局双牌县分局设空气自动站一个，采用自动连续监测。按照《环境空气质量标准》（GB3095-2012）监测六个基本项目：二氧化硫、可吸入颗粒物（PM</w:t>
            </w:r>
            <w:r>
              <w:rPr>
                <w:rFonts w:hint="default" w:ascii="Times New Roman" w:hAnsi="Times New Roman" w:eastAsia="宋体" w:cs="Times New Roman"/>
                <w:sz w:val="24"/>
                <w:szCs w:val="24"/>
                <w:u w:val="single"/>
                <w:vertAlign w:val="subscript"/>
              </w:rPr>
              <w:t>10</w:t>
            </w:r>
            <w:r>
              <w:rPr>
                <w:rFonts w:hint="default" w:ascii="Times New Roman" w:hAnsi="Times New Roman" w:eastAsia="宋体" w:cs="Times New Roman"/>
                <w:sz w:val="24"/>
                <w:szCs w:val="24"/>
                <w:u w:val="single"/>
              </w:rPr>
              <w:t>）、二氧化氮、细颗粒物（PM</w:t>
            </w:r>
            <w:r>
              <w:rPr>
                <w:rFonts w:hint="default" w:ascii="Times New Roman" w:hAnsi="Times New Roman" w:eastAsia="宋体" w:cs="Times New Roman"/>
                <w:sz w:val="24"/>
                <w:szCs w:val="24"/>
                <w:u w:val="single"/>
                <w:vertAlign w:val="subscript"/>
              </w:rPr>
              <w:t>2.5</w:t>
            </w:r>
            <w:r>
              <w:rPr>
                <w:rFonts w:hint="default" w:ascii="Times New Roman" w:hAnsi="Times New Roman" w:eastAsia="宋体" w:cs="Times New Roman"/>
                <w:sz w:val="24"/>
                <w:szCs w:val="24"/>
                <w:u w:val="single"/>
              </w:rPr>
              <w:t>）、一氧化碳、臭氧。具体情况见下表</w:t>
            </w:r>
            <w:r>
              <w:rPr>
                <w:rFonts w:hint="default" w:ascii="Times New Roman" w:hAnsi="Times New Roman" w:cs="Times New Roman"/>
                <w:sz w:val="24"/>
                <w:szCs w:val="24"/>
                <w:u w:val="single"/>
              </w:rPr>
              <w:t>。</w:t>
            </w:r>
          </w:p>
          <w:p>
            <w:pPr>
              <w:pStyle w:val="11"/>
              <w:spacing w:line="303" w:lineRule="exact"/>
              <w:rPr>
                <w:rFonts w:hint="default" w:ascii="Times New Roman" w:hAnsi="Times New Roman" w:eastAsia="Times New Roman" w:cs="Times New Roman"/>
                <w:sz w:val="16"/>
                <w:u w:val="single"/>
              </w:rPr>
            </w:pPr>
            <w:r>
              <w:rPr>
                <w:rFonts w:hint="default" w:ascii="Times New Roman" w:hAnsi="Times New Roman" w:cs="Times New Roman"/>
                <w:sz w:val="24"/>
                <w:szCs w:val="24"/>
                <w:u w:val="single"/>
              </w:rPr>
              <w:t>表</w:t>
            </w:r>
            <w:r>
              <w:rPr>
                <w:rFonts w:hint="default" w:ascii="Times New Roman" w:hAnsi="Times New Roman" w:eastAsia="宋体" w:cs="Times New Roman"/>
                <w:sz w:val="24"/>
                <w:szCs w:val="24"/>
                <w:u w:val="single"/>
                <w:lang w:val="en-US" w:eastAsia="zh-CN"/>
              </w:rPr>
              <w:t>3-1</w:t>
            </w:r>
            <w:r>
              <w:rPr>
                <w:rFonts w:hint="default" w:ascii="Times New Roman" w:hAnsi="Times New Roman" w:eastAsia="Times New Roman" w:cs="Times New Roman"/>
                <w:sz w:val="24"/>
                <w:szCs w:val="24"/>
                <w:u w:val="single"/>
              </w:rPr>
              <w:t>20</w:t>
            </w:r>
            <w:r>
              <w:rPr>
                <w:rFonts w:hint="default" w:ascii="Times New Roman" w:hAnsi="Times New Roman" w:eastAsia="宋体" w:cs="Times New Roman"/>
                <w:sz w:val="24"/>
                <w:szCs w:val="24"/>
                <w:u w:val="single"/>
                <w:lang w:val="en-US" w:eastAsia="zh-CN"/>
              </w:rPr>
              <w:t>21</w:t>
            </w:r>
            <w:r>
              <w:rPr>
                <w:rFonts w:hint="default" w:ascii="Times New Roman" w:hAnsi="Times New Roman" w:cs="Times New Roman"/>
                <w:sz w:val="24"/>
                <w:szCs w:val="24"/>
                <w:u w:val="single"/>
              </w:rPr>
              <w:t>年双牌县环境空气质量状况</w:t>
            </w:r>
            <w:r>
              <w:rPr>
                <w:rFonts w:hint="default" w:ascii="Times New Roman" w:hAnsi="Times New Roman" w:cs="Times New Roman"/>
                <w:u w:val="single"/>
              </w:rPr>
              <w:t>单位：</w:t>
            </w:r>
            <w:r>
              <w:rPr>
                <w:rFonts w:hint="default" w:ascii="Times New Roman" w:hAnsi="Times New Roman" w:eastAsia="Times New Roman" w:cs="Times New Roman"/>
                <w:u w:val="single"/>
              </w:rPr>
              <w:t>µg/m</w:t>
            </w:r>
            <w:r>
              <w:rPr>
                <w:rFonts w:hint="default" w:ascii="Times New Roman" w:hAnsi="Times New Roman" w:eastAsia="Times New Roman" w:cs="Times New Roman"/>
                <w:position w:val="9"/>
                <w:sz w:val="16"/>
                <w:u w:val="single"/>
              </w:rPr>
              <w:t>3</w:t>
            </w:r>
            <w:r>
              <w:rPr>
                <w:rFonts w:hint="default" w:ascii="Times New Roman" w:hAnsi="Times New Roman" w:cs="Times New Roman"/>
                <w:u w:val="single"/>
              </w:rPr>
              <w:t>，</w:t>
            </w:r>
            <w:r>
              <w:rPr>
                <w:rFonts w:hint="default" w:ascii="Times New Roman" w:hAnsi="Times New Roman" w:eastAsia="Times New Roman" w:cs="Times New Roman"/>
                <w:u w:val="single"/>
              </w:rPr>
              <w:t>CO</w:t>
            </w:r>
            <w:r>
              <w:rPr>
                <w:rFonts w:hint="default" w:ascii="Times New Roman" w:hAnsi="Times New Roman" w:cs="Times New Roman"/>
                <w:u w:val="single"/>
              </w:rPr>
              <w:t>为</w:t>
            </w:r>
            <w:r>
              <w:rPr>
                <w:rFonts w:hint="default" w:ascii="Times New Roman" w:hAnsi="Times New Roman" w:eastAsia="Times New Roman" w:cs="Times New Roman"/>
                <w:u w:val="single"/>
              </w:rPr>
              <w:t>mg/m</w:t>
            </w:r>
            <w:r>
              <w:rPr>
                <w:rFonts w:hint="default" w:ascii="Times New Roman" w:hAnsi="Times New Roman" w:eastAsia="Times New Roman" w:cs="Times New Roman"/>
                <w:position w:val="9"/>
                <w:sz w:val="16"/>
                <w:u w:val="single"/>
              </w:rPr>
              <w:t>3</w:t>
            </w:r>
          </w:p>
          <w:tbl>
            <w:tblPr>
              <w:tblStyle w:val="25"/>
              <w:tblW w:w="81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7"/>
              <w:gridCol w:w="1621"/>
              <w:gridCol w:w="1347"/>
              <w:gridCol w:w="1188"/>
              <w:gridCol w:w="1365"/>
              <w:gridCol w:w="13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污染物</w:t>
                  </w:r>
                </w:p>
              </w:tc>
              <w:tc>
                <w:tcPr>
                  <w:tcW w:w="1621"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年评价指标</w:t>
                  </w:r>
                </w:p>
              </w:tc>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现状浓度</w:t>
                  </w:r>
                </w:p>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（ug/m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w:t>
                  </w:r>
                </w:p>
              </w:tc>
              <w:tc>
                <w:tcPr>
                  <w:tcW w:w="118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标准值</w:t>
                  </w:r>
                </w:p>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（ug/m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w:t>
                  </w:r>
                </w:p>
              </w:tc>
              <w:tc>
                <w:tcPr>
                  <w:tcW w:w="1365"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占标率（%）</w:t>
                  </w:r>
                </w:p>
              </w:tc>
              <w:tc>
                <w:tcPr>
                  <w:tcW w:w="130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SO</w:t>
                  </w:r>
                  <w:r>
                    <w:rPr>
                      <w:rFonts w:hint="default" w:ascii="Times New Roman" w:hAnsi="Times New Roman" w:cs="Times New Roman"/>
                      <w:sz w:val="21"/>
                      <w:szCs w:val="21"/>
                      <w:u w:val="single"/>
                      <w:vertAlign w:val="subscript"/>
                    </w:rPr>
                    <w:t>2</w:t>
                  </w:r>
                </w:p>
              </w:tc>
              <w:tc>
                <w:tcPr>
                  <w:tcW w:w="1621"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年均浓度</w:t>
                  </w:r>
                </w:p>
              </w:tc>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12</w:t>
                  </w:r>
                </w:p>
              </w:tc>
              <w:tc>
                <w:tcPr>
                  <w:tcW w:w="118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60</w:t>
                  </w:r>
                </w:p>
              </w:tc>
              <w:tc>
                <w:tcPr>
                  <w:tcW w:w="1365"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20</w:t>
                  </w:r>
                </w:p>
              </w:tc>
              <w:tc>
                <w:tcPr>
                  <w:tcW w:w="130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NO</w:t>
                  </w:r>
                  <w:r>
                    <w:rPr>
                      <w:rFonts w:hint="default" w:ascii="Times New Roman" w:hAnsi="Times New Roman" w:cs="Times New Roman"/>
                      <w:sz w:val="21"/>
                      <w:szCs w:val="21"/>
                      <w:u w:val="single"/>
                      <w:vertAlign w:val="subscript"/>
                    </w:rPr>
                    <w:t>2</w:t>
                  </w:r>
                </w:p>
              </w:tc>
              <w:tc>
                <w:tcPr>
                  <w:tcW w:w="1621"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年均浓度</w:t>
                  </w:r>
                </w:p>
              </w:tc>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22</w:t>
                  </w:r>
                </w:p>
              </w:tc>
              <w:tc>
                <w:tcPr>
                  <w:tcW w:w="118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40</w:t>
                  </w:r>
                </w:p>
              </w:tc>
              <w:tc>
                <w:tcPr>
                  <w:tcW w:w="1365"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55</w:t>
                  </w:r>
                </w:p>
              </w:tc>
              <w:tc>
                <w:tcPr>
                  <w:tcW w:w="130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PM</w:t>
                  </w:r>
                  <w:r>
                    <w:rPr>
                      <w:rFonts w:hint="default" w:ascii="Times New Roman" w:hAnsi="Times New Roman" w:cs="Times New Roman"/>
                      <w:sz w:val="21"/>
                      <w:szCs w:val="21"/>
                      <w:u w:val="single"/>
                      <w:vertAlign w:val="subscript"/>
                    </w:rPr>
                    <w:t>10</w:t>
                  </w:r>
                </w:p>
              </w:tc>
              <w:tc>
                <w:tcPr>
                  <w:tcW w:w="1621"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年均浓度</w:t>
                  </w:r>
                </w:p>
              </w:tc>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67</w:t>
                  </w:r>
                </w:p>
              </w:tc>
              <w:tc>
                <w:tcPr>
                  <w:tcW w:w="118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70</w:t>
                  </w:r>
                </w:p>
              </w:tc>
              <w:tc>
                <w:tcPr>
                  <w:tcW w:w="1365"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95.7</w:t>
                  </w:r>
                </w:p>
              </w:tc>
              <w:tc>
                <w:tcPr>
                  <w:tcW w:w="130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PM</w:t>
                  </w:r>
                  <w:r>
                    <w:rPr>
                      <w:rFonts w:hint="default" w:ascii="Times New Roman" w:hAnsi="Times New Roman" w:cs="Times New Roman"/>
                      <w:sz w:val="21"/>
                      <w:szCs w:val="21"/>
                      <w:u w:val="single"/>
                      <w:vertAlign w:val="subscript"/>
                    </w:rPr>
                    <w:t>2.5</w:t>
                  </w:r>
                </w:p>
              </w:tc>
              <w:tc>
                <w:tcPr>
                  <w:tcW w:w="1621"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年均浓度</w:t>
                  </w:r>
                </w:p>
              </w:tc>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32</w:t>
                  </w:r>
                </w:p>
              </w:tc>
              <w:tc>
                <w:tcPr>
                  <w:tcW w:w="118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36</w:t>
                  </w:r>
                </w:p>
              </w:tc>
              <w:tc>
                <w:tcPr>
                  <w:tcW w:w="1365"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88.89</w:t>
                  </w:r>
                </w:p>
              </w:tc>
              <w:tc>
                <w:tcPr>
                  <w:tcW w:w="130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CO</w:t>
                  </w:r>
                </w:p>
              </w:tc>
              <w:tc>
                <w:tcPr>
                  <w:tcW w:w="1621"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24小时平均第95百分位数</w:t>
                  </w:r>
                </w:p>
              </w:tc>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1000</w:t>
                  </w:r>
                </w:p>
              </w:tc>
              <w:tc>
                <w:tcPr>
                  <w:tcW w:w="118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4000</w:t>
                  </w:r>
                </w:p>
              </w:tc>
              <w:tc>
                <w:tcPr>
                  <w:tcW w:w="1365"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25</w:t>
                  </w:r>
                </w:p>
              </w:tc>
              <w:tc>
                <w:tcPr>
                  <w:tcW w:w="130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6" w:hRule="atLeast"/>
                <w:jc w:val="center"/>
              </w:trPr>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O</w:t>
                  </w:r>
                  <w:r>
                    <w:rPr>
                      <w:rFonts w:hint="default" w:ascii="Times New Roman" w:hAnsi="Times New Roman" w:cs="Times New Roman"/>
                      <w:sz w:val="21"/>
                      <w:szCs w:val="21"/>
                      <w:u w:val="single"/>
                      <w:vertAlign w:val="subscript"/>
                    </w:rPr>
                    <w:t>3</w:t>
                  </w:r>
                </w:p>
              </w:tc>
              <w:tc>
                <w:tcPr>
                  <w:tcW w:w="1621"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最大8小时</w:t>
                  </w:r>
                </w:p>
              </w:tc>
              <w:tc>
                <w:tcPr>
                  <w:tcW w:w="1347"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129</w:t>
                  </w:r>
                </w:p>
              </w:tc>
              <w:tc>
                <w:tcPr>
                  <w:tcW w:w="118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160</w:t>
                  </w:r>
                </w:p>
              </w:tc>
              <w:tc>
                <w:tcPr>
                  <w:tcW w:w="1365"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80.6</w:t>
                  </w:r>
                </w:p>
              </w:tc>
              <w:tc>
                <w:tcPr>
                  <w:tcW w:w="1308"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bl>
          <w:p>
            <w:pPr>
              <w:adjustRightInd w:val="0"/>
              <w:snapToGrid w:val="0"/>
              <w:spacing w:line="360" w:lineRule="auto"/>
              <w:ind w:right="44" w:rightChars="20" w:firstLine="480" w:firstLineChars="200"/>
              <w:jc w:val="both"/>
              <w:rPr>
                <w:rFonts w:hint="default" w:ascii="Times New Roman" w:hAnsi="Times New Roman" w:cs="Times New Roman"/>
                <w:sz w:val="24"/>
                <w:szCs w:val="24"/>
                <w:u w:val="single"/>
                <w:lang w:val="en-US"/>
              </w:rPr>
            </w:pPr>
            <w:r>
              <w:rPr>
                <w:rFonts w:hint="default" w:ascii="Times New Roman" w:hAnsi="Times New Roman" w:cs="Times New Roman"/>
                <w:sz w:val="24"/>
                <w:szCs w:val="24"/>
                <w:u w:val="single"/>
              </w:rPr>
              <w:t>根据公布内容，结果中PM</w:t>
            </w:r>
            <w:r>
              <w:rPr>
                <w:rFonts w:hint="default" w:ascii="Times New Roman" w:hAnsi="Times New Roman" w:cs="Times New Roman"/>
                <w:sz w:val="24"/>
                <w:szCs w:val="24"/>
                <w:u w:val="single"/>
                <w:vertAlign w:val="subscript"/>
              </w:rPr>
              <w:t>2.5</w:t>
            </w:r>
            <w:r>
              <w:rPr>
                <w:rFonts w:hint="default" w:ascii="Times New Roman" w:hAnsi="Times New Roman" w:cs="Times New Roman"/>
                <w:sz w:val="24"/>
                <w:szCs w:val="24"/>
                <w:u w:val="single"/>
              </w:rPr>
              <w:t>、PM</w:t>
            </w:r>
            <w:r>
              <w:rPr>
                <w:rFonts w:hint="default" w:ascii="Times New Roman" w:hAnsi="Times New Roman" w:cs="Times New Roman"/>
                <w:sz w:val="24"/>
                <w:szCs w:val="24"/>
                <w:u w:val="single"/>
                <w:vertAlign w:val="subscript"/>
              </w:rPr>
              <w:t>10</w:t>
            </w:r>
            <w:r>
              <w:rPr>
                <w:rFonts w:hint="default" w:ascii="Times New Roman" w:hAnsi="Times New Roman" w:cs="Times New Roman"/>
                <w:sz w:val="24"/>
                <w:szCs w:val="24"/>
                <w:u w:val="single"/>
              </w:rPr>
              <w:t>、NO</w:t>
            </w:r>
            <w:r>
              <w:rPr>
                <w:rFonts w:hint="default" w:ascii="Times New Roman" w:hAnsi="Times New Roman" w:cs="Times New Roman"/>
                <w:sz w:val="24"/>
                <w:szCs w:val="24"/>
                <w:u w:val="single"/>
                <w:vertAlign w:val="subscript"/>
              </w:rPr>
              <w:t>2</w:t>
            </w:r>
            <w:r>
              <w:rPr>
                <w:rFonts w:hint="default" w:ascii="Times New Roman" w:hAnsi="Times New Roman" w:cs="Times New Roman"/>
                <w:sz w:val="24"/>
                <w:szCs w:val="24"/>
                <w:u w:val="single"/>
              </w:rPr>
              <w:t>、CO、SO</w:t>
            </w:r>
            <w:r>
              <w:rPr>
                <w:rFonts w:hint="default" w:ascii="Times New Roman" w:hAnsi="Times New Roman" w:cs="Times New Roman"/>
                <w:sz w:val="24"/>
                <w:szCs w:val="24"/>
                <w:u w:val="single"/>
                <w:vertAlign w:val="subscript"/>
              </w:rPr>
              <w:t>2</w:t>
            </w:r>
            <w:r>
              <w:rPr>
                <w:rFonts w:hint="default" w:ascii="Times New Roman" w:hAnsi="Times New Roman" w:cs="Times New Roman"/>
                <w:sz w:val="24"/>
                <w:szCs w:val="24"/>
                <w:u w:val="single"/>
              </w:rPr>
              <w:t>、O</w:t>
            </w:r>
            <w:r>
              <w:rPr>
                <w:rFonts w:hint="default" w:ascii="Times New Roman" w:hAnsi="Times New Roman" w:cs="Times New Roman"/>
                <w:sz w:val="24"/>
                <w:szCs w:val="24"/>
                <w:u w:val="single"/>
                <w:vertAlign w:val="subscript"/>
              </w:rPr>
              <w:t>3</w:t>
            </w:r>
            <w:r>
              <w:rPr>
                <w:rFonts w:hint="default" w:ascii="Times New Roman" w:hAnsi="Times New Roman" w:cs="Times New Roman"/>
                <w:sz w:val="24"/>
                <w:szCs w:val="24"/>
                <w:u w:val="single"/>
              </w:rPr>
              <w:t>均达到《环境空气质量标准》（GB3095-2012）及其修改单二级标准，区域环境质量良好，属于达标区。</w:t>
            </w:r>
          </w:p>
          <w:p>
            <w:pPr>
              <w:adjustRightInd w:val="0"/>
              <w:snapToGrid w:val="0"/>
              <w:spacing w:line="360" w:lineRule="auto"/>
              <w:ind w:left="44" w:leftChars="20" w:right="44" w:rightChars="20"/>
              <w:jc w:val="both"/>
              <w:rPr>
                <w:rFonts w:hint="default" w:ascii="Times New Roman" w:hAnsi="Times New Roman" w:cs="Times New Roman"/>
                <w:b/>
                <w:color w:val="000000"/>
                <w:sz w:val="24"/>
                <w:szCs w:val="24"/>
                <w:u w:val="single"/>
                <w:lang w:val="en-US"/>
              </w:rPr>
            </w:pPr>
            <w:r>
              <w:rPr>
                <w:rFonts w:hint="default" w:ascii="Times New Roman" w:hAnsi="Times New Roman" w:cs="Times New Roman"/>
                <w:b/>
                <w:color w:val="000000"/>
                <w:sz w:val="24"/>
                <w:szCs w:val="24"/>
                <w:u w:val="single"/>
              </w:rPr>
              <w:t>二、水环境质量</w:t>
            </w:r>
            <w:r>
              <w:rPr>
                <w:rFonts w:hint="default" w:ascii="Times New Roman" w:hAnsi="Times New Roman" w:cs="Times New Roman"/>
                <w:b/>
                <w:color w:val="000000"/>
                <w:sz w:val="24"/>
                <w:szCs w:val="24"/>
                <w:u w:val="single"/>
                <w:lang w:val="en-US"/>
              </w:rPr>
              <w:t>现状</w:t>
            </w:r>
          </w:p>
          <w:p>
            <w:pPr>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u w:val="single"/>
              </w:rPr>
              <w:t>1、水源保护区与饮用水取水口现状调查</w:t>
            </w:r>
            <w:r>
              <w:rPr>
                <w:rFonts w:hint="default" w:ascii="Times New Roman" w:hAnsi="Times New Roman" w:cs="Times New Roman"/>
                <w:sz w:val="24"/>
                <w:szCs w:val="24"/>
                <w:u w:val="single"/>
              </w:rPr>
              <w:tab/>
            </w:r>
          </w:p>
          <w:p>
            <w:pPr>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u w:val="single"/>
              </w:rPr>
              <w:t>根据《湖南省主要水系地表水环境功能区划》（DB43/023-2005），</w:t>
            </w:r>
            <w:r>
              <w:rPr>
                <w:rFonts w:hint="default" w:ascii="Times New Roman" w:hAnsi="Times New Roman" w:cs="Times New Roman"/>
                <w:sz w:val="24"/>
                <w:szCs w:val="24"/>
                <w:u w:val="single"/>
                <w:lang w:eastAsia="zh-CN"/>
              </w:rPr>
              <w:t>潇水河</w:t>
            </w:r>
            <w:r>
              <w:rPr>
                <w:rFonts w:hint="default" w:ascii="Times New Roman" w:hAnsi="Times New Roman" w:cs="Times New Roman"/>
                <w:sz w:val="24"/>
                <w:szCs w:val="24"/>
                <w:u w:val="single"/>
              </w:rPr>
              <w:t>评价河段为渔业用水区，执行《地表水环境质量标准》（GB3838-2002）中的III类标准，无饮用水水源保护区和集中饮用水取水口。</w:t>
            </w:r>
          </w:p>
          <w:p>
            <w:pPr>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u w:val="single"/>
              </w:rPr>
              <w:t>评价范围内没有集中式取水口分布，水质保护目标为《地表水环境质量标准》（GB3838-2002）Ⅲ类标准。</w:t>
            </w:r>
          </w:p>
          <w:p>
            <w:pPr>
              <w:spacing w:line="360" w:lineRule="auto"/>
              <w:ind w:firstLine="480" w:firstLineChars="200"/>
              <w:rPr>
                <w:rFonts w:hint="default" w:ascii="Times New Roman" w:hAnsi="Times New Roman" w:cs="Times New Roman"/>
                <w:sz w:val="24"/>
                <w:szCs w:val="24"/>
                <w:u w:val="single"/>
              </w:rPr>
            </w:pPr>
            <w:bookmarkStart w:id="0" w:name="_Toc400480678"/>
            <w:bookmarkStart w:id="1" w:name="_Toc286088891"/>
            <w:r>
              <w:rPr>
                <w:rFonts w:hint="default" w:ascii="Times New Roman" w:hAnsi="Times New Roman" w:cs="Times New Roman"/>
                <w:sz w:val="24"/>
                <w:szCs w:val="24"/>
                <w:u w:val="single"/>
              </w:rPr>
              <w:t>2、地表水环境质量现状调查与评价</w:t>
            </w:r>
            <w:bookmarkEnd w:id="0"/>
            <w:bookmarkEnd w:id="1"/>
          </w:p>
          <w:p>
            <w:pPr>
              <w:widowControl w:val="0"/>
              <w:spacing w:line="360" w:lineRule="auto"/>
              <w:ind w:firstLine="480" w:firstLineChars="200"/>
              <w:jc w:val="both"/>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根据双牌县人民政府发布的《双牌县环境质量监测月报》（2021·12）</w:t>
            </w:r>
          </w:p>
          <w:p>
            <w:pPr>
              <w:widowControl w:val="0"/>
              <w:spacing w:line="360" w:lineRule="auto"/>
              <w:jc w:val="both"/>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按照《地表水和污水监测技术规范》及《地表水环境质量标准》，2021年12月对双牌水库、江村镇渡口和五里牌出境监测断面进行采样监测（每月监测一天），监测项目为61项，获得有效监测数据113个，均达到《地表水环境质量标准》III类标准要求，达标率100%。</w:t>
            </w:r>
          </w:p>
          <w:p>
            <w:pPr>
              <w:spacing w:line="360" w:lineRule="auto"/>
              <w:ind w:left="44" w:leftChars="20" w:right="44" w:rightChars="20"/>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三、声环境质量现状</w:t>
            </w:r>
          </w:p>
          <w:p>
            <w:pPr>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u w:val="single"/>
              </w:rPr>
              <w:t>为了解区域声环境质量，本环评委托湖南中额环保科技有限公司于202</w:t>
            </w:r>
            <w:r>
              <w:rPr>
                <w:rFonts w:hint="default" w:ascii="Times New Roman" w:hAnsi="Times New Roman" w:cs="Times New Roman"/>
                <w:sz w:val="24"/>
                <w:szCs w:val="24"/>
                <w:u w:val="single"/>
                <w:lang w:val="en-US" w:eastAsia="zh-CN"/>
              </w:rPr>
              <w:t>2</w:t>
            </w:r>
            <w:r>
              <w:rPr>
                <w:rFonts w:hint="default" w:ascii="Times New Roman" w:hAnsi="Times New Roman" w:cs="Times New Roman"/>
                <w:sz w:val="24"/>
                <w:szCs w:val="24"/>
                <w:u w:val="single"/>
              </w:rPr>
              <w:t>年</w:t>
            </w:r>
            <w:r>
              <w:rPr>
                <w:rFonts w:hint="default" w:ascii="Times New Roman" w:hAnsi="Times New Roman" w:cs="Times New Roman"/>
                <w:sz w:val="24"/>
                <w:szCs w:val="24"/>
                <w:u w:val="single"/>
                <w:lang w:val="en-US" w:eastAsia="zh-CN"/>
              </w:rPr>
              <w:t>10</w:t>
            </w:r>
            <w:r>
              <w:rPr>
                <w:rFonts w:hint="default" w:ascii="Times New Roman" w:hAnsi="Times New Roman" w:cs="Times New Roman"/>
                <w:sz w:val="24"/>
                <w:szCs w:val="24"/>
                <w:u w:val="single"/>
              </w:rPr>
              <w:t>月</w:t>
            </w:r>
            <w:r>
              <w:rPr>
                <w:rFonts w:hint="default" w:ascii="Times New Roman" w:hAnsi="Times New Roman" w:cs="Times New Roman"/>
                <w:sz w:val="24"/>
                <w:szCs w:val="24"/>
                <w:u w:val="single"/>
                <w:lang w:val="en-US" w:eastAsia="zh-CN"/>
              </w:rPr>
              <w:t>22</w:t>
            </w:r>
            <w:r>
              <w:rPr>
                <w:rFonts w:hint="default" w:ascii="Times New Roman" w:hAnsi="Times New Roman" w:cs="Times New Roman"/>
                <w:sz w:val="24"/>
                <w:szCs w:val="24"/>
                <w:u w:val="single"/>
              </w:rPr>
              <w:t>日对场界四周进行的噪声监测，监测数据见下表：</w:t>
            </w:r>
          </w:p>
          <w:p>
            <w:pPr>
              <w:jc w:val="center"/>
              <w:rPr>
                <w:rFonts w:hint="default" w:ascii="Times New Roman" w:hAnsi="Times New Roman" w:cs="Times New Roman"/>
                <w:sz w:val="21"/>
                <w:szCs w:val="21"/>
                <w:u w:val="single"/>
              </w:rPr>
            </w:pPr>
            <w:r>
              <w:rPr>
                <w:rFonts w:hint="default" w:ascii="Times New Roman" w:hAnsi="Times New Roman" w:cs="Times New Roman"/>
                <w:b/>
                <w:sz w:val="21"/>
                <w:szCs w:val="21"/>
                <w:u w:val="single"/>
              </w:rPr>
              <w:t>表3-</w:t>
            </w:r>
            <w:r>
              <w:rPr>
                <w:rFonts w:hint="eastAsia" w:ascii="Times New Roman" w:hAnsi="Times New Roman" w:cs="Times New Roman"/>
                <w:b/>
                <w:sz w:val="21"/>
                <w:szCs w:val="21"/>
                <w:u w:val="single"/>
                <w:lang w:val="en-US" w:eastAsia="zh-CN"/>
              </w:rPr>
              <w:t>2</w:t>
            </w:r>
            <w:r>
              <w:rPr>
                <w:rFonts w:hint="default" w:ascii="Times New Roman" w:hAnsi="Times New Roman" w:cs="Times New Roman"/>
                <w:b/>
                <w:sz w:val="21"/>
                <w:szCs w:val="21"/>
                <w:u w:val="single"/>
              </w:rPr>
              <w:t>声环境质量监测结果</w:t>
            </w:r>
            <w:r>
              <w:rPr>
                <w:rFonts w:hint="default" w:ascii="Times New Roman" w:hAnsi="Times New Roman" w:cs="Times New Roman"/>
                <w:sz w:val="21"/>
                <w:szCs w:val="21"/>
                <w:u w:val="single"/>
              </w:rPr>
              <w:t>单位：dB(A)</w:t>
            </w:r>
          </w:p>
          <w:tbl>
            <w:tblPr>
              <w:tblStyle w:val="25"/>
              <w:tblW w:w="80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776"/>
              <w:gridCol w:w="29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305" w:type="dxa"/>
                  <w:vMerge w:val="restart"/>
                  <w:tcBorders>
                    <w:tl2br w:val="nil"/>
                    <w:tr2bl w:val="nil"/>
                  </w:tcBorders>
                  <w:noWrap w:val="0"/>
                  <w:vAlign w:val="center"/>
                </w:tcPr>
                <w:p>
                  <w:pPr>
                    <w:widowControl/>
                    <w:spacing w:line="240" w:lineRule="auto"/>
                    <w:jc w:val="center"/>
                    <w:textAlignment w:val="center"/>
                    <w:rPr>
                      <w:rFonts w:hint="default" w:ascii="Times New Roman" w:hAnsi="Times New Roman" w:cs="Times New Roman"/>
                      <w:sz w:val="21"/>
                      <w:szCs w:val="21"/>
                      <w:u w:val="single"/>
                      <w:lang w:eastAsia="zh-CN"/>
                    </w:rPr>
                  </w:pPr>
                  <w:r>
                    <w:rPr>
                      <w:rFonts w:hint="default" w:ascii="Times New Roman" w:hAnsi="Times New Roman" w:cs="Times New Roman"/>
                      <w:sz w:val="21"/>
                      <w:szCs w:val="21"/>
                      <w:u w:val="single"/>
                      <w:lang w:eastAsia="zh-CN"/>
                    </w:rPr>
                    <w:t>检测点位</w:t>
                  </w:r>
                </w:p>
              </w:tc>
              <w:tc>
                <w:tcPr>
                  <w:tcW w:w="5734" w:type="dxa"/>
                  <w:gridSpan w:val="2"/>
                  <w:tcBorders>
                    <w:tl2br w:val="nil"/>
                    <w:tr2bl w:val="nil"/>
                  </w:tcBorders>
                  <w:noWrap w:val="0"/>
                  <w:vAlign w:val="center"/>
                </w:tcPr>
                <w:p>
                  <w:pPr>
                    <w:pStyle w:val="23"/>
                    <w:widowControl/>
                    <w:spacing w:after="0" w:line="240" w:lineRule="auto"/>
                    <w:ind w:firstLine="0" w:firstLineChars="0"/>
                    <w:textAlignment w:val="center"/>
                    <w:rPr>
                      <w:rFonts w:hint="default" w:ascii="Times New Roman" w:hAnsi="Times New Roman" w:cs="Times New Roman"/>
                      <w:sz w:val="21"/>
                      <w:szCs w:val="21"/>
                      <w:u w:val="single"/>
                      <w:lang w:eastAsia="zh-CN"/>
                    </w:rPr>
                  </w:pPr>
                  <w:r>
                    <w:rPr>
                      <w:rFonts w:hint="default" w:ascii="Times New Roman" w:hAnsi="Times New Roman" w:cs="Times New Roman"/>
                      <w:sz w:val="21"/>
                      <w:szCs w:val="21"/>
                      <w:u w:val="single"/>
                      <w:lang w:eastAsia="zh-CN"/>
                    </w:rPr>
                    <w:t>检测结果（单位：dB(A)）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39" w:hRule="atLeast"/>
                <w:jc w:val="center"/>
              </w:trPr>
              <w:tc>
                <w:tcPr>
                  <w:tcW w:w="2305" w:type="dxa"/>
                  <w:vMerge w:val="continue"/>
                  <w:tcBorders>
                    <w:tl2br w:val="nil"/>
                    <w:tr2bl w:val="nil"/>
                  </w:tcBorders>
                  <w:noWrap w:val="0"/>
                  <w:vAlign w:val="center"/>
                </w:tcPr>
                <w:p>
                  <w:pPr>
                    <w:pStyle w:val="24"/>
                    <w:widowControl/>
                    <w:spacing w:after="0" w:line="240" w:lineRule="auto"/>
                    <w:ind w:left="0" w:leftChars="0" w:firstLine="0" w:firstLineChars="0"/>
                    <w:jc w:val="center"/>
                    <w:textAlignment w:val="center"/>
                    <w:rPr>
                      <w:rFonts w:hint="default" w:ascii="Times New Roman" w:hAnsi="Times New Roman" w:cs="Times New Roman"/>
                      <w:sz w:val="21"/>
                      <w:szCs w:val="21"/>
                      <w:u w:val="single"/>
                      <w:lang w:eastAsia="zh-CN"/>
                    </w:rPr>
                  </w:pPr>
                </w:p>
              </w:tc>
              <w:tc>
                <w:tcPr>
                  <w:tcW w:w="5734" w:type="dxa"/>
                  <w:gridSpan w:val="2"/>
                  <w:tcBorders>
                    <w:tl2br w:val="nil"/>
                    <w:tr2bl w:val="nil"/>
                  </w:tcBorders>
                  <w:noWrap w:val="0"/>
                  <w:vAlign w:val="center"/>
                </w:tcPr>
                <w:p>
                  <w:pPr>
                    <w:spacing w:line="240" w:lineRule="auto"/>
                    <w:jc w:val="center"/>
                    <w:rPr>
                      <w:rFonts w:hint="default" w:ascii="Times New Roman" w:hAnsi="Times New Roman" w:cs="Times New Roman"/>
                      <w:color w:val="FF0000"/>
                      <w:sz w:val="21"/>
                      <w:szCs w:val="21"/>
                      <w:u w:val="single"/>
                      <w:lang w:val="en-US" w:eastAsia="zh-CN"/>
                    </w:rPr>
                  </w:pPr>
                  <w:r>
                    <w:rPr>
                      <w:rFonts w:hint="default" w:ascii="Times New Roman" w:hAnsi="Times New Roman" w:cs="Times New Roman"/>
                      <w:sz w:val="21"/>
                      <w:szCs w:val="21"/>
                      <w:u w:val="single"/>
                      <w:lang w:val="en-US" w:eastAsia="zh-CN"/>
                    </w:rPr>
                    <w:t>2022.10.22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05" w:type="dxa"/>
                  <w:vMerge w:val="continue"/>
                  <w:tcBorders>
                    <w:tl2br w:val="nil"/>
                    <w:tr2bl w:val="nil"/>
                  </w:tcBorders>
                  <w:noWrap w:val="0"/>
                  <w:vAlign w:val="center"/>
                </w:tcPr>
                <w:p>
                  <w:pPr>
                    <w:pStyle w:val="24"/>
                    <w:widowControl/>
                    <w:spacing w:after="0" w:line="240" w:lineRule="auto"/>
                    <w:ind w:left="0" w:leftChars="0" w:firstLine="0" w:firstLineChars="0"/>
                    <w:jc w:val="center"/>
                    <w:textAlignment w:val="center"/>
                    <w:rPr>
                      <w:rFonts w:hint="default" w:ascii="Times New Roman" w:hAnsi="Times New Roman" w:cs="Times New Roman"/>
                      <w:sz w:val="21"/>
                      <w:szCs w:val="21"/>
                      <w:u w:val="single"/>
                      <w:lang w:eastAsia="zh-CN"/>
                    </w:rPr>
                  </w:pPr>
                </w:p>
              </w:tc>
              <w:tc>
                <w:tcPr>
                  <w:tcW w:w="2776" w:type="dxa"/>
                  <w:tcBorders>
                    <w:tl2br w:val="nil"/>
                    <w:tr2bl w:val="nil"/>
                  </w:tcBorders>
                  <w:noWrap w:val="0"/>
                  <w:vAlign w:val="center"/>
                </w:tcPr>
                <w:p>
                  <w:pPr>
                    <w:widowControl/>
                    <w:spacing w:line="240" w:lineRule="auto"/>
                    <w:jc w:val="center"/>
                    <w:textAlignment w:val="center"/>
                    <w:rPr>
                      <w:rFonts w:hint="default" w:ascii="Times New Roman" w:hAnsi="Times New Roman" w:cs="Times New Roman"/>
                      <w:sz w:val="21"/>
                      <w:szCs w:val="21"/>
                      <w:u w:val="single"/>
                      <w:lang w:eastAsia="zh-CN"/>
                    </w:rPr>
                  </w:pPr>
                  <w:r>
                    <w:rPr>
                      <w:rFonts w:hint="default" w:ascii="Times New Roman" w:hAnsi="Times New Roman" w:cs="Times New Roman"/>
                      <w:sz w:val="21"/>
                      <w:szCs w:val="21"/>
                      <w:u w:val="single"/>
                      <w:lang w:eastAsia="zh-CN"/>
                    </w:rPr>
                    <w:t>昼间</w:t>
                  </w:r>
                </w:p>
              </w:tc>
              <w:tc>
                <w:tcPr>
                  <w:tcW w:w="2958" w:type="dxa"/>
                  <w:tcBorders>
                    <w:tl2br w:val="nil"/>
                    <w:tr2bl w:val="nil"/>
                  </w:tcBorders>
                  <w:noWrap w:val="0"/>
                  <w:vAlign w:val="center"/>
                </w:tcPr>
                <w:p>
                  <w:pPr>
                    <w:widowControl/>
                    <w:spacing w:line="240" w:lineRule="auto"/>
                    <w:jc w:val="center"/>
                    <w:textAlignment w:val="center"/>
                    <w:rPr>
                      <w:rFonts w:hint="default" w:ascii="Times New Roman" w:hAnsi="Times New Roman" w:cs="Times New Roman"/>
                      <w:sz w:val="21"/>
                      <w:szCs w:val="21"/>
                      <w:u w:val="single"/>
                      <w:lang w:eastAsia="zh-CN"/>
                    </w:rPr>
                  </w:pPr>
                  <w:r>
                    <w:rPr>
                      <w:rFonts w:hint="default" w:ascii="Times New Roman" w:hAnsi="Times New Roman" w:cs="Times New Roman"/>
                      <w:sz w:val="21"/>
                      <w:szCs w:val="21"/>
                      <w:u w:val="single"/>
                      <w:lang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0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N1厂界东1m</w:t>
                  </w:r>
                </w:p>
              </w:tc>
              <w:tc>
                <w:tcPr>
                  <w:tcW w:w="2776"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56.3</w:t>
                  </w:r>
                </w:p>
              </w:tc>
              <w:tc>
                <w:tcPr>
                  <w:tcW w:w="2958"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45.4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0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N2厂界南1m</w:t>
                  </w:r>
                </w:p>
              </w:tc>
              <w:tc>
                <w:tcPr>
                  <w:tcW w:w="2776"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54.8</w:t>
                  </w:r>
                </w:p>
              </w:tc>
              <w:tc>
                <w:tcPr>
                  <w:tcW w:w="2958"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44.7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0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N3厂界西1m</w:t>
                  </w:r>
                </w:p>
              </w:tc>
              <w:tc>
                <w:tcPr>
                  <w:tcW w:w="2776"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54.2</w:t>
                  </w:r>
                </w:p>
              </w:tc>
              <w:tc>
                <w:tcPr>
                  <w:tcW w:w="2958"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43.1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05" w:type="dxa"/>
                  <w:tcBorders>
                    <w:tl2br w:val="nil"/>
                    <w:tr2bl w:val="nil"/>
                  </w:tcBorders>
                  <w:noWrap w:val="0"/>
                  <w:vAlign w:val="center"/>
                </w:tcPr>
                <w:p>
                  <w:pPr>
                    <w:spacing w:line="240" w:lineRule="auto"/>
                    <w:jc w:val="center"/>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N4厂界北1m</w:t>
                  </w:r>
                </w:p>
              </w:tc>
              <w:tc>
                <w:tcPr>
                  <w:tcW w:w="2776" w:type="dxa"/>
                  <w:tcBorders>
                    <w:tl2br w:val="nil"/>
                    <w:tr2bl w:val="nil"/>
                  </w:tcBorders>
                  <w:noWrap w:val="0"/>
                  <w:vAlign w:val="center"/>
                </w:tcPr>
                <w:p>
                  <w:pPr>
                    <w:spacing w:line="240" w:lineRule="auto"/>
                    <w:jc w:val="center"/>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55.6</w:t>
                  </w:r>
                </w:p>
              </w:tc>
              <w:tc>
                <w:tcPr>
                  <w:tcW w:w="2958" w:type="dxa"/>
                  <w:tcBorders>
                    <w:tl2br w:val="nil"/>
                    <w:tr2bl w:val="nil"/>
                  </w:tcBorders>
                  <w:noWrap w:val="0"/>
                  <w:vAlign w:val="center"/>
                </w:tcPr>
                <w:p>
                  <w:pPr>
                    <w:spacing w:line="240" w:lineRule="auto"/>
                    <w:jc w:val="center"/>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45.1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05" w:type="dxa"/>
                  <w:tcBorders>
                    <w:tl2br w:val="nil"/>
                    <w:tr2bl w:val="nil"/>
                  </w:tcBorders>
                  <w:noWrap w:val="0"/>
                  <w:vAlign w:val="center"/>
                </w:tcPr>
                <w:p>
                  <w:pPr>
                    <w:spacing w:line="240" w:lineRule="auto"/>
                    <w:jc w:val="center"/>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《声环境质量标准》GB3096-2008中的3类</w:t>
                  </w:r>
                </w:p>
              </w:tc>
              <w:tc>
                <w:tcPr>
                  <w:tcW w:w="2776" w:type="dxa"/>
                  <w:tcBorders>
                    <w:tl2br w:val="nil"/>
                    <w:tr2bl w:val="nil"/>
                  </w:tcBorders>
                  <w:noWrap w:val="0"/>
                  <w:vAlign w:val="center"/>
                </w:tcPr>
                <w:p>
                  <w:pPr>
                    <w:spacing w:line="240" w:lineRule="auto"/>
                    <w:jc w:val="center"/>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65</w:t>
                  </w:r>
                </w:p>
              </w:tc>
              <w:tc>
                <w:tcPr>
                  <w:tcW w:w="2958" w:type="dxa"/>
                  <w:tcBorders>
                    <w:tl2br w:val="nil"/>
                    <w:tr2bl w:val="nil"/>
                  </w:tcBorders>
                  <w:noWrap w:val="0"/>
                  <w:vAlign w:val="center"/>
                </w:tcPr>
                <w:p>
                  <w:pPr>
                    <w:spacing w:line="240" w:lineRule="auto"/>
                    <w:jc w:val="center"/>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55</w:t>
                  </w:r>
                </w:p>
              </w:tc>
            </w:tr>
          </w:tbl>
          <w:p>
            <w:pPr>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u w:val="single"/>
              </w:rPr>
              <w:t>由上表可知，项目厂界四周的昼间、夜间声环境质量现状均达到《声环境质量标准》（GB3096-2008）中的3类标准。</w:t>
            </w:r>
          </w:p>
          <w:p>
            <w:pPr>
              <w:pStyle w:val="54"/>
              <w:spacing w:line="360" w:lineRule="auto"/>
              <w:ind w:right="44" w:rightChars="20" w:firstLine="0" w:firstLineChars="0"/>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四、生态环境现状</w:t>
            </w:r>
          </w:p>
          <w:p>
            <w:pPr>
              <w:pStyle w:val="54"/>
              <w:spacing w:line="360" w:lineRule="auto"/>
              <w:ind w:left="44" w:leftChars="20" w:right="44" w:rightChars="20" w:firstLine="420"/>
              <w:rPr>
                <w:rFonts w:hint="default" w:ascii="Times New Roman" w:hAnsi="Times New Roman" w:cs="Times New Roman"/>
                <w:sz w:val="24"/>
                <w:szCs w:val="24"/>
                <w:u w:val="single"/>
              </w:rPr>
            </w:pPr>
            <w:r>
              <w:rPr>
                <w:rFonts w:hint="default" w:ascii="Times New Roman" w:hAnsi="Times New Roman" w:cs="Times New Roman"/>
                <w:sz w:val="24"/>
                <w:szCs w:val="24"/>
                <w:u w:val="single"/>
              </w:rPr>
              <w:t>根据《建设项目环境影响报告表编制技术指南污染影响类》：“产业园区外建设项目新增用地且用地范围内含有生态环境保护目标时，应进行生态现状调查”。</w:t>
            </w:r>
          </w:p>
          <w:p>
            <w:pPr>
              <w:pStyle w:val="54"/>
              <w:spacing w:line="360" w:lineRule="auto"/>
              <w:ind w:left="44" w:leftChars="20" w:right="44" w:rightChars="20" w:firstLine="420"/>
              <w:rPr>
                <w:rFonts w:hint="default" w:ascii="Times New Roman" w:hAnsi="Times New Roman" w:cs="Times New Roman"/>
                <w:sz w:val="24"/>
                <w:szCs w:val="24"/>
                <w:u w:val="single"/>
              </w:rPr>
            </w:pPr>
            <w:r>
              <w:rPr>
                <w:rFonts w:hint="default" w:ascii="Times New Roman" w:hAnsi="Times New Roman" w:cs="Times New Roman"/>
                <w:sz w:val="24"/>
                <w:szCs w:val="24"/>
                <w:u w:val="single"/>
              </w:rPr>
              <w:t>本项目位于</w:t>
            </w:r>
            <w:r>
              <w:rPr>
                <w:rFonts w:hint="default" w:ascii="Times New Roman" w:hAnsi="Times New Roman" w:cs="Times New Roman"/>
                <w:sz w:val="24"/>
                <w:szCs w:val="24"/>
                <w:u w:val="single"/>
                <w:lang w:val="en-US" w:eastAsia="zh-CN"/>
              </w:rPr>
              <w:t>双牌工业集中区创新创业园6栋</w:t>
            </w:r>
            <w:r>
              <w:rPr>
                <w:rFonts w:hint="default" w:ascii="Times New Roman" w:hAnsi="Times New Roman" w:cs="Times New Roman"/>
                <w:sz w:val="24"/>
                <w:szCs w:val="24"/>
                <w:u w:val="single"/>
              </w:rPr>
              <w:t>，且不属于新增用地，为产业园区已规划好的工业用地区，不需要进行生态现状调查。</w:t>
            </w:r>
          </w:p>
          <w:p>
            <w:pPr>
              <w:pStyle w:val="54"/>
              <w:spacing w:line="360" w:lineRule="auto"/>
              <w:ind w:left="44" w:leftChars="20" w:right="44" w:rightChars="20" w:firstLine="420"/>
              <w:rPr>
                <w:rFonts w:hint="default" w:ascii="Times New Roman" w:hAnsi="Times New Roman" w:cs="Times New Roman"/>
                <w:sz w:val="21"/>
                <w:szCs w:val="21"/>
                <w:u w:val="single"/>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9" w:hRule="atLeast"/>
        </w:trPr>
        <w:tc>
          <w:tcPr>
            <w:tcW w:w="799" w:type="dxa"/>
            <w:tcBorders>
              <w:top w:val="single" w:color="000000" w:sz="4" w:space="0"/>
              <w:bottom w:val="single" w:color="000000" w:sz="4" w:space="0"/>
              <w:right w:val="single" w:color="000000" w:sz="4" w:space="0"/>
            </w:tcBorders>
            <w:noWrap w:val="0"/>
            <w:vAlign w:val="center"/>
          </w:tcPr>
          <w:p>
            <w:pPr>
              <w:pStyle w:val="51"/>
              <w:spacing w:line="242" w:lineRule="auto"/>
              <w:ind w:left="189" w:right="67"/>
              <w:jc w:val="center"/>
              <w:rPr>
                <w:rFonts w:hint="default" w:ascii="Times New Roman" w:hAnsi="Times New Roman" w:cs="Times New Roman"/>
                <w:sz w:val="21"/>
                <w:szCs w:val="21"/>
              </w:rPr>
            </w:pPr>
            <w:r>
              <w:rPr>
                <w:rFonts w:hint="default" w:ascii="Times New Roman" w:hAnsi="Times New Roman" w:cs="Times New Roman"/>
                <w:sz w:val="21"/>
                <w:szCs w:val="21"/>
              </w:rPr>
              <w:t>环境保护目标</w:t>
            </w:r>
          </w:p>
        </w:tc>
        <w:tc>
          <w:tcPr>
            <w:tcW w:w="8209" w:type="dxa"/>
            <w:tcBorders>
              <w:top w:val="single" w:color="000000" w:sz="4" w:space="0"/>
              <w:left w:val="single" w:color="000000" w:sz="4" w:space="0"/>
              <w:bottom w:val="single" w:color="000000" w:sz="4" w:space="0"/>
            </w:tcBorders>
            <w:noWrap w:val="0"/>
            <w:vAlign w:val="top"/>
          </w:tcPr>
          <w:p>
            <w:pPr>
              <w:spacing w:line="360" w:lineRule="auto"/>
              <w:ind w:left="44" w:leftChars="20" w:right="44" w:rightChars="20" w:firstLine="480" w:firstLineChars="200"/>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项目所在地位于</w:t>
            </w:r>
            <w:r>
              <w:rPr>
                <w:rFonts w:hint="default" w:ascii="Times New Roman" w:hAnsi="Times New Roman" w:cs="Times New Roman"/>
                <w:sz w:val="24"/>
                <w:szCs w:val="24"/>
                <w:u w:val="single"/>
                <w:lang w:val="en-US" w:eastAsia="zh-CN"/>
              </w:rPr>
              <w:t>双牌工业集中区创新创业园6栋</w:t>
            </w:r>
            <w:r>
              <w:rPr>
                <w:rFonts w:hint="default" w:ascii="Times New Roman" w:hAnsi="Times New Roman" w:cs="Times New Roman"/>
                <w:bCs/>
                <w:sz w:val="24"/>
                <w:szCs w:val="24"/>
                <w:u w:val="single"/>
              </w:rPr>
              <w:t>内。本项目</w:t>
            </w:r>
            <w:r>
              <w:rPr>
                <w:rFonts w:hint="default" w:ascii="Times New Roman" w:hAnsi="Times New Roman" w:cs="Times New Roman"/>
                <w:sz w:val="24"/>
                <w:szCs w:val="24"/>
                <w:u w:val="single"/>
              </w:rPr>
              <w:t>根据《建设项目环境影响报告表编制技术指南污染影响类》的要求，</w:t>
            </w:r>
            <w:r>
              <w:rPr>
                <w:rFonts w:hint="default" w:ascii="Times New Roman" w:hAnsi="Times New Roman" w:cs="Times New Roman"/>
                <w:bCs/>
                <w:sz w:val="24"/>
                <w:szCs w:val="24"/>
                <w:u w:val="single"/>
              </w:rPr>
              <w:t>主要环境保护目标详见下表3-</w:t>
            </w:r>
            <w:r>
              <w:rPr>
                <w:rFonts w:hint="eastAsia" w:ascii="Times New Roman" w:hAnsi="Times New Roman" w:cs="Times New Roman"/>
                <w:bCs/>
                <w:sz w:val="24"/>
                <w:szCs w:val="24"/>
                <w:u w:val="single"/>
                <w:lang w:val="en-US" w:eastAsia="zh-CN"/>
              </w:rPr>
              <w:t>3</w:t>
            </w:r>
            <w:r>
              <w:rPr>
                <w:rFonts w:hint="default" w:ascii="Times New Roman" w:hAnsi="Times New Roman" w:cs="Times New Roman"/>
                <w:bCs/>
                <w:sz w:val="24"/>
                <w:szCs w:val="24"/>
                <w:u w:val="single"/>
              </w:rPr>
              <w:t>。</w:t>
            </w:r>
          </w:p>
          <w:p>
            <w:pPr>
              <w:adjustRightInd w:val="0"/>
              <w:snapToGrid w:val="0"/>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表3-</w:t>
            </w:r>
            <w:r>
              <w:rPr>
                <w:rFonts w:hint="eastAsia" w:ascii="Times New Roman" w:hAnsi="Times New Roman" w:cs="Times New Roman"/>
                <w:b/>
                <w:sz w:val="24"/>
                <w:szCs w:val="24"/>
                <w:u w:val="single"/>
                <w:lang w:val="en-US" w:eastAsia="zh-CN"/>
              </w:rPr>
              <w:t>3</w:t>
            </w:r>
            <w:r>
              <w:rPr>
                <w:rFonts w:hint="default" w:ascii="Times New Roman" w:hAnsi="Times New Roman" w:cs="Times New Roman"/>
                <w:b/>
                <w:sz w:val="24"/>
                <w:szCs w:val="24"/>
                <w:u w:val="single"/>
              </w:rPr>
              <w:t>项目环境保护目标一览表</w:t>
            </w:r>
          </w:p>
          <w:tbl>
            <w:tblPr>
              <w:tblStyle w:val="25"/>
              <w:tblW w:w="7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79"/>
              <w:gridCol w:w="706"/>
              <w:gridCol w:w="1332"/>
              <w:gridCol w:w="951"/>
              <w:gridCol w:w="128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69" w:type="dxa"/>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环境</w:t>
                  </w:r>
                </w:p>
                <w:p>
                  <w:pPr>
                    <w:pStyle w:val="52"/>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要素</w:t>
                  </w:r>
                </w:p>
              </w:tc>
              <w:tc>
                <w:tcPr>
                  <w:tcW w:w="1279" w:type="dxa"/>
                  <w:noWrap w:val="0"/>
                  <w:vAlign w:val="center"/>
                </w:tcPr>
                <w:p>
                  <w:pPr>
                    <w:pStyle w:val="52"/>
                    <w:rPr>
                      <w:rFonts w:hint="default" w:ascii="Times New Roman" w:hAnsi="Times New Roman" w:cs="Times New Roman"/>
                      <w:color w:val="auto"/>
                      <w:sz w:val="21"/>
                      <w:szCs w:val="21"/>
                      <w:u w:val="single"/>
                      <w:lang w:val="en-US"/>
                    </w:rPr>
                  </w:pPr>
                  <w:r>
                    <w:rPr>
                      <w:rFonts w:hint="default" w:ascii="Times New Roman" w:hAnsi="Times New Roman" w:cs="Times New Roman"/>
                      <w:color w:val="auto"/>
                      <w:sz w:val="21"/>
                      <w:szCs w:val="21"/>
                      <w:u w:val="single"/>
                      <w:lang w:val="en-US"/>
                    </w:rPr>
                    <w:t>保护</w:t>
                  </w:r>
                </w:p>
                <w:p>
                  <w:pPr>
                    <w:pStyle w:val="52"/>
                    <w:rPr>
                      <w:rFonts w:hint="default" w:ascii="Times New Roman" w:hAnsi="Times New Roman" w:cs="Times New Roman"/>
                      <w:color w:val="auto"/>
                      <w:sz w:val="21"/>
                      <w:szCs w:val="21"/>
                      <w:u w:val="single"/>
                      <w:lang w:val="en-US"/>
                    </w:rPr>
                  </w:pPr>
                  <w:r>
                    <w:rPr>
                      <w:rFonts w:hint="default" w:ascii="Times New Roman" w:hAnsi="Times New Roman" w:cs="Times New Roman"/>
                      <w:color w:val="auto"/>
                      <w:sz w:val="21"/>
                      <w:szCs w:val="21"/>
                      <w:u w:val="single"/>
                      <w:lang w:val="en-US"/>
                    </w:rPr>
                    <w:t>目标</w:t>
                  </w:r>
                </w:p>
              </w:tc>
              <w:tc>
                <w:tcPr>
                  <w:tcW w:w="706" w:type="dxa"/>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方位</w:t>
                  </w:r>
                </w:p>
              </w:tc>
              <w:tc>
                <w:tcPr>
                  <w:tcW w:w="1332" w:type="dxa"/>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坐标</w:t>
                  </w:r>
                </w:p>
              </w:tc>
              <w:tc>
                <w:tcPr>
                  <w:tcW w:w="951" w:type="dxa"/>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距离</w:t>
                  </w:r>
                </w:p>
              </w:tc>
              <w:tc>
                <w:tcPr>
                  <w:tcW w:w="1283" w:type="dxa"/>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功能及规模</w:t>
                  </w:r>
                </w:p>
              </w:tc>
              <w:tc>
                <w:tcPr>
                  <w:tcW w:w="1476" w:type="dxa"/>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69" w:type="dxa"/>
                  <w:vMerge w:val="restart"/>
                  <w:noWrap w:val="0"/>
                  <w:vAlign w:val="center"/>
                </w:tcPr>
                <w:p>
                  <w:pPr>
                    <w:pStyle w:val="52"/>
                    <w:rPr>
                      <w:rFonts w:hint="default" w:ascii="Times New Roman" w:hAnsi="Times New Roman" w:eastAsia="宋体" w:cs="Times New Roman"/>
                      <w:color w:val="auto"/>
                      <w:sz w:val="21"/>
                      <w:szCs w:val="21"/>
                      <w:u w:val="single"/>
                      <w:lang w:eastAsia="zh-CN"/>
                    </w:rPr>
                  </w:pPr>
                  <w:r>
                    <w:rPr>
                      <w:rFonts w:hint="default" w:ascii="Times New Roman" w:hAnsi="Times New Roman" w:cs="Times New Roman"/>
                      <w:color w:val="auto"/>
                      <w:sz w:val="21"/>
                      <w:szCs w:val="21"/>
                      <w:u w:val="single"/>
                      <w:lang w:eastAsia="zh-CN"/>
                    </w:rPr>
                    <w:t>大气环境</w:t>
                  </w:r>
                </w:p>
              </w:tc>
              <w:tc>
                <w:tcPr>
                  <w:tcW w:w="1279" w:type="dxa"/>
                  <w:noWrap w:val="0"/>
                  <w:vAlign w:val="center"/>
                </w:tcPr>
                <w:p>
                  <w:pPr>
                    <w:pStyle w:val="52"/>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000000"/>
                      <w:sz w:val="21"/>
                      <w:szCs w:val="21"/>
                      <w:u w:val="single"/>
                      <w:lang w:val="en-US" w:eastAsia="zh-CN"/>
                    </w:rPr>
                    <w:t>佑里</w:t>
                  </w:r>
                  <w:r>
                    <w:rPr>
                      <w:rFonts w:hint="default" w:ascii="Times New Roman" w:hAnsi="Times New Roman" w:cs="Times New Roman"/>
                      <w:color w:val="000000"/>
                      <w:sz w:val="21"/>
                      <w:szCs w:val="21"/>
                      <w:u w:val="single"/>
                      <w:lang w:eastAsia="zh-CN"/>
                    </w:rPr>
                    <w:t>村</w:t>
                  </w:r>
                </w:p>
              </w:tc>
              <w:tc>
                <w:tcPr>
                  <w:tcW w:w="706" w:type="dxa"/>
                  <w:noWrap w:val="0"/>
                  <w:vAlign w:val="center"/>
                </w:tcPr>
                <w:p>
                  <w:pPr>
                    <w:pStyle w:val="52"/>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南、东南</w:t>
                  </w:r>
                </w:p>
              </w:tc>
              <w:tc>
                <w:tcPr>
                  <w:tcW w:w="1332"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E111.6636</w:t>
                  </w:r>
                </w:p>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N26.0301</w:t>
                  </w:r>
                </w:p>
              </w:tc>
              <w:tc>
                <w:tcPr>
                  <w:tcW w:w="951" w:type="dxa"/>
                  <w:noWrap w:val="0"/>
                  <w:vAlign w:val="center"/>
                </w:tcPr>
                <w:p>
                  <w:pPr>
                    <w:pStyle w:val="52"/>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160-490m</w:t>
                  </w:r>
                </w:p>
              </w:tc>
              <w:tc>
                <w:tcPr>
                  <w:tcW w:w="1283" w:type="dxa"/>
                  <w:noWrap w:val="0"/>
                  <w:vAlign w:val="center"/>
                </w:tcPr>
                <w:p>
                  <w:pPr>
                    <w:pStyle w:val="52"/>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auto"/>
                      <w:sz w:val="21"/>
                      <w:szCs w:val="21"/>
                      <w:u w:val="single"/>
                      <w:lang w:eastAsia="zh-CN"/>
                    </w:rPr>
                    <w:t>居民，</w:t>
                  </w:r>
                  <w:r>
                    <w:rPr>
                      <w:rFonts w:hint="default" w:ascii="Times New Roman" w:hAnsi="Times New Roman" w:cs="Times New Roman"/>
                      <w:color w:val="auto"/>
                      <w:sz w:val="21"/>
                      <w:szCs w:val="21"/>
                      <w:u w:val="single"/>
                      <w:lang w:val="en-US" w:eastAsia="zh-CN"/>
                    </w:rPr>
                    <w:t>约30户</w:t>
                  </w:r>
                </w:p>
              </w:tc>
              <w:tc>
                <w:tcPr>
                  <w:tcW w:w="1476" w:type="dxa"/>
                  <w:vMerge w:val="restart"/>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sz w:val="21"/>
                      <w:szCs w:val="21"/>
                      <w:u w:val="single"/>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69" w:type="dxa"/>
                  <w:vMerge w:val="continue"/>
                  <w:noWrap w:val="0"/>
                  <w:vAlign w:val="center"/>
                </w:tcPr>
                <w:p>
                  <w:pPr>
                    <w:pStyle w:val="52"/>
                    <w:rPr>
                      <w:rFonts w:hint="default" w:ascii="Times New Roman" w:hAnsi="Times New Roman" w:cs="Times New Roman"/>
                      <w:color w:val="auto"/>
                      <w:sz w:val="21"/>
                      <w:szCs w:val="21"/>
                      <w:u w:val="single"/>
                      <w:lang w:eastAsia="zh-CN"/>
                    </w:rPr>
                  </w:pPr>
                </w:p>
              </w:tc>
              <w:tc>
                <w:tcPr>
                  <w:tcW w:w="1279" w:type="dxa"/>
                  <w:noWrap w:val="0"/>
                  <w:vAlign w:val="center"/>
                </w:tcPr>
                <w:p>
                  <w:pPr>
                    <w:pStyle w:val="52"/>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佑里上</w:t>
                  </w:r>
                  <w:r>
                    <w:rPr>
                      <w:rFonts w:hint="default" w:ascii="Times New Roman" w:hAnsi="Times New Roman" w:cs="Times New Roman"/>
                      <w:color w:val="000000"/>
                      <w:sz w:val="21"/>
                      <w:szCs w:val="21"/>
                      <w:u w:val="single"/>
                      <w:lang w:eastAsia="zh-CN"/>
                    </w:rPr>
                    <w:t>村</w:t>
                  </w:r>
                </w:p>
              </w:tc>
              <w:tc>
                <w:tcPr>
                  <w:tcW w:w="706"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南</w:t>
                  </w:r>
                </w:p>
              </w:tc>
              <w:tc>
                <w:tcPr>
                  <w:tcW w:w="1332"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E111.6602</w:t>
                  </w:r>
                </w:p>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N26.0268</w:t>
                  </w:r>
                </w:p>
              </w:tc>
              <w:tc>
                <w:tcPr>
                  <w:tcW w:w="951"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450m</w:t>
                  </w:r>
                </w:p>
              </w:tc>
              <w:tc>
                <w:tcPr>
                  <w:tcW w:w="1283" w:type="dxa"/>
                  <w:noWrap w:val="0"/>
                  <w:vAlign w:val="center"/>
                </w:tcPr>
                <w:p>
                  <w:pPr>
                    <w:pStyle w:val="52"/>
                    <w:rPr>
                      <w:rFonts w:hint="default" w:ascii="Times New Roman" w:hAnsi="Times New Roman" w:cs="Times New Roman"/>
                      <w:color w:val="auto"/>
                      <w:sz w:val="21"/>
                      <w:szCs w:val="21"/>
                      <w:u w:val="single"/>
                      <w:lang w:eastAsia="zh-CN"/>
                    </w:rPr>
                  </w:pPr>
                  <w:r>
                    <w:rPr>
                      <w:rFonts w:hint="default" w:ascii="Times New Roman" w:hAnsi="Times New Roman" w:cs="Times New Roman"/>
                      <w:color w:val="auto"/>
                      <w:sz w:val="21"/>
                      <w:szCs w:val="21"/>
                      <w:u w:val="single"/>
                      <w:lang w:eastAsia="zh-CN"/>
                    </w:rPr>
                    <w:t>居民，</w:t>
                  </w:r>
                  <w:r>
                    <w:rPr>
                      <w:rFonts w:hint="default" w:ascii="Times New Roman" w:hAnsi="Times New Roman" w:cs="Times New Roman"/>
                      <w:color w:val="auto"/>
                      <w:sz w:val="21"/>
                      <w:szCs w:val="21"/>
                      <w:u w:val="single"/>
                      <w:lang w:val="en-US" w:eastAsia="zh-CN"/>
                    </w:rPr>
                    <w:t>约6户</w:t>
                  </w:r>
                </w:p>
              </w:tc>
              <w:tc>
                <w:tcPr>
                  <w:tcW w:w="1476" w:type="dxa"/>
                  <w:vMerge w:val="continue"/>
                  <w:noWrap w:val="0"/>
                  <w:vAlign w:val="center"/>
                </w:tcPr>
                <w:p>
                  <w:pPr>
                    <w:pStyle w:val="52"/>
                    <w:rPr>
                      <w:rFonts w:hint="default"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69" w:type="dxa"/>
                  <w:vMerge w:val="continue"/>
                  <w:noWrap w:val="0"/>
                  <w:vAlign w:val="center"/>
                </w:tcPr>
                <w:p>
                  <w:pPr>
                    <w:pStyle w:val="52"/>
                    <w:rPr>
                      <w:rFonts w:hint="default" w:ascii="Times New Roman" w:hAnsi="Times New Roman" w:cs="Times New Roman"/>
                      <w:color w:val="auto"/>
                      <w:sz w:val="21"/>
                      <w:szCs w:val="21"/>
                      <w:u w:val="single"/>
                      <w:lang w:eastAsia="zh-CN"/>
                    </w:rPr>
                  </w:pPr>
                </w:p>
              </w:tc>
              <w:tc>
                <w:tcPr>
                  <w:tcW w:w="1279" w:type="dxa"/>
                  <w:noWrap w:val="0"/>
                  <w:vAlign w:val="center"/>
                </w:tcPr>
                <w:p>
                  <w:pPr>
                    <w:pStyle w:val="52"/>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散户</w:t>
                  </w:r>
                </w:p>
              </w:tc>
              <w:tc>
                <w:tcPr>
                  <w:tcW w:w="706"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西北</w:t>
                  </w:r>
                </w:p>
              </w:tc>
              <w:tc>
                <w:tcPr>
                  <w:tcW w:w="1332"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E111.6593</w:t>
                  </w:r>
                </w:p>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N26.0319</w:t>
                  </w:r>
                </w:p>
              </w:tc>
              <w:tc>
                <w:tcPr>
                  <w:tcW w:w="951"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60m</w:t>
                  </w:r>
                </w:p>
              </w:tc>
              <w:tc>
                <w:tcPr>
                  <w:tcW w:w="1283" w:type="dxa"/>
                  <w:noWrap w:val="0"/>
                  <w:vAlign w:val="center"/>
                </w:tcPr>
                <w:p>
                  <w:pPr>
                    <w:pStyle w:val="52"/>
                    <w:rPr>
                      <w:rFonts w:hint="default" w:ascii="Times New Roman" w:hAnsi="Times New Roman" w:cs="Times New Roman"/>
                      <w:color w:val="auto"/>
                      <w:sz w:val="21"/>
                      <w:szCs w:val="21"/>
                      <w:u w:val="single"/>
                      <w:lang w:eastAsia="zh-CN"/>
                    </w:rPr>
                  </w:pPr>
                  <w:r>
                    <w:rPr>
                      <w:rFonts w:hint="default" w:ascii="Times New Roman" w:hAnsi="Times New Roman" w:cs="Times New Roman"/>
                      <w:color w:val="auto"/>
                      <w:sz w:val="21"/>
                      <w:szCs w:val="21"/>
                      <w:u w:val="single"/>
                      <w:lang w:eastAsia="zh-CN"/>
                    </w:rPr>
                    <w:t>居民，</w:t>
                  </w:r>
                  <w:r>
                    <w:rPr>
                      <w:rFonts w:hint="default" w:ascii="Times New Roman" w:hAnsi="Times New Roman" w:cs="Times New Roman"/>
                      <w:color w:val="auto"/>
                      <w:sz w:val="21"/>
                      <w:szCs w:val="21"/>
                      <w:u w:val="single"/>
                      <w:lang w:val="en-US" w:eastAsia="zh-CN"/>
                    </w:rPr>
                    <w:t>约6户</w:t>
                  </w:r>
                </w:p>
              </w:tc>
              <w:tc>
                <w:tcPr>
                  <w:tcW w:w="1476" w:type="dxa"/>
                  <w:vMerge w:val="continue"/>
                  <w:noWrap w:val="0"/>
                  <w:vAlign w:val="center"/>
                </w:tcPr>
                <w:p>
                  <w:pPr>
                    <w:pStyle w:val="52"/>
                    <w:rPr>
                      <w:rFonts w:hint="default"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69"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水环境</w:t>
                  </w:r>
                </w:p>
              </w:tc>
              <w:tc>
                <w:tcPr>
                  <w:tcW w:w="1279" w:type="dxa"/>
                  <w:noWrap w:val="0"/>
                  <w:vAlign w:val="center"/>
                </w:tcPr>
                <w:p>
                  <w:pPr>
                    <w:pStyle w:val="52"/>
                    <w:rPr>
                      <w:rFonts w:hint="default" w:ascii="Times New Roman" w:hAnsi="Times New Roman"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潇水</w:t>
                  </w:r>
                </w:p>
              </w:tc>
              <w:tc>
                <w:tcPr>
                  <w:tcW w:w="706"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东</w:t>
                  </w:r>
                </w:p>
              </w:tc>
              <w:tc>
                <w:tcPr>
                  <w:tcW w:w="1332"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w:t>
                  </w:r>
                </w:p>
              </w:tc>
              <w:tc>
                <w:tcPr>
                  <w:tcW w:w="951"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2000m</w:t>
                  </w:r>
                </w:p>
              </w:tc>
              <w:tc>
                <w:tcPr>
                  <w:tcW w:w="1283" w:type="dxa"/>
                  <w:noWrap w:val="0"/>
                  <w:vAlign w:val="center"/>
                </w:tcPr>
                <w:p>
                  <w:pPr>
                    <w:pStyle w:val="52"/>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渔业用水</w:t>
                  </w:r>
                </w:p>
              </w:tc>
              <w:tc>
                <w:tcPr>
                  <w:tcW w:w="1476" w:type="dxa"/>
                  <w:noWrap w:val="0"/>
                  <w:vAlign w:val="center"/>
                </w:tcPr>
                <w:p>
                  <w:pPr>
                    <w:pStyle w:val="52"/>
                    <w:rPr>
                      <w:rFonts w:hint="default" w:ascii="Times New Roman" w:hAnsi="Times New Roman" w:eastAsia="宋体" w:cs="Times New Roman"/>
                      <w:sz w:val="21"/>
                      <w:szCs w:val="21"/>
                      <w:u w:val="single"/>
                      <w:lang w:val="en-US" w:eastAsia="zh-CN"/>
                    </w:rPr>
                  </w:pPr>
                  <w:r>
                    <w:rPr>
                      <w:rFonts w:hint="default" w:ascii="Times New Roman" w:hAnsi="Times New Roman" w:cs="Times New Roman"/>
                      <w:color w:val="auto"/>
                      <w:u w:val="single"/>
                    </w:rPr>
                    <w:t>《地表水环境质量标准》（GB3838-2002）</w:t>
                  </w:r>
                  <w:r>
                    <w:rPr>
                      <w:rFonts w:hint="default" w:ascii="Times New Roman" w:hAnsi="Times New Roman" w:cs="Times New Roman"/>
                      <w:color w:val="auto"/>
                      <w:u w:val="single"/>
                      <w:lang w:eastAsia="zh-CN"/>
                    </w:rPr>
                    <w:t>Ⅲ类标</w:t>
                  </w:r>
                  <w:r>
                    <w:rPr>
                      <w:rFonts w:hint="default" w:ascii="Times New Roman" w:hAnsi="Times New Roman" w:cs="Times New Roman"/>
                      <w:color w:val="auto"/>
                      <w:u w:val="single"/>
                      <w:lang w:val="en-US" w:eastAsia="zh-CN"/>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 w:type="dxa"/>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声环境</w:t>
                  </w:r>
                </w:p>
              </w:tc>
              <w:tc>
                <w:tcPr>
                  <w:tcW w:w="7027" w:type="dxa"/>
                  <w:gridSpan w:val="6"/>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bCs/>
                      <w:sz w:val="21"/>
                      <w:szCs w:val="21"/>
                      <w:u w:val="single"/>
                      <w:lang w:val="en-US"/>
                    </w:rPr>
                    <w:t>本项目厂界外50米范围内无声环境保护目标。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69" w:type="dxa"/>
                  <w:noWrap w:val="0"/>
                  <w:vAlign w:val="center"/>
                </w:tcPr>
                <w:p>
                  <w:pPr>
                    <w:pStyle w:val="52"/>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地下水</w:t>
                  </w:r>
                </w:p>
              </w:tc>
              <w:tc>
                <w:tcPr>
                  <w:tcW w:w="7027" w:type="dxa"/>
                  <w:gridSpan w:val="6"/>
                  <w:noWrap w:val="0"/>
                  <w:vAlign w:val="center"/>
                </w:tcPr>
                <w:p>
                  <w:pPr>
                    <w:pStyle w:val="52"/>
                    <w:rPr>
                      <w:rFonts w:hint="default" w:ascii="Times New Roman" w:hAnsi="Times New Roman" w:cs="Times New Roman"/>
                      <w:bCs/>
                      <w:sz w:val="21"/>
                      <w:szCs w:val="21"/>
                      <w:u w:val="single"/>
                      <w:lang w:val="en-US"/>
                    </w:rPr>
                  </w:pPr>
                  <w:r>
                    <w:rPr>
                      <w:rFonts w:hint="default" w:ascii="Times New Roman" w:hAnsi="Times New Roman" w:cs="Times New Roman"/>
                      <w:bCs/>
                      <w:sz w:val="21"/>
                      <w:szCs w:val="21"/>
                      <w:u w:val="single"/>
                      <w:lang w:val="en-US"/>
                    </w:rPr>
                    <w:t>本项目厂界外500米范围内无地下</w:t>
                  </w:r>
                  <w:r>
                    <w:rPr>
                      <w:rFonts w:hint="default" w:ascii="Times New Roman" w:hAnsi="Times New Roman" w:cs="Times New Roman"/>
                      <w:bCs/>
                      <w:sz w:val="21"/>
                      <w:szCs w:val="21"/>
                      <w:u w:val="single"/>
                      <w:lang w:val="en-US"/>
                    </w:rPr>
                    <w:cr/>
                  </w:r>
                  <w:r>
                    <w:rPr>
                      <w:rFonts w:hint="default" w:ascii="Times New Roman" w:hAnsi="Times New Roman" w:cs="Times New Roman"/>
                      <w:bCs/>
                      <w:sz w:val="21"/>
                      <w:szCs w:val="21"/>
                      <w:u w:val="single"/>
                      <w:lang w:val="en-US"/>
                    </w:rPr>
                    <w:t>集中式饮用水水源和热水、矿泉水、温泉等特殊地下水资源</w:t>
                  </w:r>
                </w:p>
              </w:tc>
            </w:tr>
          </w:tbl>
          <w:p>
            <w:pPr>
              <w:pStyle w:val="51"/>
              <w:ind w:right="3967"/>
              <w:jc w:val="both"/>
              <w:rPr>
                <w:rFonts w:hint="default" w:ascii="Times New Roman" w:hAnsi="Times New Roman" w:cs="Times New Roman"/>
                <w:sz w:val="21"/>
                <w:szCs w:val="21"/>
                <w:u w:val="single"/>
              </w:rPr>
            </w:pPr>
          </w:p>
          <w:p>
            <w:pPr>
              <w:pStyle w:val="51"/>
              <w:ind w:right="3967"/>
              <w:jc w:val="both"/>
              <w:rPr>
                <w:rFonts w:hint="default" w:ascii="Times New Roman" w:hAnsi="Times New Roman" w:cs="Times New Roman"/>
                <w:sz w:val="21"/>
                <w:szCs w:val="21"/>
                <w:u w:val="singl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1" w:hRule="atLeast"/>
        </w:trPr>
        <w:tc>
          <w:tcPr>
            <w:tcW w:w="799" w:type="dxa"/>
            <w:tcBorders>
              <w:top w:val="single" w:color="000000" w:sz="4" w:space="0"/>
              <w:bottom w:val="single" w:color="000000" w:sz="4" w:space="0"/>
              <w:right w:val="single" w:color="000000" w:sz="4" w:space="0"/>
            </w:tcBorders>
            <w:noWrap w:val="0"/>
            <w:vAlign w:val="center"/>
          </w:tcPr>
          <w:p>
            <w:pPr>
              <w:pStyle w:val="51"/>
              <w:spacing w:line="242" w:lineRule="auto"/>
              <w:ind w:left="186" w:right="69"/>
              <w:jc w:val="center"/>
              <w:rPr>
                <w:rFonts w:hint="default" w:ascii="Times New Roman" w:hAnsi="Times New Roman" w:cs="Times New Roman"/>
                <w:sz w:val="21"/>
                <w:szCs w:val="21"/>
              </w:rPr>
            </w:pPr>
            <w:r>
              <w:rPr>
                <w:rFonts w:hint="default" w:ascii="Times New Roman" w:hAnsi="Times New Roman" w:cs="Times New Roman"/>
                <w:sz w:val="21"/>
                <w:szCs w:val="21"/>
              </w:rPr>
              <w:t>污染物排放控制标准</w:t>
            </w:r>
          </w:p>
        </w:tc>
        <w:tc>
          <w:tcPr>
            <w:tcW w:w="8209" w:type="dxa"/>
            <w:tcBorders>
              <w:top w:val="single" w:color="000000" w:sz="4" w:space="0"/>
              <w:left w:val="single" w:color="000000" w:sz="4" w:space="0"/>
              <w:bottom w:val="single" w:color="000000" w:sz="4" w:space="0"/>
            </w:tcBorders>
            <w:noWrap w:val="0"/>
            <w:vAlign w:val="top"/>
          </w:tcPr>
          <w:p>
            <w:pPr>
              <w:snapToGrid w:val="0"/>
              <w:spacing w:line="360" w:lineRule="auto"/>
              <w:ind w:left="44" w:leftChars="20" w:right="44" w:rightChars="2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1、废水</w:t>
            </w:r>
            <w:r>
              <w:rPr>
                <w:rFonts w:hint="default" w:ascii="Times New Roman" w:hAnsi="Times New Roman" w:cs="Times New Roman"/>
                <w:bCs/>
                <w:sz w:val="24"/>
                <w:szCs w:val="24"/>
              </w:rPr>
              <w:t>排放标准</w:t>
            </w:r>
          </w:p>
          <w:p>
            <w:pPr>
              <w:snapToGrid w:val="0"/>
              <w:spacing w:line="360" w:lineRule="auto"/>
              <w:ind w:left="44" w:leftChars="20" w:right="44" w:rightChars="2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办公废水经化粪池处理后排入园区管网，废水执行</w:t>
            </w:r>
            <w:r>
              <w:rPr>
                <w:rFonts w:hint="default" w:ascii="Times New Roman" w:hAnsi="Times New Roman" w:cs="Times New Roman"/>
                <w:sz w:val="24"/>
                <w:szCs w:val="24"/>
                <w:lang w:val="en-US"/>
              </w:rPr>
              <w:t>《污水综合排放标准》（GB8978-1996）中三级标准</w:t>
            </w:r>
            <w:r>
              <w:rPr>
                <w:rFonts w:hint="default" w:ascii="Times New Roman" w:hAnsi="Times New Roman" w:cs="Times New Roman"/>
                <w:sz w:val="24"/>
                <w:szCs w:val="24"/>
              </w:rPr>
              <w:t>；</w:t>
            </w:r>
          </w:p>
          <w:p>
            <w:pPr>
              <w:pStyle w:val="33"/>
              <w:jc w:val="center"/>
              <w:rPr>
                <w:rFonts w:hint="default" w:ascii="Times New Roman" w:hAnsi="Times New Roman" w:cs="Times New Roman"/>
                <w:b/>
                <w:bCs/>
                <w:color w:val="auto"/>
                <w:kern w:val="2"/>
                <w:sz w:val="24"/>
                <w:szCs w:val="24"/>
              </w:rPr>
            </w:pPr>
            <w:r>
              <w:rPr>
                <w:rFonts w:hint="default" w:ascii="Times New Roman" w:hAnsi="Times New Roman" w:cs="Times New Roman"/>
                <w:b/>
                <w:bCs/>
                <w:color w:val="auto"/>
                <w:kern w:val="2"/>
                <w:sz w:val="24"/>
                <w:szCs w:val="24"/>
              </w:rPr>
              <w:t>表</w:t>
            </w:r>
            <w:r>
              <w:rPr>
                <w:rFonts w:hint="default" w:ascii="Times New Roman" w:hAnsi="Times New Roman" w:cs="Times New Roman"/>
                <w:b/>
                <w:bCs/>
                <w:color w:val="auto"/>
                <w:kern w:val="2"/>
                <w:sz w:val="24"/>
                <w:szCs w:val="24"/>
                <w:lang w:val="en-US" w:eastAsia="zh-CN"/>
              </w:rPr>
              <w:t>3</w:t>
            </w:r>
            <w:r>
              <w:rPr>
                <w:rFonts w:hint="default" w:ascii="Times New Roman" w:hAnsi="Times New Roman" w:cs="Times New Roman"/>
                <w:b/>
                <w:bCs/>
                <w:color w:val="auto"/>
                <w:kern w:val="2"/>
                <w:sz w:val="24"/>
                <w:szCs w:val="24"/>
              </w:rPr>
              <w:t>-</w:t>
            </w:r>
            <w:r>
              <w:rPr>
                <w:rFonts w:hint="eastAsia" w:ascii="Times New Roman" w:cs="Times New Roman"/>
                <w:b/>
                <w:bCs/>
                <w:color w:val="auto"/>
                <w:kern w:val="2"/>
                <w:sz w:val="24"/>
                <w:szCs w:val="24"/>
                <w:lang w:val="en-US" w:eastAsia="zh-CN"/>
              </w:rPr>
              <w:t>4</w:t>
            </w:r>
            <w:r>
              <w:rPr>
                <w:rFonts w:hint="default" w:ascii="Times New Roman" w:hAnsi="Times New Roman" w:cs="Times New Roman"/>
                <w:b/>
                <w:bCs/>
                <w:color w:val="auto"/>
                <w:kern w:val="2"/>
                <w:sz w:val="24"/>
                <w:szCs w:val="24"/>
              </w:rPr>
              <w:t>废水排放标准单位：mg/L(除pH外)</w:t>
            </w:r>
          </w:p>
          <w:tbl>
            <w:tblPr>
              <w:tblStyle w:val="25"/>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8"/>
              <w:gridCol w:w="593"/>
              <w:gridCol w:w="788"/>
              <w:gridCol w:w="812"/>
              <w:gridCol w:w="739"/>
              <w:gridCol w:w="740"/>
              <w:gridCol w:w="128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818"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593"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pH</w:t>
                  </w:r>
                </w:p>
              </w:tc>
              <w:tc>
                <w:tcPr>
                  <w:tcW w:w="788"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COD</w:t>
                  </w:r>
                  <w:r>
                    <w:rPr>
                      <w:rFonts w:hint="default" w:ascii="Times New Roman" w:hAnsi="Times New Roman" w:cs="Times New Roman"/>
                      <w:sz w:val="21"/>
                      <w:szCs w:val="21"/>
                      <w:vertAlign w:val="subscript"/>
                    </w:rPr>
                    <w:t>Cr</w:t>
                  </w:r>
                </w:p>
              </w:tc>
              <w:tc>
                <w:tcPr>
                  <w:tcW w:w="812"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739"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740"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286"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动植物油</w:t>
                  </w:r>
                </w:p>
              </w:tc>
              <w:tc>
                <w:tcPr>
                  <w:tcW w:w="2220"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8"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三级</w:t>
                  </w:r>
                </w:p>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标准</w:t>
                  </w:r>
                </w:p>
              </w:tc>
              <w:tc>
                <w:tcPr>
                  <w:tcW w:w="593"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6～9</w:t>
                  </w:r>
                </w:p>
              </w:tc>
              <w:tc>
                <w:tcPr>
                  <w:tcW w:w="788"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500</w:t>
                  </w:r>
                </w:p>
              </w:tc>
              <w:tc>
                <w:tcPr>
                  <w:tcW w:w="812" w:type="dxa"/>
                  <w:noWrap w:val="0"/>
                  <w:vAlign w:val="center"/>
                </w:tcPr>
                <w:p>
                  <w:pPr>
                    <w:tabs>
                      <w:tab w:val="center" w:pos="4153"/>
                      <w:tab w:val="right" w:pos="8306"/>
                    </w:tabs>
                    <w:adjustRightInd w:val="0"/>
                    <w:snapToGrid w:val="0"/>
                    <w:jc w:val="center"/>
                    <w:rPr>
                      <w:rFonts w:hint="default" w:ascii="Times New Roman" w:hAnsi="Times New Roman" w:eastAsia="Calibri" w:cs="Times New Roman"/>
                      <w:sz w:val="21"/>
                      <w:szCs w:val="21"/>
                    </w:rPr>
                  </w:pPr>
                  <w:r>
                    <w:rPr>
                      <w:rFonts w:hint="default" w:ascii="Times New Roman" w:hAnsi="Times New Roman" w:cs="Times New Roman"/>
                      <w:sz w:val="21"/>
                      <w:szCs w:val="21"/>
                    </w:rPr>
                    <w:t>/</w:t>
                  </w:r>
                </w:p>
              </w:tc>
              <w:tc>
                <w:tcPr>
                  <w:tcW w:w="739"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740" w:type="dxa"/>
                  <w:noWrap w:val="0"/>
                  <w:vAlign w:val="center"/>
                </w:tcPr>
                <w:p>
                  <w:pPr>
                    <w:tabs>
                      <w:tab w:val="center" w:pos="4153"/>
                      <w:tab w:val="right" w:pos="8306"/>
                    </w:tabs>
                    <w:adjustRightInd w:val="0"/>
                    <w:snapToGrid w:val="0"/>
                    <w:jc w:val="center"/>
                    <w:rPr>
                      <w:rFonts w:hint="default" w:ascii="Times New Roman" w:hAnsi="Times New Roman" w:cs="Times New Roman"/>
                      <w:spacing w:val="-2"/>
                      <w:sz w:val="21"/>
                      <w:szCs w:val="21"/>
                    </w:rPr>
                  </w:pPr>
                  <w:r>
                    <w:rPr>
                      <w:rFonts w:hint="default" w:ascii="Times New Roman" w:hAnsi="Times New Roman" w:cs="Times New Roman"/>
                      <w:sz w:val="21"/>
                      <w:szCs w:val="21"/>
                    </w:rPr>
                    <w:t>400</w:t>
                  </w:r>
                </w:p>
              </w:tc>
              <w:tc>
                <w:tcPr>
                  <w:tcW w:w="1286"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2220" w:type="dxa"/>
                  <w:noWrap w:val="0"/>
                  <w:vAlign w:val="center"/>
                </w:tcPr>
                <w:p>
                  <w:pPr>
                    <w:tabs>
                      <w:tab w:val="center" w:pos="4153"/>
                      <w:tab w:val="right" w:pos="8306"/>
                    </w:tabs>
                    <w:adjustRightInd w:val="0"/>
                    <w:snapToGrid w:val="0"/>
                    <w:jc w:val="center"/>
                    <w:rPr>
                      <w:rFonts w:hint="default" w:ascii="Times New Roman" w:hAnsi="Times New Roman" w:cs="Times New Roman"/>
                      <w:sz w:val="21"/>
                      <w:szCs w:val="21"/>
                    </w:rPr>
                  </w:pPr>
                  <w:r>
                    <w:rPr>
                      <w:rFonts w:hint="default" w:ascii="Times New Roman" w:hAnsi="Times New Roman" w:cs="Times New Roman"/>
                      <w:spacing w:val="-2"/>
                      <w:sz w:val="21"/>
                      <w:szCs w:val="21"/>
                    </w:rPr>
                    <w:t>《污水综合排放标准》(GB9878-1996)三级标准</w:t>
                  </w:r>
                </w:p>
              </w:tc>
            </w:tr>
          </w:tbl>
          <w:p>
            <w:pPr>
              <w:pStyle w:val="33"/>
              <w:rPr>
                <w:rFonts w:hint="default" w:ascii="Times New Roman" w:hAnsi="Times New Roman" w:cs="Times New Roman"/>
                <w:lang w:val="zh-CN" w:bidi="zh-CN"/>
              </w:rPr>
            </w:pPr>
          </w:p>
          <w:p>
            <w:pPr>
              <w:snapToGrid w:val="0"/>
              <w:spacing w:line="360" w:lineRule="auto"/>
              <w:ind w:left="44" w:leftChars="20" w:right="44" w:rightChars="2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2、废气</w:t>
            </w:r>
            <w:r>
              <w:rPr>
                <w:rFonts w:hint="default" w:ascii="Times New Roman" w:hAnsi="Times New Roman" w:cs="Times New Roman"/>
                <w:bCs/>
                <w:sz w:val="24"/>
                <w:szCs w:val="24"/>
              </w:rPr>
              <w:t>排放标准</w:t>
            </w:r>
          </w:p>
          <w:p>
            <w:pPr>
              <w:snapToGrid w:val="0"/>
              <w:spacing w:line="360" w:lineRule="auto"/>
              <w:ind w:left="44" w:leftChars="20" w:right="44" w:rightChars="2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有组织VOCs参照湖南省《家具制造行业挥发性有机物排放标准》（DB43/1355-2017）表1最高允许排放限值；无组织VOCs执行《家具制造行业挥发性有机物排放标准》（DB43/1355-2017）表2（VOCs：2mg/m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）、《挥发性有机物无组织排放控制标准》（GB37822-2019）附录A标准（VOCs：10mg/m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r>
              <w:rPr>
                <w:rFonts w:hint="default" w:ascii="Times New Roman" w:hAnsi="Times New Roman" w:cs="Times New Roman"/>
                <w:sz w:val="24"/>
                <w:szCs w:val="24"/>
                <w:lang w:val="en-US"/>
              </w:rPr>
              <w:t>按从严管控要求，无组织VOCs执行</w:t>
            </w:r>
            <w:r>
              <w:rPr>
                <w:rFonts w:hint="default" w:ascii="Times New Roman" w:hAnsi="Times New Roman" w:cs="Times New Roman"/>
                <w:sz w:val="24"/>
                <w:szCs w:val="24"/>
              </w:rPr>
              <w:t>《家具制造行业挥发性有机物排放标准》（DB43/1355-2017）表2（VOCs：2mg/m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pStyle w:val="33"/>
              <w:jc w:val="center"/>
              <w:rPr>
                <w:rFonts w:hint="default" w:ascii="Times New Roman" w:hAnsi="Times New Roman" w:cs="Times New Roman"/>
                <w:b/>
                <w:bCs/>
                <w:color w:val="auto"/>
                <w:kern w:val="2"/>
                <w:sz w:val="24"/>
                <w:szCs w:val="24"/>
              </w:rPr>
            </w:pPr>
            <w:r>
              <w:rPr>
                <w:rFonts w:hint="default" w:ascii="Times New Roman" w:hAnsi="Times New Roman" w:cs="Times New Roman"/>
                <w:b/>
                <w:bCs/>
                <w:color w:val="auto"/>
                <w:kern w:val="2"/>
                <w:sz w:val="24"/>
                <w:szCs w:val="24"/>
              </w:rPr>
              <w:t>表</w:t>
            </w:r>
            <w:r>
              <w:rPr>
                <w:rFonts w:hint="default" w:ascii="Times New Roman" w:hAnsi="Times New Roman" w:cs="Times New Roman"/>
                <w:b/>
                <w:bCs/>
                <w:color w:val="auto"/>
                <w:kern w:val="2"/>
                <w:sz w:val="24"/>
                <w:szCs w:val="24"/>
                <w:lang w:val="en-US" w:eastAsia="zh-CN"/>
              </w:rPr>
              <w:t>3-</w:t>
            </w:r>
            <w:r>
              <w:rPr>
                <w:rFonts w:hint="eastAsia" w:ascii="Times New Roman" w:cs="Times New Roman"/>
                <w:b/>
                <w:bCs/>
                <w:color w:val="auto"/>
                <w:kern w:val="2"/>
                <w:sz w:val="24"/>
                <w:szCs w:val="24"/>
                <w:lang w:val="en-US" w:eastAsia="zh-CN"/>
              </w:rPr>
              <w:t>5</w:t>
            </w:r>
            <w:r>
              <w:rPr>
                <w:rFonts w:hint="default" w:ascii="Times New Roman" w:hAnsi="Times New Roman" w:cs="Times New Roman"/>
                <w:b/>
                <w:sz w:val="24"/>
                <w:szCs w:val="24"/>
                <w:lang w:bidi="ar"/>
              </w:rPr>
              <w:t>企业排气筒挥发性有机物的最高允许排放限值</w:t>
            </w:r>
            <w:r>
              <w:rPr>
                <w:rFonts w:hint="default" w:ascii="Times New Roman" w:hAnsi="Times New Roman" w:cs="Times New Roman"/>
                <w:b/>
                <w:sz w:val="24"/>
                <w:szCs w:val="24"/>
                <w:lang w:bidi="zh-CN"/>
              </w:rPr>
              <w:t>（DB43/1355-2017）</w:t>
            </w:r>
          </w:p>
          <w:tbl>
            <w:tblPr>
              <w:tblStyle w:val="25"/>
              <w:tblW w:w="7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4"/>
              <w:gridCol w:w="3050"/>
              <w:gridCol w:w="2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854" w:type="dxa"/>
                  <w:tcBorders>
                    <w:top w:val="single" w:color="auto" w:sz="4"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bidi="ar"/>
                    </w:rPr>
                    <w:t>污染物项目</w:t>
                  </w:r>
                </w:p>
              </w:tc>
              <w:tc>
                <w:tcPr>
                  <w:tcW w:w="305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bidi="ar"/>
                    </w:rPr>
                    <w:t>最高允许排放浓度（mg/m</w:t>
                  </w:r>
                  <w:r>
                    <w:rPr>
                      <w:rFonts w:hint="default" w:ascii="Times New Roman" w:hAnsi="Times New Roman" w:cs="Times New Roman"/>
                      <w:sz w:val="21"/>
                      <w:szCs w:val="21"/>
                      <w:vertAlign w:val="superscript"/>
                      <w:lang w:bidi="ar"/>
                    </w:rPr>
                    <w:t>3</w:t>
                  </w:r>
                  <w:r>
                    <w:rPr>
                      <w:rFonts w:hint="default" w:ascii="Times New Roman" w:hAnsi="Times New Roman" w:cs="Times New Roman"/>
                      <w:sz w:val="21"/>
                      <w:szCs w:val="21"/>
                      <w:lang w:bidi="ar"/>
                    </w:rPr>
                    <w:t>）</w:t>
                  </w:r>
                </w:p>
              </w:tc>
              <w:tc>
                <w:tcPr>
                  <w:tcW w:w="2763"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bidi="ar"/>
                    </w:rPr>
                    <w:t>最高允许排放速率（kg/h）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5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bidi="ar"/>
                    </w:rPr>
                    <w:t>挥发性有机物</w:t>
                  </w:r>
                </w:p>
              </w:tc>
              <w:tc>
                <w:tcPr>
                  <w:tcW w:w="305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bidi="ar"/>
                    </w:rPr>
                    <w:t>50</w:t>
                  </w:r>
                </w:p>
              </w:tc>
              <w:tc>
                <w:tcPr>
                  <w:tcW w:w="2763"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bl>
          <w:p>
            <w:pPr>
              <w:tabs>
                <w:tab w:val="left" w:pos="284"/>
              </w:tabs>
              <w:snapToGrid w:val="0"/>
              <w:ind w:left="44" w:leftChars="20" w:right="44" w:rightChars="20" w:firstLine="422" w:firstLineChars="200"/>
              <w:jc w:val="center"/>
              <w:rPr>
                <w:rFonts w:hint="default" w:ascii="Times New Roman" w:hAnsi="Times New Roman" w:cs="Times New Roman"/>
                <w:b/>
                <w:sz w:val="21"/>
                <w:szCs w:val="21"/>
              </w:rPr>
            </w:pPr>
            <w:r>
              <w:rPr>
                <w:rFonts w:hint="default" w:ascii="Times New Roman" w:hAnsi="Times New Roman" w:cs="Times New Roman"/>
                <w:b/>
                <w:sz w:val="21"/>
                <w:szCs w:val="21"/>
              </w:rPr>
              <w:t>表3-</w:t>
            </w:r>
            <w:r>
              <w:rPr>
                <w:rFonts w:hint="eastAsia" w:ascii="Times New Roman" w:hAnsi="Times New Roman" w:cs="Times New Roman"/>
                <w:b/>
                <w:sz w:val="21"/>
                <w:szCs w:val="21"/>
                <w:lang w:val="en-US" w:eastAsia="zh-CN"/>
              </w:rPr>
              <w:t>6</w:t>
            </w:r>
            <w:r>
              <w:rPr>
                <w:rFonts w:hint="default" w:ascii="Times New Roman" w:hAnsi="Times New Roman" w:cs="Times New Roman"/>
                <w:b/>
                <w:sz w:val="21"/>
                <w:szCs w:val="21"/>
              </w:rPr>
              <w:t>无组织挥发性有机物排放浓度限值</w:t>
            </w:r>
          </w:p>
          <w:tbl>
            <w:tblPr>
              <w:tblStyle w:val="25"/>
              <w:tblW w:w="7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272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6" w:type="dxa"/>
                  <w:vMerge w:val="restart"/>
                  <w:noWrap w:val="0"/>
                  <w:vAlign w:val="center"/>
                </w:tcPr>
                <w:p>
                  <w:pPr>
                    <w:tabs>
                      <w:tab w:val="left" w:pos="284"/>
                    </w:tabs>
                    <w:snapToGrid w:val="0"/>
                    <w:ind w:right="44" w:rightChars="20"/>
                    <w:jc w:val="center"/>
                    <w:rPr>
                      <w:rFonts w:hint="default" w:ascii="Times New Roman" w:hAnsi="Times New Roman" w:cs="Times New Roman"/>
                      <w:sz w:val="21"/>
                      <w:szCs w:val="21"/>
                    </w:rPr>
                  </w:pPr>
                  <w:r>
                    <w:rPr>
                      <w:rFonts w:hint="default" w:ascii="Times New Roman" w:hAnsi="Times New Roman" w:cs="Times New Roman"/>
                      <w:sz w:val="21"/>
                      <w:szCs w:val="21"/>
                    </w:rPr>
                    <w:t>污染物项目</w:t>
                  </w:r>
                </w:p>
              </w:tc>
              <w:tc>
                <w:tcPr>
                  <w:tcW w:w="4845" w:type="dxa"/>
                  <w:gridSpan w:val="2"/>
                  <w:noWrap w:val="0"/>
                  <w:vAlign w:val="center"/>
                </w:tcPr>
                <w:p>
                  <w:pPr>
                    <w:tabs>
                      <w:tab w:val="left" w:pos="284"/>
                    </w:tabs>
                    <w:snapToGrid w:val="0"/>
                    <w:ind w:right="44" w:rightChars="20"/>
                    <w:jc w:val="center"/>
                    <w:rPr>
                      <w:rFonts w:hint="default" w:ascii="Times New Roman" w:hAnsi="Times New Roman" w:cs="Times New Roman"/>
                      <w:sz w:val="21"/>
                      <w:szCs w:val="21"/>
                    </w:rPr>
                  </w:pPr>
                  <w:r>
                    <w:rPr>
                      <w:rFonts w:hint="default" w:ascii="Times New Roman" w:hAnsi="Times New Roman" w:cs="Times New Roman"/>
                      <w:sz w:val="21"/>
                      <w:szCs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6" w:type="dxa"/>
                  <w:vMerge w:val="continue"/>
                  <w:noWrap w:val="0"/>
                  <w:vAlign w:val="center"/>
                </w:tcPr>
                <w:p>
                  <w:pPr>
                    <w:tabs>
                      <w:tab w:val="left" w:pos="284"/>
                    </w:tabs>
                    <w:snapToGrid w:val="0"/>
                    <w:ind w:right="44" w:rightChars="20"/>
                    <w:jc w:val="center"/>
                    <w:rPr>
                      <w:rFonts w:hint="default" w:ascii="Times New Roman" w:hAnsi="Times New Roman" w:cs="Times New Roman"/>
                      <w:sz w:val="21"/>
                      <w:szCs w:val="21"/>
                    </w:rPr>
                  </w:pPr>
                </w:p>
              </w:tc>
              <w:tc>
                <w:tcPr>
                  <w:tcW w:w="2726" w:type="dxa"/>
                  <w:noWrap w:val="0"/>
                  <w:vAlign w:val="center"/>
                </w:tcPr>
                <w:p>
                  <w:pPr>
                    <w:tabs>
                      <w:tab w:val="left" w:pos="284"/>
                    </w:tabs>
                    <w:snapToGrid w:val="0"/>
                    <w:ind w:right="44" w:rightChars="20"/>
                    <w:jc w:val="center"/>
                    <w:rPr>
                      <w:rFonts w:hint="default" w:ascii="Times New Roman" w:hAnsi="Times New Roman" w:cs="Times New Roman"/>
                      <w:sz w:val="21"/>
                      <w:szCs w:val="21"/>
                    </w:rPr>
                  </w:pPr>
                  <w:r>
                    <w:rPr>
                      <w:rFonts w:hint="default" w:ascii="Times New Roman" w:hAnsi="Times New Roman" w:cs="Times New Roman"/>
                      <w:sz w:val="21"/>
                      <w:szCs w:val="21"/>
                    </w:rPr>
                    <w:t>DB43/1355-2017</w:t>
                  </w:r>
                </w:p>
              </w:tc>
              <w:tc>
                <w:tcPr>
                  <w:tcW w:w="2119" w:type="dxa"/>
                  <w:noWrap w:val="0"/>
                  <w:vAlign w:val="center"/>
                </w:tcPr>
                <w:p>
                  <w:pPr>
                    <w:tabs>
                      <w:tab w:val="left" w:pos="284"/>
                    </w:tabs>
                    <w:snapToGrid w:val="0"/>
                    <w:ind w:right="44" w:rightChars="20"/>
                    <w:jc w:val="center"/>
                    <w:rPr>
                      <w:rFonts w:hint="default" w:ascii="Times New Roman" w:hAnsi="Times New Roman" w:cs="Times New Roman"/>
                      <w:sz w:val="21"/>
                      <w:szCs w:val="21"/>
                    </w:rPr>
                  </w:pPr>
                  <w:r>
                    <w:rPr>
                      <w:rFonts w:hint="default" w:ascii="Times New Roman" w:hAnsi="Times New Roman" w:cs="Times New Roman"/>
                      <w:sz w:val="21"/>
                      <w:szCs w:val="21"/>
                    </w:rPr>
                    <w:t>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6" w:type="dxa"/>
                  <w:noWrap w:val="0"/>
                  <w:vAlign w:val="center"/>
                </w:tcPr>
                <w:p>
                  <w:pPr>
                    <w:tabs>
                      <w:tab w:val="left" w:pos="284"/>
                    </w:tabs>
                    <w:snapToGrid w:val="0"/>
                    <w:ind w:right="44" w:rightChars="20"/>
                    <w:jc w:val="center"/>
                    <w:rPr>
                      <w:rFonts w:hint="default" w:ascii="Times New Roman" w:hAnsi="Times New Roman" w:cs="Times New Roman"/>
                      <w:sz w:val="21"/>
                      <w:szCs w:val="21"/>
                    </w:rPr>
                  </w:pPr>
                  <w:r>
                    <w:rPr>
                      <w:rFonts w:hint="default" w:ascii="Times New Roman" w:hAnsi="Times New Roman" w:cs="Times New Roman"/>
                      <w:sz w:val="21"/>
                      <w:szCs w:val="21"/>
                    </w:rPr>
                    <w:t>挥发性有机物</w:t>
                  </w:r>
                </w:p>
              </w:tc>
              <w:tc>
                <w:tcPr>
                  <w:tcW w:w="2726" w:type="dxa"/>
                  <w:noWrap w:val="0"/>
                  <w:vAlign w:val="center"/>
                </w:tcPr>
                <w:p>
                  <w:pPr>
                    <w:tabs>
                      <w:tab w:val="left" w:pos="284"/>
                    </w:tabs>
                    <w:snapToGrid w:val="0"/>
                    <w:ind w:right="44" w:rightChars="20"/>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2119" w:type="dxa"/>
                  <w:noWrap w:val="0"/>
                  <w:vAlign w:val="center"/>
                </w:tcPr>
                <w:p>
                  <w:pPr>
                    <w:tabs>
                      <w:tab w:val="left" w:pos="284"/>
                    </w:tabs>
                    <w:snapToGrid w:val="0"/>
                    <w:ind w:right="44" w:rightChars="20"/>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bl>
          <w:p>
            <w:pPr>
              <w:tabs>
                <w:tab w:val="left" w:pos="284"/>
              </w:tabs>
              <w:snapToGrid w:val="0"/>
              <w:spacing w:line="360" w:lineRule="auto"/>
              <w:ind w:right="44" w:rightChars="20"/>
              <w:jc w:val="both"/>
              <w:rPr>
                <w:rFonts w:hint="default" w:ascii="Times New Roman" w:hAnsi="Times New Roman" w:cs="Times New Roman"/>
              </w:rPr>
            </w:pPr>
          </w:p>
          <w:p>
            <w:pPr>
              <w:tabs>
                <w:tab w:val="left" w:pos="284"/>
              </w:tabs>
              <w:snapToGrid w:val="0"/>
              <w:spacing w:line="360" w:lineRule="auto"/>
              <w:ind w:left="44" w:leftChars="20" w:right="44" w:rightChars="2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3、噪声</w:t>
            </w:r>
            <w:r>
              <w:rPr>
                <w:rFonts w:hint="default" w:ascii="Times New Roman" w:hAnsi="Times New Roman" w:cs="Times New Roman"/>
                <w:bCs/>
                <w:sz w:val="24"/>
                <w:szCs w:val="24"/>
              </w:rPr>
              <w:t>排放标准</w:t>
            </w:r>
          </w:p>
          <w:p>
            <w:pPr>
              <w:tabs>
                <w:tab w:val="left" w:pos="284"/>
              </w:tabs>
              <w:snapToGrid w:val="0"/>
              <w:spacing w:line="360" w:lineRule="auto"/>
              <w:ind w:left="44" w:leftChars="20" w:right="44" w:rightChars="2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执行《工业企业厂界环境噪声排放标准》（GB12348—2008）中3类标准；</w:t>
            </w:r>
          </w:p>
          <w:p>
            <w:pPr>
              <w:pStyle w:val="33"/>
              <w:jc w:val="center"/>
              <w:rPr>
                <w:rFonts w:hint="default" w:ascii="Times New Roman" w:hAnsi="Times New Roman" w:cs="Times New Roman"/>
                <w:b/>
                <w:bCs/>
                <w:color w:val="auto"/>
                <w:kern w:val="2"/>
                <w:sz w:val="24"/>
                <w:szCs w:val="24"/>
              </w:rPr>
            </w:pPr>
            <w:r>
              <w:rPr>
                <w:rFonts w:hint="default" w:ascii="Times New Roman" w:hAnsi="Times New Roman" w:cs="Times New Roman"/>
                <w:b/>
                <w:bCs/>
                <w:color w:val="auto"/>
                <w:kern w:val="2"/>
                <w:sz w:val="24"/>
                <w:szCs w:val="24"/>
              </w:rPr>
              <w:t>表</w:t>
            </w:r>
            <w:r>
              <w:rPr>
                <w:rFonts w:hint="default" w:ascii="Times New Roman" w:hAnsi="Times New Roman" w:cs="Times New Roman"/>
                <w:b/>
                <w:bCs/>
                <w:color w:val="auto"/>
                <w:kern w:val="2"/>
                <w:sz w:val="24"/>
                <w:szCs w:val="24"/>
                <w:lang w:val="en-US" w:eastAsia="zh-CN"/>
              </w:rPr>
              <w:t>3-</w:t>
            </w:r>
            <w:r>
              <w:rPr>
                <w:rFonts w:hint="eastAsia" w:ascii="Times New Roman" w:cs="Times New Roman"/>
                <w:b/>
                <w:bCs/>
                <w:color w:val="auto"/>
                <w:kern w:val="2"/>
                <w:sz w:val="24"/>
                <w:szCs w:val="24"/>
                <w:lang w:val="en-US" w:eastAsia="zh-CN"/>
              </w:rPr>
              <w:t>7</w:t>
            </w:r>
            <w:r>
              <w:rPr>
                <w:rFonts w:hint="default" w:ascii="Times New Roman" w:hAnsi="Times New Roman" w:cs="Times New Roman"/>
                <w:b/>
                <w:bCs/>
                <w:color w:val="auto"/>
                <w:kern w:val="2"/>
                <w:sz w:val="24"/>
                <w:szCs w:val="24"/>
              </w:rPr>
              <w:t>工业企业厂界环境噪声排放标准单位：dB（A）</w:t>
            </w:r>
          </w:p>
          <w:tbl>
            <w:tblPr>
              <w:tblStyle w:val="25"/>
              <w:tblW w:w="7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7"/>
              <w:gridCol w:w="212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7" w:type="dxa"/>
                  <w:noWrap w:val="0"/>
                  <w:vAlign w:val="center"/>
                </w:tcPr>
                <w:p>
                  <w:pPr>
                    <w:jc w:val="center"/>
                    <w:rPr>
                      <w:rFonts w:hint="default" w:ascii="Times New Roman" w:hAnsi="Times New Roman" w:cs="Times New Roman"/>
                      <w:sz w:val="21"/>
                      <w:szCs w:val="21"/>
                    </w:rPr>
                  </w:pPr>
                  <w:bookmarkStart w:id="2" w:name="_Toc203274993"/>
                  <w:bookmarkStart w:id="3" w:name="_Toc203273762"/>
                  <w:bookmarkStart w:id="4" w:name="_Toc203272527"/>
                  <w:bookmarkStart w:id="5" w:name="_Toc203273771"/>
                  <w:bookmarkStart w:id="6" w:name="_Toc203275002"/>
                  <w:bookmarkStart w:id="7" w:name="_Toc203272536"/>
                  <w:r>
                    <w:rPr>
                      <w:rFonts w:hint="default" w:ascii="Times New Roman" w:hAnsi="Times New Roman" w:cs="Times New Roman"/>
                      <w:sz w:val="21"/>
                      <w:szCs w:val="21"/>
                    </w:rPr>
                    <w:t>类别</w:t>
                  </w:r>
                  <w:bookmarkEnd w:id="2"/>
                  <w:bookmarkEnd w:id="3"/>
                  <w:bookmarkEnd w:id="4"/>
                </w:p>
              </w:tc>
              <w:tc>
                <w:tcPr>
                  <w:tcW w:w="2128" w:type="dxa"/>
                  <w:noWrap w:val="0"/>
                  <w:vAlign w:val="center"/>
                </w:tcPr>
                <w:p>
                  <w:pPr>
                    <w:jc w:val="center"/>
                    <w:rPr>
                      <w:rFonts w:hint="default" w:ascii="Times New Roman" w:hAnsi="Times New Roman" w:cs="Times New Roman"/>
                      <w:sz w:val="21"/>
                      <w:szCs w:val="21"/>
                    </w:rPr>
                  </w:pPr>
                  <w:bookmarkStart w:id="8" w:name="_Toc203273763"/>
                  <w:bookmarkStart w:id="9" w:name="_Toc203272528"/>
                  <w:bookmarkStart w:id="10" w:name="_Toc203274994"/>
                  <w:r>
                    <w:rPr>
                      <w:rFonts w:hint="default" w:ascii="Times New Roman" w:hAnsi="Times New Roman" w:cs="Times New Roman"/>
                      <w:sz w:val="21"/>
                      <w:szCs w:val="21"/>
                    </w:rPr>
                    <w:t>昼间</w:t>
                  </w:r>
                  <w:bookmarkEnd w:id="8"/>
                  <w:bookmarkEnd w:id="9"/>
                  <w:bookmarkEnd w:id="10"/>
                </w:p>
              </w:tc>
              <w:tc>
                <w:tcPr>
                  <w:tcW w:w="1808" w:type="dxa"/>
                  <w:noWrap w:val="0"/>
                  <w:vAlign w:val="center"/>
                </w:tcPr>
                <w:p>
                  <w:pPr>
                    <w:jc w:val="center"/>
                    <w:rPr>
                      <w:rFonts w:hint="default" w:ascii="Times New Roman" w:hAnsi="Times New Roman" w:cs="Times New Roman"/>
                      <w:sz w:val="21"/>
                      <w:szCs w:val="21"/>
                    </w:rPr>
                  </w:pPr>
                  <w:bookmarkStart w:id="11" w:name="_Toc203273764"/>
                  <w:bookmarkStart w:id="12" w:name="_Toc203272529"/>
                  <w:bookmarkStart w:id="13" w:name="_Toc203274995"/>
                  <w:r>
                    <w:rPr>
                      <w:rFonts w:hint="default" w:ascii="Times New Roman" w:hAnsi="Times New Roman" w:cs="Times New Roman"/>
                      <w:sz w:val="21"/>
                      <w:szCs w:val="21"/>
                    </w:rPr>
                    <w:t>夜间</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3927" w:type="dxa"/>
                  <w:noWrap w:val="0"/>
                  <w:vAlign w:val="center"/>
                </w:tcPr>
                <w:p>
                  <w:pPr>
                    <w:jc w:val="center"/>
                    <w:rPr>
                      <w:rFonts w:hint="default" w:ascii="Times New Roman" w:hAnsi="Times New Roman" w:cs="Times New Roman"/>
                      <w:sz w:val="21"/>
                      <w:szCs w:val="21"/>
                    </w:rPr>
                  </w:pPr>
                  <w:bookmarkStart w:id="14" w:name="_Toc203272530"/>
                  <w:bookmarkStart w:id="15" w:name="_Toc203273765"/>
                  <w:bookmarkStart w:id="16" w:name="_Toc203274996"/>
                  <w:r>
                    <w:rPr>
                      <w:rFonts w:hint="default" w:ascii="Times New Roman" w:hAnsi="Times New Roman" w:cs="Times New Roman"/>
                      <w:sz w:val="21"/>
                      <w:szCs w:val="21"/>
                    </w:rPr>
                    <w:t>GB12348-2008，3类标准限值</w:t>
                  </w:r>
                  <w:bookmarkEnd w:id="14"/>
                  <w:bookmarkEnd w:id="15"/>
                  <w:bookmarkEnd w:id="16"/>
                </w:p>
              </w:tc>
              <w:tc>
                <w:tcPr>
                  <w:tcW w:w="212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65</w:t>
                  </w:r>
                </w:p>
              </w:tc>
              <w:tc>
                <w:tcPr>
                  <w:tcW w:w="180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55</w:t>
                  </w:r>
                </w:p>
              </w:tc>
            </w:tr>
            <w:bookmarkEnd w:id="5"/>
            <w:bookmarkEnd w:id="6"/>
            <w:bookmarkEnd w:id="7"/>
          </w:tbl>
          <w:p>
            <w:pPr>
              <w:snapToGrid w:val="0"/>
              <w:spacing w:line="360" w:lineRule="auto"/>
              <w:ind w:right="44" w:rightChars="20"/>
              <w:jc w:val="both"/>
              <w:rPr>
                <w:rFonts w:hint="default" w:ascii="Times New Roman" w:hAnsi="Times New Roman" w:cs="Times New Roman"/>
                <w:sz w:val="21"/>
                <w:szCs w:val="21"/>
              </w:rPr>
            </w:pPr>
          </w:p>
          <w:p>
            <w:pPr>
              <w:snapToGrid w:val="0"/>
              <w:spacing w:line="360" w:lineRule="auto"/>
              <w:ind w:left="44" w:leftChars="20" w:right="44" w:rightChars="2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4、固体废物</w:t>
            </w:r>
          </w:p>
          <w:p>
            <w:pPr>
              <w:snapToGrid w:val="0"/>
              <w:spacing w:line="360" w:lineRule="auto"/>
              <w:ind w:left="44" w:leftChars="20" w:right="44" w:rightChars="20" w:firstLine="480" w:firstLineChars="200"/>
              <w:jc w:val="both"/>
              <w:rPr>
                <w:rFonts w:hint="default" w:ascii="Times New Roman" w:hAnsi="Times New Roman" w:cs="Times New Roman"/>
                <w:sz w:val="24"/>
                <w:szCs w:val="24"/>
              </w:rPr>
            </w:pPr>
            <w:r>
              <w:rPr>
                <w:rFonts w:hint="default" w:ascii="Times New Roman" w:hAnsi="Times New Roman" w:cs="Times New Roman"/>
                <w:color w:val="000000"/>
                <w:sz w:val="24"/>
                <w:szCs w:val="24"/>
                <w:lang w:val="en-US" w:bidi="ar"/>
              </w:rPr>
              <w:t>一般工业固体废物执行</w:t>
            </w:r>
            <w:r>
              <w:rPr>
                <w:rFonts w:hint="default" w:ascii="Times New Roman" w:hAnsi="Times New Roman" w:cs="Times New Roman"/>
                <w:color w:val="000000"/>
                <w:sz w:val="24"/>
                <w:szCs w:val="24"/>
                <w:lang w:val="en-US"/>
              </w:rPr>
              <w:t>《一般工业固体废物贮存和填埋污染控制标准》（GB18599-2020</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bidi="ar"/>
              </w:rPr>
              <w:t>；危险固体废物执行《危险废物贮存污染控制标准》（GB18597-2001）及修改单中有关规定</w:t>
            </w:r>
            <w:r>
              <w:rPr>
                <w:rFonts w:hint="default" w:ascii="Times New Roman" w:hAnsi="Times New Roman" w:cs="Times New Roman"/>
                <w:sz w:val="24"/>
                <w:szCs w:val="24"/>
              </w:rPr>
              <w:t>；生活垃圾执行《生活垃圾填埋场污染物控制标准》（GB16889-2008）及2013年修改单中的相关规定。</w:t>
            </w:r>
          </w:p>
          <w:p>
            <w:pPr>
              <w:pStyle w:val="51"/>
              <w:spacing w:before="131"/>
              <w:ind w:right="4387"/>
              <w:rPr>
                <w:rFonts w:hint="default" w:ascii="Times New Roman" w:hAnsi="Times New Roman"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9" w:hRule="atLeast"/>
        </w:trPr>
        <w:tc>
          <w:tcPr>
            <w:tcW w:w="799" w:type="dxa"/>
            <w:tcBorders>
              <w:top w:val="single" w:color="000000" w:sz="4" w:space="0"/>
              <w:right w:val="single" w:color="000000" w:sz="4" w:space="0"/>
            </w:tcBorders>
            <w:noWrap w:val="0"/>
            <w:vAlign w:val="center"/>
          </w:tcPr>
          <w:p>
            <w:pPr>
              <w:pStyle w:val="51"/>
              <w:spacing w:line="242" w:lineRule="auto"/>
              <w:ind w:left="189" w:right="67"/>
              <w:jc w:val="center"/>
              <w:rPr>
                <w:rFonts w:hint="default" w:ascii="Times New Roman" w:hAnsi="Times New Roman" w:cs="Times New Roman"/>
                <w:sz w:val="24"/>
                <w:szCs w:val="24"/>
              </w:rPr>
            </w:pPr>
            <w:r>
              <w:rPr>
                <w:rFonts w:hint="default" w:ascii="Times New Roman" w:hAnsi="Times New Roman" w:cs="Times New Roman"/>
                <w:sz w:val="24"/>
                <w:szCs w:val="24"/>
              </w:rPr>
              <w:t>总量控制指标</w:t>
            </w:r>
          </w:p>
        </w:tc>
        <w:tc>
          <w:tcPr>
            <w:tcW w:w="8209" w:type="dxa"/>
            <w:tcBorders>
              <w:top w:val="single" w:color="000000" w:sz="4" w:space="0"/>
              <w:left w:val="single" w:color="000000" w:sz="4" w:space="0"/>
            </w:tcBorders>
            <w:noWrap w:val="0"/>
            <w:vAlign w:val="center"/>
          </w:tcPr>
          <w:p>
            <w:pPr>
              <w:pStyle w:val="51"/>
              <w:rPr>
                <w:rFonts w:hint="default" w:ascii="Times New Roman" w:hAnsi="Times New Roman" w:cs="Times New Roman"/>
                <w:sz w:val="24"/>
                <w:szCs w:val="24"/>
              </w:rPr>
            </w:pPr>
          </w:p>
          <w:p>
            <w:pPr>
              <w:pStyle w:val="33"/>
              <w:keepNext w:val="0"/>
              <w:keepLines w:val="0"/>
              <w:pageBreakBefore w:val="0"/>
              <w:widowControl w:val="0"/>
              <w:kinsoku/>
              <w:wordWrap/>
              <w:overflowPunct/>
              <w:topLinePunct w:val="0"/>
              <w:autoSpaceDE w:val="0"/>
              <w:autoSpaceDN w:val="0"/>
              <w:bidi w:val="0"/>
              <w:snapToGrid/>
              <w:spacing w:line="360" w:lineRule="auto"/>
              <w:ind w:left="0" w:leftChars="0" w:right="0" w:rightChars="0" w:firstLine="480" w:firstLineChars="200"/>
              <w:jc w:val="both"/>
              <w:textAlignment w:val="auto"/>
              <w:rPr>
                <w:rFonts w:hint="default" w:ascii="Times New Roman" w:hAnsi="Times New Roman" w:cs="Times New Roman"/>
                <w:sz w:val="24"/>
                <w:szCs w:val="24"/>
                <w:lang w:bidi="en-US"/>
              </w:rPr>
            </w:pPr>
            <w:r>
              <w:rPr>
                <w:rFonts w:hint="default" w:ascii="Times New Roman" w:hAnsi="Times New Roman" w:cs="Times New Roman"/>
                <w:sz w:val="24"/>
                <w:szCs w:val="24"/>
                <w:lang w:bidi="en-US"/>
              </w:rPr>
              <w:t>1、废水总量控制指标：</w:t>
            </w:r>
          </w:p>
          <w:p>
            <w:pPr>
              <w:pStyle w:val="33"/>
              <w:keepNext w:val="0"/>
              <w:keepLines w:val="0"/>
              <w:pageBreakBefore w:val="0"/>
              <w:widowControl w:val="0"/>
              <w:kinsoku/>
              <w:wordWrap/>
              <w:overflowPunct/>
              <w:topLinePunct w:val="0"/>
              <w:autoSpaceDE w:val="0"/>
              <w:autoSpaceDN w:val="0"/>
              <w:bidi w:val="0"/>
              <w:snapToGrid/>
              <w:spacing w:line="360" w:lineRule="auto"/>
              <w:ind w:left="0" w:leftChars="0" w:right="0" w:righ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rPr>
              <w:t>项目废水经化粪池处理后通过园区污水管网排入</w:t>
            </w:r>
            <w:r>
              <w:rPr>
                <w:rFonts w:hint="eastAsia" w:ascii="Times New Roman" w:hAnsi="Times New Roman" w:cs="Times New Roman"/>
                <w:color w:val="auto"/>
                <w:sz w:val="24"/>
                <w:szCs w:val="24"/>
                <w:lang w:eastAsia="zh-CN"/>
              </w:rPr>
              <w:t>双牌县污水处理厂</w:t>
            </w:r>
            <w:r>
              <w:rPr>
                <w:rFonts w:hint="default" w:ascii="Times New Roman" w:hAnsi="Times New Roman" w:cs="Times New Roman"/>
                <w:sz w:val="24"/>
                <w:szCs w:val="24"/>
              </w:rPr>
              <w:t>，本项目不单独设置污水总量。</w:t>
            </w:r>
          </w:p>
          <w:p>
            <w:pPr>
              <w:keepNext w:val="0"/>
              <w:keepLines w:val="0"/>
              <w:pageBreakBefore w:val="0"/>
              <w:widowControl w:val="0"/>
              <w:kinsoku/>
              <w:wordWrap/>
              <w:overflowPunct/>
              <w:topLinePunct w:val="0"/>
              <w:autoSpaceDE w:val="0"/>
              <w:autoSpaceDN w:val="0"/>
              <w:bidi w:val="0"/>
              <w:snapToGrid/>
              <w:spacing w:line="360" w:lineRule="auto"/>
              <w:ind w:left="0" w:leftChars="0" w:right="0" w:rightChars="0" w:firstLine="480" w:firstLineChars="200"/>
              <w:textAlignment w:val="auto"/>
              <w:rPr>
                <w:rFonts w:hint="default" w:ascii="Times New Roman" w:hAnsi="Times New Roman" w:cs="Times New Roman"/>
                <w:sz w:val="24"/>
                <w:szCs w:val="24"/>
                <w:lang w:val="en-US" w:bidi="en-US"/>
              </w:rPr>
            </w:pPr>
            <w:r>
              <w:rPr>
                <w:rFonts w:hint="default" w:ascii="Times New Roman" w:hAnsi="Times New Roman" w:cs="Times New Roman"/>
                <w:sz w:val="24"/>
                <w:szCs w:val="24"/>
                <w:lang w:val="en-US" w:bidi="en-US"/>
              </w:rPr>
              <w:t>2、废气总量控制指标：</w:t>
            </w:r>
          </w:p>
          <w:p>
            <w:pPr>
              <w:keepNext w:val="0"/>
              <w:keepLines w:val="0"/>
              <w:pageBreakBefore w:val="0"/>
              <w:widowControl w:val="0"/>
              <w:kinsoku/>
              <w:wordWrap/>
              <w:overflowPunct/>
              <w:topLinePunct w:val="0"/>
              <w:autoSpaceDE w:val="0"/>
              <w:autoSpaceDN w:val="0"/>
              <w:bidi w:val="0"/>
              <w:snapToGrid/>
              <w:spacing w:line="360" w:lineRule="auto"/>
              <w:ind w:left="0" w:leftChars="0" w:right="0" w:rightChars="0" w:firstLine="480" w:firstLineChars="200"/>
              <w:textAlignment w:val="auto"/>
              <w:rPr>
                <w:rFonts w:hint="eastAsia" w:ascii="Times New Roman" w:hAnsi="Times New Roman" w:cs="Times New Roman"/>
                <w:sz w:val="24"/>
                <w:szCs w:val="24"/>
                <w:u w:val="none"/>
                <w:lang w:val="en-US" w:eastAsia="zh-CN" w:bidi="ar-SA"/>
              </w:rPr>
            </w:pPr>
            <w:r>
              <w:rPr>
                <w:rFonts w:hint="default" w:ascii="Times New Roman" w:hAnsi="Times New Roman" w:cs="Times New Roman"/>
                <w:sz w:val="24"/>
                <w:szCs w:val="24"/>
                <w:lang w:val="en-US" w:bidi="ar-SA"/>
              </w:rPr>
              <w:t>本项目设置总量控制指标为有机废气</w:t>
            </w:r>
            <w:r>
              <w:rPr>
                <w:rFonts w:hint="default" w:ascii="Times New Roman" w:hAnsi="Times New Roman" w:cs="Times New Roman"/>
                <w:sz w:val="24"/>
                <w:szCs w:val="24"/>
                <w:u w:val="none"/>
                <w:lang w:val="en-US" w:bidi="ar-SA"/>
              </w:rPr>
              <w:t>：VOCs：</w:t>
            </w:r>
            <w:r>
              <w:rPr>
                <w:rFonts w:hint="eastAsia" w:ascii="Times New Roman" w:hAnsi="Times New Roman" w:cs="Times New Roman"/>
                <w:sz w:val="24"/>
                <w:szCs w:val="24"/>
                <w:u w:val="none"/>
                <w:lang w:val="en-US" w:eastAsia="zh-CN" w:bidi="ar-SA"/>
              </w:rPr>
              <w:t>0.6</w:t>
            </w:r>
            <w:r>
              <w:rPr>
                <w:rFonts w:hint="default" w:ascii="Times New Roman" w:hAnsi="Times New Roman" w:cs="Times New Roman"/>
                <w:sz w:val="24"/>
                <w:szCs w:val="24"/>
                <w:u w:val="none"/>
                <w:lang w:val="en-US" w:bidi="ar-SA"/>
              </w:rPr>
              <w:t>t/a</w:t>
            </w:r>
            <w:r>
              <w:rPr>
                <w:rFonts w:hint="eastAsia" w:ascii="Times New Roman" w:hAnsi="Times New Roman" w:cs="Times New Roman"/>
                <w:sz w:val="24"/>
                <w:szCs w:val="24"/>
                <w:u w:val="none"/>
                <w:lang w:val="en-US" w:eastAsia="zh-CN" w:bidi="ar-SA"/>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rightChars="0" w:firstLine="480" w:firstLineChars="200"/>
              <w:textAlignment w:val="auto"/>
              <w:rPr>
                <w:rFonts w:hint="default"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核算过程：本项目</w:t>
            </w:r>
            <w:ins w:id="5" w:author="呼呼" w:date="2023-01-18T10:39:59Z">
              <w:r>
                <w:rPr>
                  <w:rFonts w:hint="eastAsia" w:ascii="Times New Roman" w:hAnsi="Times New Roman" w:cs="Times New Roman"/>
                  <w:sz w:val="24"/>
                  <w:szCs w:val="24"/>
                  <w:lang w:val="en-US" w:eastAsia="zh-CN" w:bidi="en-US"/>
                </w:rPr>
                <w:t>染色</w:t>
              </w:r>
            </w:ins>
            <w:ins w:id="6" w:author="呼呼" w:date="2023-01-18T10:40:00Z">
              <w:r>
                <w:rPr>
                  <w:rFonts w:hint="eastAsia" w:ascii="Times New Roman" w:hAnsi="Times New Roman" w:cs="Times New Roman"/>
                  <w:sz w:val="24"/>
                  <w:szCs w:val="24"/>
                  <w:lang w:val="en-US" w:eastAsia="zh-CN" w:bidi="en-US"/>
                </w:rPr>
                <w:t>、</w:t>
              </w:r>
            </w:ins>
            <w:r>
              <w:rPr>
                <w:rFonts w:hint="default" w:ascii="Times New Roman" w:hAnsi="Times New Roman" w:cs="Times New Roman"/>
                <w:sz w:val="24"/>
                <w:szCs w:val="24"/>
                <w:lang w:val="en-US" w:bidi="en-US"/>
              </w:rPr>
              <w:t>喷油</w:t>
            </w:r>
            <w:r>
              <w:rPr>
                <w:rFonts w:hint="eastAsia" w:ascii="Times New Roman" w:hAnsi="Times New Roman" w:cs="Times New Roman"/>
                <w:sz w:val="24"/>
                <w:szCs w:val="24"/>
                <w:lang w:val="en-US" w:eastAsia="zh-CN" w:bidi="en-US"/>
              </w:rPr>
              <w:t>漆、</w:t>
            </w:r>
            <w:r>
              <w:rPr>
                <w:rFonts w:hint="default" w:ascii="Times New Roman" w:hAnsi="Times New Roman" w:cs="Times New Roman"/>
                <w:sz w:val="24"/>
                <w:szCs w:val="24"/>
                <w:lang w:val="en-US" w:bidi="en-US"/>
              </w:rPr>
              <w:t>移印</w:t>
            </w:r>
            <w:r>
              <w:rPr>
                <w:rFonts w:hint="eastAsia" w:ascii="Times New Roman" w:hAnsi="Times New Roman" w:cs="Times New Roman"/>
                <w:sz w:val="24"/>
                <w:szCs w:val="24"/>
                <w:lang w:val="en-US" w:eastAsia="zh-CN" w:bidi="en-US"/>
              </w:rPr>
              <w:t>、</w:t>
            </w:r>
            <w:r>
              <w:rPr>
                <w:rFonts w:hint="default" w:ascii="Times New Roman" w:hAnsi="Times New Roman" w:cs="Times New Roman"/>
                <w:sz w:val="24"/>
                <w:szCs w:val="24"/>
                <w:lang w:val="en-US" w:bidi="en-US"/>
              </w:rPr>
              <w:t>注塑</w:t>
            </w:r>
            <w:r>
              <w:rPr>
                <w:rFonts w:hint="eastAsia" w:ascii="Times New Roman" w:hAnsi="Times New Roman" w:cs="Times New Roman"/>
                <w:sz w:val="24"/>
                <w:szCs w:val="24"/>
                <w:lang w:val="en-US" w:eastAsia="zh-CN" w:bidi="en-US"/>
              </w:rPr>
              <w:t>均会产生</w:t>
            </w:r>
            <w:r>
              <w:rPr>
                <w:rFonts w:hint="default" w:ascii="Times New Roman" w:hAnsi="Times New Roman" w:cs="Times New Roman"/>
                <w:sz w:val="24"/>
                <w:szCs w:val="24"/>
                <w:lang w:val="en-US" w:bidi="en-US"/>
              </w:rPr>
              <w:t>VOCs</w:t>
            </w:r>
            <w:r>
              <w:rPr>
                <w:rFonts w:hint="eastAsia" w:ascii="Times New Roman" w:hAnsi="Times New Roman" w:cs="Times New Roman"/>
                <w:sz w:val="24"/>
                <w:szCs w:val="24"/>
                <w:lang w:val="en-US" w:eastAsia="zh-CN" w:bidi="en-US"/>
              </w:rPr>
              <w:t>，项目采用</w:t>
            </w:r>
            <w:r>
              <w:rPr>
                <w:rFonts w:hint="default" w:ascii="Times New Roman" w:hAnsi="Times New Roman" w:cs="Times New Roman"/>
                <w:sz w:val="24"/>
                <w:szCs w:val="24"/>
                <w:lang w:val="en-US" w:eastAsia="zh-CN" w:bidi="en-US"/>
              </w:rPr>
              <w:t>活性炭吸附</w:t>
            </w:r>
            <w:r>
              <w:rPr>
                <w:rFonts w:hint="default" w:ascii="Times New Roman" w:hAnsi="Times New Roman" w:cs="Times New Roman"/>
                <w:sz w:val="24"/>
                <w:szCs w:val="24"/>
                <w:lang w:val="en-US" w:bidi="en-US"/>
              </w:rPr>
              <w:t>处理后通过</w:t>
            </w:r>
            <w:r>
              <w:rPr>
                <w:rFonts w:hint="eastAsia" w:ascii="Times New Roman" w:hAnsi="Times New Roman" w:cs="Times New Roman"/>
                <w:sz w:val="24"/>
                <w:szCs w:val="24"/>
                <w:lang w:val="en-US" w:eastAsia="zh-CN" w:bidi="en-US"/>
              </w:rPr>
              <w:t>20m(高于本栋四楼楼顶3m)</w:t>
            </w:r>
            <w:r>
              <w:rPr>
                <w:rFonts w:hint="default" w:ascii="Times New Roman" w:hAnsi="Times New Roman" w:cs="Times New Roman"/>
                <w:sz w:val="24"/>
                <w:szCs w:val="24"/>
                <w:lang w:val="en-US" w:bidi="en-US"/>
              </w:rPr>
              <w:t>排气筒排放</w:t>
            </w:r>
            <w:r>
              <w:rPr>
                <w:rFonts w:hint="eastAsia" w:ascii="Times New Roman" w:hAnsi="Times New Roman" w:cs="Times New Roman"/>
                <w:sz w:val="24"/>
                <w:szCs w:val="24"/>
                <w:lang w:val="en-US" w:eastAsia="zh-CN" w:bidi="en-US"/>
              </w:rPr>
              <w:t>，风机风量为</w:t>
            </w:r>
            <w:r>
              <w:rPr>
                <w:rFonts w:hint="default" w:ascii="Times New Roman" w:hAnsi="Times New Roman" w:cs="Times New Roman"/>
                <w:sz w:val="24"/>
                <w:szCs w:val="24"/>
                <w:lang w:val="en-US" w:bidi="en-US"/>
              </w:rPr>
              <w:t>5000m</w:t>
            </w:r>
            <w:r>
              <w:rPr>
                <w:rFonts w:hint="default" w:ascii="Times New Roman" w:hAnsi="Times New Roman" w:cs="Times New Roman"/>
                <w:sz w:val="24"/>
                <w:szCs w:val="24"/>
                <w:vertAlign w:val="superscript"/>
                <w:lang w:val="en-US" w:bidi="en-US"/>
              </w:rPr>
              <w:t>3</w:t>
            </w:r>
            <w:r>
              <w:rPr>
                <w:rFonts w:hint="default" w:ascii="Times New Roman" w:hAnsi="Times New Roman" w:cs="Times New Roman"/>
                <w:sz w:val="24"/>
                <w:szCs w:val="24"/>
                <w:lang w:val="en-US" w:bidi="en-US"/>
              </w:rPr>
              <w:t>/h</w:t>
            </w:r>
            <w:r>
              <w:rPr>
                <w:rFonts w:hint="eastAsia" w:ascii="Times New Roman" w:hAnsi="Times New Roman" w:cs="Times New Roman"/>
                <w:sz w:val="24"/>
                <w:szCs w:val="24"/>
                <w:lang w:val="en-US" w:eastAsia="zh-CN" w:bidi="en-US"/>
              </w:rPr>
              <w:t>，每天工作8小时，</w:t>
            </w:r>
            <w:r>
              <w:rPr>
                <w:rFonts w:hint="default" w:ascii="Times New Roman" w:hAnsi="Times New Roman" w:cs="Times New Roman"/>
                <w:sz w:val="24"/>
                <w:szCs w:val="24"/>
                <w:lang w:val="en-US" w:bidi="en-US"/>
              </w:rPr>
              <w:t>VOCs参照湖南省《家具制造行业挥发性有机物排放标准》（DB43/1355-2017）表1最高允许排放限值</w:t>
            </w:r>
            <w:r>
              <w:rPr>
                <w:rFonts w:hint="eastAsia" w:ascii="Times New Roman" w:hAnsi="Times New Roman" w:cs="Times New Roman"/>
                <w:sz w:val="24"/>
                <w:szCs w:val="24"/>
                <w:lang w:val="en-US" w:eastAsia="zh-CN" w:bidi="en-US"/>
              </w:rPr>
              <w:t>（50mg/m</w:t>
            </w:r>
            <w:r>
              <w:rPr>
                <w:rFonts w:hint="eastAsia" w:ascii="Times New Roman" w:hAnsi="Times New Roman" w:cs="Times New Roman"/>
                <w:sz w:val="24"/>
                <w:szCs w:val="24"/>
                <w:vertAlign w:val="superscript"/>
                <w:lang w:val="en-US" w:eastAsia="zh-CN" w:bidi="en-US"/>
              </w:rPr>
              <w:t>3</w:t>
            </w:r>
            <w:r>
              <w:rPr>
                <w:rFonts w:hint="eastAsia" w:ascii="Times New Roman" w:hAnsi="Times New Roman" w:cs="Times New Roman"/>
                <w:sz w:val="24"/>
                <w:szCs w:val="24"/>
                <w:lang w:val="en-US" w:eastAsia="zh-CN" w:bidi="en-US"/>
              </w:rPr>
              <w:t>），则本项目</w:t>
            </w:r>
            <w:r>
              <w:rPr>
                <w:rFonts w:hint="default" w:ascii="Times New Roman" w:hAnsi="Times New Roman" w:cs="Times New Roman"/>
                <w:sz w:val="24"/>
                <w:szCs w:val="24"/>
                <w:lang w:val="en-US" w:bidi="en-US"/>
              </w:rPr>
              <w:t>VOCs</w:t>
            </w:r>
            <w:r>
              <w:rPr>
                <w:rFonts w:hint="eastAsia" w:ascii="Times New Roman" w:hAnsi="Times New Roman" w:cs="Times New Roman"/>
                <w:sz w:val="24"/>
                <w:szCs w:val="24"/>
                <w:lang w:val="en-US" w:eastAsia="zh-CN" w:bidi="en-US"/>
              </w:rPr>
              <w:t>总量为：50mg/m</w:t>
            </w:r>
            <w:r>
              <w:rPr>
                <w:rFonts w:hint="eastAsia" w:ascii="Times New Roman" w:hAnsi="Times New Roman" w:cs="Times New Roman"/>
                <w:sz w:val="24"/>
                <w:szCs w:val="24"/>
                <w:vertAlign w:val="superscript"/>
                <w:lang w:val="en-US" w:eastAsia="zh-CN" w:bidi="en-US"/>
              </w:rPr>
              <w:t>3</w:t>
            </w:r>
            <w:r>
              <w:rPr>
                <w:rFonts w:hint="eastAsia" w:ascii="Times New Roman" w:hAnsi="Times New Roman" w:cs="Times New Roman"/>
                <w:sz w:val="24"/>
                <w:szCs w:val="24"/>
                <w:lang w:val="en-US" w:eastAsia="zh-CN" w:bidi="en-US"/>
              </w:rPr>
              <w:t>*</w:t>
            </w:r>
            <w:r>
              <w:rPr>
                <w:rFonts w:hint="default" w:ascii="Times New Roman" w:hAnsi="Times New Roman" w:cs="Times New Roman"/>
                <w:sz w:val="24"/>
                <w:szCs w:val="24"/>
                <w:lang w:val="en-US" w:bidi="en-US"/>
              </w:rPr>
              <w:t>5000m</w:t>
            </w:r>
            <w:r>
              <w:rPr>
                <w:rFonts w:hint="default" w:ascii="Times New Roman" w:hAnsi="Times New Roman" w:cs="Times New Roman"/>
                <w:sz w:val="24"/>
                <w:szCs w:val="24"/>
                <w:vertAlign w:val="superscript"/>
                <w:lang w:val="en-US" w:bidi="en-US"/>
              </w:rPr>
              <w:t>3</w:t>
            </w:r>
            <w:r>
              <w:rPr>
                <w:rFonts w:hint="default" w:ascii="Times New Roman" w:hAnsi="Times New Roman" w:cs="Times New Roman"/>
                <w:sz w:val="24"/>
                <w:szCs w:val="24"/>
                <w:lang w:val="en-US" w:bidi="en-US"/>
              </w:rPr>
              <w:t>/h</w:t>
            </w:r>
            <w:r>
              <w:rPr>
                <w:rFonts w:hint="eastAsia" w:ascii="Times New Roman" w:hAnsi="Times New Roman" w:cs="Times New Roman"/>
                <w:sz w:val="24"/>
                <w:szCs w:val="24"/>
                <w:lang w:val="en-US" w:eastAsia="zh-CN" w:bidi="en-US"/>
              </w:rPr>
              <w:t>*8h*300天/100000000=0.6t。</w:t>
            </w:r>
          </w:p>
          <w:p>
            <w:pPr>
              <w:rPr>
                <w:rFonts w:hint="default"/>
                <w:lang w:val="en-US" w:eastAsia="zh-CN"/>
              </w:rPr>
            </w:pPr>
          </w:p>
          <w:p>
            <w:pPr>
              <w:pStyle w:val="51"/>
              <w:ind w:right="4387"/>
              <w:jc w:val="both"/>
              <w:rPr>
                <w:rFonts w:hint="default" w:ascii="Times New Roman" w:hAnsi="Times New Roman" w:cs="Times New Roman"/>
                <w:sz w:val="24"/>
                <w:szCs w:val="24"/>
                <w:lang w:val="en-US"/>
              </w:rPr>
            </w:pPr>
          </w:p>
        </w:tc>
      </w:tr>
    </w:tbl>
    <w:p>
      <w:pPr>
        <w:jc w:val="right"/>
        <w:rPr>
          <w:sz w:val="21"/>
          <w:lang w:val="en-US"/>
        </w:rPr>
        <w:sectPr>
          <w:footerReference r:id="rId5" w:type="default"/>
          <w:footerReference r:id="rId6" w:type="even"/>
          <w:pgSz w:w="11910" w:h="16850"/>
          <w:pgMar w:top="1600" w:right="1320" w:bottom="1000" w:left="1340" w:header="0" w:footer="817" w:gutter="0"/>
          <w:pgNumType w:fmt="numberInDash"/>
          <w:cols w:space="720" w:num="1"/>
        </w:sectPr>
      </w:pPr>
    </w:p>
    <w:p>
      <w:pPr>
        <w:pStyle w:val="11"/>
        <w:spacing w:before="58"/>
        <w:ind w:left="635" w:right="652"/>
        <w:jc w:val="center"/>
        <w:outlineLvl w:val="0"/>
      </w:pPr>
      <w:r>
        <w:t>四、主要环境影响和保护措施</w:t>
      </w:r>
    </w:p>
    <w:p>
      <w:pPr>
        <w:pStyle w:val="11"/>
        <w:spacing w:before="11"/>
        <w:rPr>
          <w:sz w:val="21"/>
        </w:rPr>
      </w:pPr>
    </w:p>
    <w:tbl>
      <w:tblPr>
        <w:tblStyle w:val="25"/>
        <w:tblW w:w="89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6"/>
        <w:gridCol w:w="81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0" w:hRule="atLeast"/>
          <w:jc w:val="center"/>
        </w:trPr>
        <w:tc>
          <w:tcPr>
            <w:tcW w:w="746" w:type="dxa"/>
            <w:tcBorders>
              <w:bottom w:val="single" w:color="000000" w:sz="4" w:space="0"/>
              <w:right w:val="single" w:color="000000" w:sz="4" w:space="0"/>
            </w:tcBorders>
            <w:noWrap w:val="0"/>
            <w:vAlign w:val="center"/>
          </w:tcPr>
          <w:p>
            <w:pPr>
              <w:pStyle w:val="51"/>
              <w:spacing w:before="157" w:line="242" w:lineRule="auto"/>
              <w:ind w:left="160" w:right="43"/>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施工期环境保护措施</w:t>
            </w:r>
          </w:p>
        </w:tc>
        <w:tc>
          <w:tcPr>
            <w:tcW w:w="8161" w:type="dxa"/>
            <w:tcBorders>
              <w:left w:val="single" w:color="000000" w:sz="4" w:space="0"/>
              <w:bottom w:val="single" w:color="000000" w:sz="4" w:space="0"/>
            </w:tcBorders>
            <w:noWrap w:val="0"/>
            <w:vAlign w:val="center"/>
          </w:tcPr>
          <w:p>
            <w:pPr>
              <w:snapToGrid w:val="0"/>
              <w:spacing w:line="360" w:lineRule="auto"/>
              <w:ind w:left="44" w:leftChars="20" w:right="44" w:rightChars="20" w:firstLine="480" w:firstLineChars="20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本项目为租赁厂房，不涉及土建工程，施工期仅包括设备安装过程，因此本项目不进行施工期的环境影响进行分析。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746" w:type="dxa"/>
            <w:tcBorders>
              <w:top w:val="single" w:color="000000" w:sz="4" w:space="0"/>
              <w:right w:val="single" w:color="000000" w:sz="4" w:space="0"/>
            </w:tcBorders>
            <w:noWrap w:val="0"/>
            <w:vAlign w:val="center"/>
          </w:tcPr>
          <w:p>
            <w:pPr>
              <w:pStyle w:val="51"/>
              <w:spacing w:before="1" w:line="242" w:lineRule="auto"/>
              <w:ind w:left="160" w:right="4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运营期环境影响和保护措施</w:t>
            </w:r>
          </w:p>
        </w:tc>
        <w:tc>
          <w:tcPr>
            <w:tcW w:w="8161" w:type="dxa"/>
            <w:tcBorders>
              <w:top w:val="single" w:color="000000" w:sz="4" w:space="0"/>
              <w:left w:val="single" w:color="000000" w:sz="4" w:space="0"/>
            </w:tcBorders>
            <w:noWrap w:val="0"/>
            <w:vAlign w:val="top"/>
          </w:tcPr>
          <w:p>
            <w:pPr>
              <w:spacing w:line="500" w:lineRule="exact"/>
              <w:ind w:left="44" w:leftChars="20" w:right="44" w:rightChars="20"/>
              <w:rPr>
                <w:rFonts w:hint="default" w:ascii="Times New Roman" w:hAnsi="Times New Roman" w:cs="Times New Roman"/>
                <w:b/>
                <w:bCs/>
                <w:color w:val="auto"/>
                <w:sz w:val="24"/>
                <w:szCs w:val="24"/>
                <w:highlight w:val="none"/>
                <w:u w:val="none"/>
                <w:lang w:val="en-US"/>
              </w:rPr>
            </w:pPr>
            <w:r>
              <w:rPr>
                <w:rFonts w:hint="default" w:ascii="Times New Roman" w:hAnsi="Times New Roman" w:cs="Times New Roman"/>
                <w:b/>
                <w:bCs/>
                <w:color w:val="auto"/>
                <w:sz w:val="24"/>
                <w:szCs w:val="24"/>
                <w:highlight w:val="none"/>
                <w:u w:val="none"/>
                <w:lang w:val="en-US"/>
              </w:rPr>
              <w:t>1、废气</w:t>
            </w:r>
          </w:p>
          <w:p>
            <w:pPr>
              <w:snapToGrid w:val="0"/>
              <w:spacing w:line="360" w:lineRule="auto"/>
              <w:ind w:right="44" w:rightChars="20" w:firstLine="482" w:firstLineChars="200"/>
              <w:jc w:val="both"/>
              <w:rPr>
                <w:rFonts w:hint="default" w:ascii="Times New Roman" w:hAnsi="Times New Roman" w:cs="Times New Roman"/>
                <w:b/>
                <w:color w:val="auto"/>
                <w:sz w:val="24"/>
                <w:szCs w:val="24"/>
                <w:highlight w:val="none"/>
                <w:u w:val="single"/>
                <w:lang w:val="en-US"/>
              </w:rPr>
            </w:pPr>
            <w:r>
              <w:rPr>
                <w:rFonts w:hint="default" w:ascii="Times New Roman" w:hAnsi="Times New Roman" w:cs="Times New Roman"/>
                <w:b/>
                <w:color w:val="auto"/>
                <w:sz w:val="24"/>
                <w:szCs w:val="24"/>
                <w:highlight w:val="none"/>
                <w:u w:val="single"/>
                <w:lang w:val="en-US"/>
              </w:rPr>
              <w:t>1.1废气情况</w:t>
            </w:r>
          </w:p>
          <w:p>
            <w:pPr>
              <w:adjustRightInd w:val="0"/>
              <w:snapToGrid w:val="0"/>
              <w:spacing w:line="360" w:lineRule="auto"/>
              <w:ind w:firstLine="482"/>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1）油漆废气</w:t>
            </w:r>
          </w:p>
          <w:p>
            <w:pPr>
              <w:adjustRightInd w:val="0"/>
              <w:snapToGrid w:val="0"/>
              <w:spacing w:line="360" w:lineRule="auto"/>
              <w:ind w:firstLine="482"/>
              <w:jc w:val="both"/>
              <w:rPr>
                <w:rFonts w:hint="default" w:ascii="Times New Roman" w:hAnsi="Times New Roman" w:cs="Times New Roman"/>
                <w:color w:val="auto"/>
                <w:sz w:val="24"/>
                <w:u w:val="single"/>
              </w:rPr>
              <w:pPrChange w:id="7" w:author="呼呼" w:date="2023-01-18T10:33:37Z">
                <w:pPr>
                  <w:adjustRightInd w:val="0"/>
                  <w:snapToGrid w:val="0"/>
                  <w:spacing w:line="360" w:lineRule="auto"/>
                  <w:ind w:firstLine="482"/>
                </w:pPr>
              </w:pPrChange>
            </w:pPr>
            <w:r>
              <w:rPr>
                <w:rFonts w:hint="default" w:ascii="Times New Roman" w:hAnsi="Times New Roman" w:cs="Times New Roman"/>
                <w:color w:val="auto"/>
                <w:sz w:val="24"/>
                <w:u w:val="single"/>
              </w:rPr>
              <w:t>主要来源于表面处理</w:t>
            </w:r>
            <w:ins w:id="8" w:author="呼呼" w:date="2023-01-18T10:40:39Z">
              <w:r>
                <w:rPr>
                  <w:rFonts w:hint="eastAsia" w:ascii="Times New Roman" w:hAnsi="Times New Roman" w:cs="Times New Roman"/>
                  <w:color w:val="auto"/>
                  <w:sz w:val="24"/>
                  <w:u w:val="single"/>
                  <w:lang w:val="en-US" w:eastAsia="zh-CN"/>
                </w:rPr>
                <w:t>上</w:t>
              </w:r>
            </w:ins>
            <w:ins w:id="9" w:author="呼呼" w:date="2023-01-18T10:40:40Z">
              <w:r>
                <w:rPr>
                  <w:rFonts w:hint="eastAsia" w:ascii="Times New Roman" w:hAnsi="Times New Roman" w:cs="Times New Roman"/>
                  <w:color w:val="auto"/>
                  <w:sz w:val="24"/>
                  <w:u w:val="single"/>
                  <w:lang w:val="en-US" w:eastAsia="zh-CN"/>
                </w:rPr>
                <w:t>色及</w:t>
              </w:r>
            </w:ins>
            <w:r>
              <w:rPr>
                <w:rFonts w:hint="eastAsia" w:ascii="Times New Roman" w:hAnsi="Times New Roman" w:cs="Times New Roman"/>
                <w:color w:val="auto"/>
                <w:sz w:val="24"/>
                <w:u w:val="single"/>
                <w:lang w:val="en-US"/>
              </w:rPr>
              <w:t>喷油</w:t>
            </w:r>
            <w:r>
              <w:rPr>
                <w:rFonts w:hint="eastAsia" w:ascii="Times New Roman" w:hAnsi="Times New Roman" w:cs="Times New Roman"/>
                <w:color w:val="auto"/>
                <w:sz w:val="24"/>
                <w:u w:val="single"/>
                <w:lang w:val="en-US" w:eastAsia="zh-CN"/>
              </w:rPr>
              <w:t>漆</w:t>
            </w:r>
            <w:r>
              <w:rPr>
                <w:rFonts w:hint="eastAsia" w:ascii="Times New Roman" w:hAnsi="Times New Roman" w:cs="Times New Roman"/>
                <w:color w:val="auto"/>
                <w:sz w:val="24"/>
                <w:u w:val="single"/>
                <w:lang w:val="en-US"/>
              </w:rPr>
              <w:t>工序，污染物包括</w:t>
            </w:r>
            <w:ins w:id="10" w:author="呼呼" w:date="2023-01-18T10:40:45Z">
              <w:r>
                <w:rPr>
                  <w:rFonts w:hint="eastAsia" w:ascii="Times New Roman" w:hAnsi="Times New Roman" w:cs="Times New Roman"/>
                  <w:color w:val="auto"/>
                  <w:sz w:val="24"/>
                  <w:u w:val="single"/>
                  <w:lang w:val="en-US" w:eastAsia="zh-CN"/>
                </w:rPr>
                <w:t>上</w:t>
              </w:r>
            </w:ins>
            <w:ins w:id="11" w:author="呼呼" w:date="2023-01-18T10:40:46Z">
              <w:r>
                <w:rPr>
                  <w:rFonts w:hint="eastAsia" w:ascii="Times New Roman" w:hAnsi="Times New Roman" w:cs="Times New Roman"/>
                  <w:color w:val="auto"/>
                  <w:sz w:val="24"/>
                  <w:u w:val="single"/>
                  <w:lang w:val="en-US" w:eastAsia="zh-CN"/>
                </w:rPr>
                <w:t>色及</w:t>
              </w:r>
            </w:ins>
            <w:ins w:id="12" w:author="呼呼" w:date="2023-01-18T10:40:48Z">
              <w:r>
                <w:rPr>
                  <w:rFonts w:hint="eastAsia" w:ascii="Times New Roman" w:hAnsi="Times New Roman" w:cs="Times New Roman"/>
                  <w:color w:val="auto"/>
                  <w:sz w:val="24"/>
                  <w:u w:val="single"/>
                  <w:lang w:val="en-US" w:eastAsia="zh-CN"/>
                </w:rPr>
                <w:t>喷漆</w:t>
              </w:r>
            </w:ins>
            <w:r>
              <w:rPr>
                <w:rFonts w:hint="default" w:ascii="Times New Roman" w:hAnsi="Times New Roman" w:cs="Times New Roman"/>
                <w:color w:val="auto"/>
                <w:sz w:val="24"/>
                <w:u w:val="single"/>
              </w:rPr>
              <w:t>产生的挥发</w:t>
            </w:r>
            <w:r>
              <w:rPr>
                <w:rFonts w:hint="default" w:ascii="Times New Roman" w:hAnsi="Times New Roman" w:cs="Times New Roman"/>
                <w:color w:val="auto"/>
                <w:sz w:val="24"/>
                <w:u w:val="single"/>
                <w:lang w:val="en-US" w:eastAsia="zh-CN"/>
              </w:rPr>
              <w:t>性</w:t>
            </w:r>
            <w:r>
              <w:rPr>
                <w:rFonts w:hint="default" w:ascii="Times New Roman" w:hAnsi="Times New Roman" w:cs="Times New Roman"/>
                <w:color w:val="auto"/>
                <w:sz w:val="24"/>
                <w:u w:val="single"/>
              </w:rPr>
              <w:t>有机废气，在喷油</w:t>
            </w:r>
            <w:r>
              <w:rPr>
                <w:rFonts w:hint="eastAsia" w:ascii="Times New Roman" w:hAnsi="Times New Roman" w:cs="Times New Roman"/>
                <w:color w:val="auto"/>
                <w:sz w:val="24"/>
                <w:u w:val="single"/>
                <w:lang w:val="en-US" w:eastAsia="zh-CN"/>
              </w:rPr>
              <w:t>漆</w:t>
            </w:r>
            <w:r>
              <w:rPr>
                <w:rFonts w:hint="default" w:ascii="Times New Roman" w:hAnsi="Times New Roman" w:cs="Times New Roman"/>
                <w:color w:val="auto"/>
                <w:sz w:val="24"/>
                <w:u w:val="single"/>
              </w:rPr>
              <w:t>工序产生挥发性有机废气，主要污染物为芳香烃以VOC</w:t>
            </w:r>
            <w:r>
              <w:rPr>
                <w:rFonts w:hint="default" w:ascii="Times New Roman" w:hAnsi="Times New Roman" w:cs="Times New Roman"/>
                <w:color w:val="auto"/>
                <w:sz w:val="24"/>
                <w:u w:val="single"/>
                <w:vertAlign w:val="subscript"/>
              </w:rPr>
              <w:t>S</w:t>
            </w:r>
            <w:r>
              <w:rPr>
                <w:rFonts w:hint="default" w:ascii="Times New Roman" w:hAnsi="Times New Roman" w:cs="Times New Roman"/>
                <w:color w:val="auto"/>
                <w:sz w:val="24"/>
                <w:u w:val="single"/>
              </w:rPr>
              <w:t>计。根据《湖南省制造业（工业涂装）VOC</w:t>
            </w:r>
            <w:r>
              <w:rPr>
                <w:rFonts w:hint="default" w:ascii="Times New Roman" w:hAnsi="Times New Roman" w:cs="Times New Roman"/>
                <w:color w:val="auto"/>
                <w:sz w:val="24"/>
                <w:u w:val="single"/>
                <w:vertAlign w:val="subscript"/>
              </w:rPr>
              <w:t>S</w:t>
            </w:r>
            <w:r>
              <w:rPr>
                <w:rFonts w:hint="default" w:ascii="Times New Roman" w:hAnsi="Times New Roman" w:cs="Times New Roman"/>
                <w:color w:val="auto"/>
                <w:sz w:val="24"/>
                <w:u w:val="single"/>
              </w:rPr>
              <w:t>排放量测算技术指南（试行）》表1可知，本项目使用</w:t>
            </w:r>
            <w:r>
              <w:rPr>
                <w:rFonts w:hint="default" w:ascii="Times New Roman" w:hAnsi="Times New Roman" w:cs="Times New Roman"/>
                <w:color w:val="auto"/>
                <w:sz w:val="24"/>
                <w:szCs w:val="24"/>
                <w:u w:val="single"/>
              </w:rPr>
              <w:t>水性漆</w:t>
            </w:r>
            <w:r>
              <w:rPr>
                <w:rFonts w:hint="default" w:ascii="Times New Roman" w:hAnsi="Times New Roman" w:cs="Times New Roman"/>
                <w:color w:val="auto"/>
                <w:sz w:val="24"/>
                <w:u w:val="single"/>
              </w:rPr>
              <w:t>中VOC</w:t>
            </w:r>
            <w:r>
              <w:rPr>
                <w:rFonts w:hint="default" w:ascii="Times New Roman" w:hAnsi="Times New Roman" w:cs="Times New Roman"/>
                <w:color w:val="auto"/>
                <w:sz w:val="24"/>
                <w:u w:val="single"/>
                <w:vertAlign w:val="subscript"/>
              </w:rPr>
              <w:t>S</w:t>
            </w:r>
            <w:r>
              <w:rPr>
                <w:rFonts w:hint="default" w:ascii="Times New Roman" w:hAnsi="Times New Roman" w:cs="Times New Roman"/>
                <w:color w:val="auto"/>
                <w:sz w:val="24"/>
                <w:u w:val="single"/>
              </w:rPr>
              <w:t>含量为15%，则经计算本项目产生</w:t>
            </w:r>
            <w:ins w:id="13" w:author="呼呼" w:date="2023-01-18T10:33:25Z">
              <w:r>
                <w:rPr>
                  <w:rFonts w:hint="eastAsia" w:ascii="Times New Roman" w:hAnsi="Times New Roman" w:cs="Times New Roman"/>
                  <w:color w:val="auto"/>
                  <w:sz w:val="24"/>
                  <w:u w:val="single"/>
                  <w:lang w:eastAsia="zh-CN"/>
                </w:rPr>
                <w:t>的</w:t>
              </w:r>
            </w:ins>
            <w:r>
              <w:rPr>
                <w:rFonts w:hint="default" w:ascii="Times New Roman" w:hAnsi="Times New Roman" w:cs="Times New Roman"/>
                <w:color w:val="auto"/>
                <w:sz w:val="24"/>
                <w:u w:val="single"/>
              </w:rPr>
              <w:t>VOC</w:t>
            </w:r>
            <w:r>
              <w:rPr>
                <w:rFonts w:hint="default" w:ascii="Times New Roman" w:hAnsi="Times New Roman" w:cs="Times New Roman"/>
                <w:color w:val="auto"/>
                <w:sz w:val="24"/>
                <w:u w:val="single"/>
                <w:vertAlign w:val="subscript"/>
              </w:rPr>
              <w:t>S</w:t>
            </w:r>
            <w:r>
              <w:rPr>
                <w:rFonts w:hint="default" w:ascii="Times New Roman" w:hAnsi="Times New Roman" w:cs="Times New Roman"/>
                <w:color w:val="auto"/>
                <w:sz w:val="24"/>
                <w:u w:val="single"/>
              </w:rPr>
              <w:t>为</w:t>
            </w:r>
            <w:r>
              <w:rPr>
                <w:rFonts w:hint="eastAsia" w:ascii="Times New Roman" w:hAnsi="Times New Roman" w:cs="Times New Roman"/>
                <w:color w:val="auto"/>
                <w:sz w:val="24"/>
                <w:u w:val="single"/>
                <w:lang w:val="en-US" w:eastAsia="zh-CN"/>
              </w:rPr>
              <w:t>1.005</w:t>
            </w:r>
            <w:r>
              <w:rPr>
                <w:rFonts w:hint="default" w:ascii="Times New Roman" w:hAnsi="Times New Roman" w:cs="Times New Roman"/>
                <w:color w:val="auto"/>
                <w:sz w:val="24"/>
                <w:u w:val="single"/>
              </w:rPr>
              <w:t>t/a，</w:t>
            </w:r>
            <w:ins w:id="14" w:author="呼呼" w:date="2023-01-18T10:36:17Z">
              <w:r>
                <w:rPr>
                  <w:rFonts w:hint="eastAsia" w:ascii="Times New Roman" w:hAnsi="Times New Roman" w:cs="Times New Roman"/>
                  <w:color w:val="auto"/>
                  <w:sz w:val="24"/>
                  <w:u w:val="single"/>
                  <w:lang w:eastAsia="zh-CN"/>
                </w:rPr>
                <w:t>喷漆房</w:t>
              </w:r>
            </w:ins>
            <w:r>
              <w:rPr>
                <w:rFonts w:hint="default" w:ascii="Times New Roman" w:hAnsi="Times New Roman" w:cs="Times New Roman"/>
                <w:color w:val="auto"/>
                <w:sz w:val="24"/>
                <w:u w:val="single"/>
              </w:rPr>
              <w:t>采用的风机收集风量按5000m</w:t>
            </w:r>
            <w:r>
              <w:rPr>
                <w:rFonts w:hint="default" w:ascii="Times New Roman" w:hAnsi="Times New Roman" w:cs="Times New Roman"/>
                <w:color w:val="auto"/>
                <w:sz w:val="24"/>
                <w:u w:val="single"/>
                <w:vertAlign w:val="superscript"/>
              </w:rPr>
              <w:t>3</w:t>
            </w:r>
            <w:r>
              <w:rPr>
                <w:rFonts w:hint="default" w:ascii="Times New Roman" w:hAnsi="Times New Roman" w:cs="Times New Roman"/>
                <w:color w:val="auto"/>
                <w:sz w:val="24"/>
                <w:u w:val="single"/>
              </w:rPr>
              <w:t>/h计（每天工作</w:t>
            </w:r>
            <w:r>
              <w:rPr>
                <w:rFonts w:hint="eastAsia" w:ascii="Times New Roman" w:hAnsi="Times New Roman" w:cs="Times New Roman"/>
                <w:color w:val="auto"/>
                <w:sz w:val="24"/>
                <w:u w:val="single"/>
                <w:lang w:val="en-US" w:eastAsia="zh-CN"/>
              </w:rPr>
              <w:t>8</w:t>
            </w:r>
            <w:r>
              <w:rPr>
                <w:rFonts w:hint="default" w:ascii="Times New Roman" w:hAnsi="Times New Roman" w:cs="Times New Roman"/>
                <w:color w:val="auto"/>
                <w:sz w:val="24"/>
                <w:u w:val="single"/>
              </w:rPr>
              <w:t>小时），则产生浓度为</w:t>
            </w:r>
            <w:r>
              <w:rPr>
                <w:rFonts w:hint="eastAsia" w:ascii="Times New Roman" w:hAnsi="Times New Roman" w:cs="Times New Roman"/>
                <w:color w:val="auto"/>
                <w:sz w:val="24"/>
                <w:u w:val="single"/>
                <w:lang w:val="en-US" w:eastAsia="zh-CN"/>
              </w:rPr>
              <w:t>83.75</w:t>
            </w:r>
            <w:r>
              <w:rPr>
                <w:rFonts w:hint="default" w:ascii="Times New Roman" w:hAnsi="Times New Roman" w:cs="Times New Roman"/>
                <w:color w:val="auto"/>
                <w:sz w:val="24"/>
                <w:u w:val="single"/>
              </w:rPr>
              <w:t>mg/m</w:t>
            </w:r>
            <w:r>
              <w:rPr>
                <w:rFonts w:hint="default" w:ascii="Times New Roman" w:hAnsi="Times New Roman" w:cs="Times New Roman"/>
                <w:color w:val="auto"/>
                <w:sz w:val="24"/>
                <w:u w:val="single"/>
                <w:vertAlign w:val="superscript"/>
              </w:rPr>
              <w:t>3</w:t>
            </w:r>
            <w:r>
              <w:rPr>
                <w:rFonts w:hint="default" w:ascii="Times New Roman" w:hAnsi="Times New Roman" w:cs="Times New Roman"/>
                <w:color w:val="auto"/>
                <w:sz w:val="24"/>
                <w:u w:val="single"/>
              </w:rPr>
              <w:t>。</w:t>
            </w:r>
          </w:p>
          <w:p>
            <w:pPr>
              <w:adjustRightInd w:val="0"/>
              <w:snapToGrid w:val="0"/>
              <w:spacing w:line="360" w:lineRule="auto"/>
              <w:ind w:firstLine="482"/>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本项目在厂房内设有一个独立的喷</w:t>
            </w:r>
            <w:r>
              <w:rPr>
                <w:rFonts w:hint="eastAsia" w:ascii="Times New Roman" w:hAnsi="Times New Roman" w:cs="Times New Roman"/>
                <w:color w:val="auto"/>
                <w:sz w:val="24"/>
                <w:u w:val="single"/>
                <w:lang w:val="en-US" w:eastAsia="zh-CN"/>
              </w:rPr>
              <w:t>漆</w:t>
            </w:r>
            <w:r>
              <w:rPr>
                <w:rFonts w:hint="default" w:ascii="Times New Roman" w:hAnsi="Times New Roman" w:cs="Times New Roman"/>
                <w:color w:val="auto"/>
                <w:sz w:val="24"/>
                <w:u w:val="single"/>
              </w:rPr>
              <w:t>房，喷油</w:t>
            </w:r>
            <w:r>
              <w:rPr>
                <w:rFonts w:hint="eastAsia" w:ascii="Times New Roman" w:hAnsi="Times New Roman" w:cs="Times New Roman"/>
                <w:color w:val="auto"/>
                <w:sz w:val="24"/>
                <w:u w:val="single"/>
                <w:lang w:val="en-US" w:eastAsia="zh-CN"/>
              </w:rPr>
              <w:t>漆</w:t>
            </w:r>
            <w:r>
              <w:rPr>
                <w:rFonts w:hint="default" w:ascii="Times New Roman" w:hAnsi="Times New Roman" w:cs="Times New Roman"/>
                <w:color w:val="auto"/>
                <w:sz w:val="24"/>
                <w:u w:val="single"/>
              </w:rPr>
              <w:t>工序中产生的有机废气经</w:t>
            </w:r>
            <w:r>
              <w:rPr>
                <w:rFonts w:hint="eastAsia" w:ascii="Times New Roman" w:hAnsi="Times New Roman" w:cs="Times New Roman"/>
                <w:color w:val="auto"/>
                <w:sz w:val="24"/>
                <w:u w:val="single"/>
                <w:lang w:val="en-US" w:eastAsia="zh-CN"/>
              </w:rPr>
              <w:t>集气罩</w:t>
            </w:r>
            <w:r>
              <w:rPr>
                <w:rFonts w:hint="default" w:ascii="Times New Roman" w:hAnsi="Times New Roman" w:cs="Times New Roman"/>
                <w:color w:val="auto"/>
                <w:sz w:val="24"/>
                <w:u w:val="single"/>
              </w:rPr>
              <w:t>收集</w:t>
            </w:r>
            <w:r>
              <w:rPr>
                <w:rFonts w:hint="eastAsia" w:ascii="Times New Roman" w:hAnsi="Times New Roman" w:cs="Times New Roman"/>
                <w:color w:val="auto"/>
                <w:sz w:val="24"/>
                <w:u w:val="single"/>
                <w:lang w:val="en-US" w:eastAsia="zh-CN"/>
              </w:rPr>
              <w:t>通过</w:t>
            </w:r>
            <w:r>
              <w:rPr>
                <w:rFonts w:hint="default" w:ascii="Times New Roman" w:hAnsi="Times New Roman" w:cs="Times New Roman"/>
                <w:color w:val="auto"/>
                <w:sz w:val="24"/>
                <w:u w:val="single"/>
              </w:rPr>
              <w:t>活性炭吸附处理</w:t>
            </w:r>
            <w:r>
              <w:rPr>
                <w:rFonts w:hint="eastAsia" w:ascii="Times New Roman" w:hAnsi="Times New Roman" w:cs="Times New Roman"/>
                <w:color w:val="auto"/>
                <w:sz w:val="24"/>
                <w:u w:val="single"/>
                <w:lang w:val="en-US" w:eastAsia="zh-CN"/>
              </w:rPr>
              <w:t>后</w:t>
            </w:r>
            <w:r>
              <w:rPr>
                <w:rFonts w:hint="default" w:ascii="Times New Roman" w:hAnsi="Times New Roman" w:cs="Times New Roman"/>
                <w:color w:val="auto"/>
                <w:sz w:val="24"/>
                <w:u w:val="single"/>
              </w:rPr>
              <w:t>经</w:t>
            </w:r>
            <w:r>
              <w:rPr>
                <w:rFonts w:hint="eastAsia" w:ascii="Times New Roman" w:hAnsi="Times New Roman" w:cs="Times New Roman"/>
                <w:color w:val="auto"/>
                <w:sz w:val="24"/>
                <w:u w:val="single"/>
                <w:lang w:val="en-US" w:eastAsia="zh-CN"/>
              </w:rPr>
              <w:t>20m(高于本栋四楼楼顶3m)</w:t>
            </w:r>
            <w:r>
              <w:rPr>
                <w:rFonts w:hint="default" w:ascii="Times New Roman" w:hAnsi="Times New Roman" w:cs="Times New Roman"/>
                <w:color w:val="auto"/>
                <w:sz w:val="24"/>
                <w:u w:val="single"/>
              </w:rPr>
              <w:t>排气筒排放。根据《湖南省制造业（工业涂装）VOCS排放量测算技术指南（试行）》表2可知活性炭吸附对有机废气的去除效率可达</w:t>
            </w:r>
            <w:r>
              <w:rPr>
                <w:rFonts w:hint="default" w:ascii="Times New Roman" w:hAnsi="Times New Roman" w:cs="Times New Roman"/>
                <w:color w:val="auto"/>
                <w:sz w:val="24"/>
                <w:u w:val="single"/>
                <w:lang w:val="en-US" w:eastAsia="zh-CN"/>
              </w:rPr>
              <w:t>8</w:t>
            </w:r>
            <w:r>
              <w:rPr>
                <w:rFonts w:hint="default" w:ascii="Times New Roman" w:hAnsi="Times New Roman" w:cs="Times New Roman"/>
                <w:color w:val="auto"/>
                <w:sz w:val="24"/>
                <w:u w:val="single"/>
              </w:rPr>
              <w:t>0%以上，则本项目有机废气经处理后VOC</w:t>
            </w:r>
            <w:r>
              <w:rPr>
                <w:rFonts w:hint="default" w:ascii="Times New Roman" w:hAnsi="Times New Roman" w:cs="Times New Roman"/>
                <w:color w:val="auto"/>
                <w:sz w:val="24"/>
                <w:u w:val="single"/>
                <w:vertAlign w:val="subscript"/>
              </w:rPr>
              <w:t>S</w:t>
            </w:r>
            <w:r>
              <w:rPr>
                <w:rFonts w:hint="default" w:ascii="Times New Roman" w:hAnsi="Times New Roman" w:cs="Times New Roman"/>
                <w:color w:val="auto"/>
                <w:sz w:val="24"/>
                <w:u w:val="single"/>
              </w:rPr>
              <w:t>的排放浓度为</w:t>
            </w:r>
            <w:r>
              <w:rPr>
                <w:rFonts w:hint="default" w:ascii="Times New Roman" w:hAnsi="Times New Roman" w:cs="Times New Roman"/>
                <w:color w:val="auto"/>
                <w:sz w:val="24"/>
                <w:u w:val="single"/>
                <w:lang w:val="en-US" w:eastAsia="zh-CN"/>
              </w:rPr>
              <w:t>1</w:t>
            </w:r>
            <w:r>
              <w:rPr>
                <w:rFonts w:hint="eastAsia" w:ascii="Times New Roman" w:hAnsi="Times New Roman" w:cs="Times New Roman"/>
                <w:color w:val="auto"/>
                <w:sz w:val="24"/>
                <w:u w:val="single"/>
                <w:lang w:val="en-US" w:eastAsia="zh-CN"/>
              </w:rPr>
              <w:t>6.75</w:t>
            </w:r>
            <w:r>
              <w:rPr>
                <w:rFonts w:hint="default" w:ascii="Times New Roman" w:hAnsi="Times New Roman" w:cs="Times New Roman"/>
                <w:color w:val="auto"/>
                <w:sz w:val="24"/>
                <w:u w:val="single"/>
              </w:rPr>
              <w:t>mg/m</w:t>
            </w:r>
            <w:r>
              <w:rPr>
                <w:rFonts w:hint="default" w:ascii="Times New Roman" w:hAnsi="Times New Roman" w:cs="Times New Roman"/>
                <w:color w:val="auto"/>
                <w:sz w:val="24"/>
                <w:u w:val="single"/>
                <w:vertAlign w:val="superscript"/>
              </w:rPr>
              <w:t>3</w:t>
            </w:r>
            <w:r>
              <w:rPr>
                <w:rFonts w:hint="default" w:ascii="Times New Roman" w:hAnsi="Times New Roman" w:cs="Times New Roman"/>
                <w:color w:val="auto"/>
                <w:sz w:val="24"/>
                <w:u w:val="single"/>
              </w:rPr>
              <w:t>，排放量为0</w:t>
            </w:r>
            <w:r>
              <w:rPr>
                <w:rFonts w:hint="eastAsia" w:ascii="Times New Roman" w:hAnsi="Times New Roman" w:cs="Times New Roman"/>
                <w:color w:val="auto"/>
                <w:sz w:val="24"/>
                <w:u w:val="single"/>
                <w:lang w:val="en-US" w:eastAsia="zh-CN"/>
              </w:rPr>
              <w:t>.201</w:t>
            </w:r>
            <w:r>
              <w:rPr>
                <w:rFonts w:hint="default" w:ascii="Times New Roman" w:hAnsi="Times New Roman" w:cs="Times New Roman"/>
                <w:color w:val="auto"/>
                <w:sz w:val="24"/>
                <w:u w:val="single"/>
              </w:rPr>
              <w:t>t/a。</w:t>
            </w:r>
          </w:p>
          <w:p>
            <w:pPr>
              <w:adjustRightInd w:val="0"/>
              <w:snapToGrid w:val="0"/>
              <w:spacing w:line="360" w:lineRule="auto"/>
              <w:ind w:firstLine="482"/>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2）移印废气</w:t>
            </w:r>
          </w:p>
          <w:p>
            <w:pPr>
              <w:adjustRightInd w:val="0"/>
              <w:snapToGrid w:val="0"/>
              <w:spacing w:line="360" w:lineRule="auto"/>
              <w:ind w:firstLine="482"/>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在印刷过程中，采用环保大豆油墨，因油墨的挥发而产生少量的油墨异味（以VOCs计），本项目采用的环保大豆油墨挥发性成分在15%以下，本项目以15%计，则本项目移印过程中产生的VOC</w:t>
            </w:r>
            <w:r>
              <w:rPr>
                <w:rFonts w:hint="default" w:ascii="Times New Roman" w:hAnsi="Times New Roman" w:cs="Times New Roman"/>
                <w:color w:val="auto"/>
                <w:sz w:val="24"/>
                <w:szCs w:val="24"/>
                <w:u w:val="single"/>
                <w:vertAlign w:val="subscript"/>
              </w:rPr>
              <w:t>S</w:t>
            </w:r>
            <w:r>
              <w:rPr>
                <w:rFonts w:hint="default" w:ascii="Times New Roman" w:hAnsi="Times New Roman" w:cs="Times New Roman"/>
                <w:color w:val="auto"/>
                <w:sz w:val="24"/>
                <w:szCs w:val="24"/>
                <w:u w:val="single"/>
              </w:rPr>
              <w:t>约为0.0075t。</w:t>
            </w:r>
          </w:p>
          <w:p>
            <w:pPr>
              <w:adjustRightInd w:val="0"/>
              <w:snapToGrid w:val="0"/>
              <w:spacing w:line="360" w:lineRule="auto"/>
              <w:ind w:firstLine="482"/>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项目拟采取在移印机上方设置集气置（集气效率90%）</w:t>
            </w:r>
            <w:r>
              <w:rPr>
                <w:rFonts w:hint="eastAsia" w:ascii="Times New Roman" w:hAnsi="Times New Roman" w:cs="Times New Roman"/>
                <w:color w:val="auto"/>
                <w:sz w:val="24"/>
                <w:u w:val="single"/>
                <w:lang w:eastAsia="zh-CN"/>
              </w:rPr>
              <w:t>，</w:t>
            </w:r>
            <w:r>
              <w:rPr>
                <w:rFonts w:hint="default" w:ascii="Times New Roman" w:hAnsi="Times New Roman" w:cs="Times New Roman"/>
                <w:color w:val="auto"/>
                <w:sz w:val="24"/>
                <w:u w:val="single"/>
              </w:rPr>
              <w:t>再通过活性炭吸附处理后经</w:t>
            </w:r>
            <w:r>
              <w:rPr>
                <w:rFonts w:hint="eastAsia" w:ascii="Times New Roman" w:hAnsi="Times New Roman" w:cs="Times New Roman"/>
                <w:color w:val="auto"/>
                <w:sz w:val="24"/>
                <w:u w:val="single"/>
                <w:lang w:val="en-US" w:eastAsia="zh-CN"/>
              </w:rPr>
              <w:t>20</w:t>
            </w:r>
            <w:r>
              <w:rPr>
                <w:rFonts w:hint="default" w:ascii="Times New Roman" w:hAnsi="Times New Roman" w:cs="Times New Roman"/>
                <w:color w:val="auto"/>
                <w:sz w:val="24"/>
                <w:u w:val="single"/>
              </w:rPr>
              <w:t>m排气筒排放</w:t>
            </w:r>
            <w:r>
              <w:rPr>
                <w:rFonts w:hint="default" w:ascii="Times New Roman" w:hAnsi="Times New Roman" w:cs="Times New Roman"/>
                <w:color w:val="FF0000"/>
                <w:sz w:val="24"/>
                <w:u w:val="single"/>
              </w:rPr>
              <w:t>（与喷</w:t>
            </w:r>
            <w:ins w:id="15" w:author="呼呼" w:date="2023-01-18T10:31:51Z">
              <w:r>
                <w:rPr>
                  <w:rFonts w:hint="eastAsia" w:ascii="Times New Roman" w:hAnsi="Times New Roman" w:cs="Times New Roman"/>
                  <w:color w:val="FF0000"/>
                  <w:sz w:val="24"/>
                  <w:u w:val="single"/>
                  <w:lang w:val="en-US" w:eastAsia="zh-CN"/>
                </w:rPr>
                <w:t>漆</w:t>
              </w:r>
            </w:ins>
            <w:r>
              <w:rPr>
                <w:rFonts w:hint="default" w:ascii="Times New Roman" w:hAnsi="Times New Roman" w:cs="Times New Roman"/>
                <w:color w:val="FF0000"/>
                <w:sz w:val="24"/>
                <w:u w:val="single"/>
              </w:rPr>
              <w:t>房废气共用）</w:t>
            </w:r>
            <w:r>
              <w:rPr>
                <w:rFonts w:hint="default" w:ascii="Times New Roman" w:hAnsi="Times New Roman" w:cs="Times New Roman"/>
                <w:color w:val="auto"/>
                <w:sz w:val="24"/>
                <w:u w:val="single"/>
              </w:rPr>
              <w:t>，则本项目移印工序有机废气经处理后VOC</w:t>
            </w:r>
            <w:r>
              <w:rPr>
                <w:rFonts w:hint="default" w:ascii="Times New Roman" w:hAnsi="Times New Roman" w:cs="Times New Roman"/>
                <w:color w:val="auto"/>
                <w:sz w:val="24"/>
                <w:u w:val="single"/>
                <w:vertAlign w:val="subscript"/>
              </w:rPr>
              <w:t>S</w:t>
            </w:r>
            <w:r>
              <w:rPr>
                <w:rFonts w:hint="default" w:ascii="Times New Roman" w:hAnsi="Times New Roman" w:cs="Times New Roman"/>
                <w:color w:val="auto"/>
                <w:sz w:val="24"/>
                <w:u w:val="single"/>
              </w:rPr>
              <w:t>的排放浓度为0.033mg/m</w:t>
            </w:r>
            <w:r>
              <w:rPr>
                <w:rFonts w:hint="default" w:ascii="Times New Roman" w:hAnsi="Times New Roman" w:cs="Times New Roman"/>
                <w:color w:val="auto"/>
                <w:sz w:val="24"/>
                <w:u w:val="single"/>
                <w:vertAlign w:val="superscript"/>
              </w:rPr>
              <w:t>3</w:t>
            </w:r>
            <w:r>
              <w:rPr>
                <w:rFonts w:hint="default" w:ascii="Times New Roman" w:hAnsi="Times New Roman" w:cs="Times New Roman"/>
                <w:color w:val="auto"/>
                <w:sz w:val="24"/>
                <w:u w:val="single"/>
              </w:rPr>
              <w:t>，排放量0.0002t/a。无组织排放量为0.00075t/a。</w:t>
            </w:r>
          </w:p>
          <w:p>
            <w:pPr>
              <w:adjustRightInd w:val="0"/>
              <w:snapToGrid w:val="0"/>
              <w:spacing w:line="360" w:lineRule="auto"/>
              <w:ind w:firstLine="482"/>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3）注塑废气</w:t>
            </w:r>
          </w:p>
          <w:p>
            <w:pPr>
              <w:adjustRightInd w:val="0"/>
              <w:snapToGrid w:val="0"/>
              <w:spacing w:line="360" w:lineRule="auto"/>
              <w:ind w:firstLine="482"/>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在注塑机挤出工段会产生少量挥发性有机废气（VOCs），VOCs产生源强根据《空气污染物排放和控制手册》（美国国家环保局）中推荐的公式和本项目建成后物料的实际使用量计算VOCs排放量。该手册认为在无控制措施时，VOCs的排放系数为0.35kg/t原料；本项目的原料使用量为</w:t>
            </w:r>
            <w:r>
              <w:rPr>
                <w:rFonts w:hint="default" w:ascii="Times New Roman" w:hAnsi="Times New Roman" w:cs="Times New Roman"/>
                <w:color w:val="auto"/>
                <w:sz w:val="24"/>
                <w:u w:val="single"/>
                <w:lang w:val="en-US" w:eastAsia="zh-CN"/>
              </w:rPr>
              <w:t>580</w:t>
            </w:r>
            <w:r>
              <w:rPr>
                <w:rFonts w:hint="default" w:ascii="Times New Roman" w:hAnsi="Times New Roman" w:cs="Times New Roman"/>
                <w:color w:val="auto"/>
                <w:sz w:val="24"/>
                <w:u w:val="single"/>
              </w:rPr>
              <w:t>t/a，VOCs废气产生量约为0.</w:t>
            </w:r>
            <w:r>
              <w:rPr>
                <w:rFonts w:hint="default" w:ascii="Times New Roman" w:hAnsi="Times New Roman" w:cs="Times New Roman"/>
                <w:color w:val="auto"/>
                <w:sz w:val="24"/>
                <w:u w:val="single"/>
                <w:lang w:val="en-US" w:eastAsia="zh-CN"/>
              </w:rPr>
              <w:t>203</w:t>
            </w:r>
            <w:r>
              <w:rPr>
                <w:rFonts w:hint="default" w:ascii="Times New Roman" w:hAnsi="Times New Roman" w:cs="Times New Roman"/>
                <w:color w:val="auto"/>
                <w:sz w:val="24"/>
                <w:u w:val="single"/>
              </w:rPr>
              <w:t>t/a，本项目采用活性炭吸附处理后由</w:t>
            </w:r>
            <w:r>
              <w:rPr>
                <w:rFonts w:hint="eastAsia" w:ascii="Times New Roman" w:hAnsi="Times New Roman" w:cs="Times New Roman"/>
                <w:color w:val="auto"/>
                <w:sz w:val="24"/>
                <w:u w:val="single"/>
                <w:lang w:val="en-US" w:eastAsia="zh-CN"/>
              </w:rPr>
              <w:t>20</w:t>
            </w:r>
            <w:r>
              <w:rPr>
                <w:rFonts w:hint="default" w:ascii="Times New Roman" w:hAnsi="Times New Roman" w:cs="Times New Roman"/>
                <w:color w:val="auto"/>
                <w:sz w:val="24"/>
                <w:u w:val="single"/>
              </w:rPr>
              <w:t>m（与移印废气、油色废气共用）排气筒高空排放，集气效率以9</w:t>
            </w:r>
            <w:r>
              <w:rPr>
                <w:rFonts w:hint="default" w:ascii="Times New Roman" w:hAnsi="Times New Roman" w:cs="Times New Roman"/>
                <w:color w:val="auto"/>
                <w:sz w:val="24"/>
                <w:u w:val="single"/>
                <w:lang w:val="en-US" w:eastAsia="zh-CN"/>
              </w:rPr>
              <w:t>5</w:t>
            </w:r>
            <w:r>
              <w:rPr>
                <w:rFonts w:hint="default" w:ascii="Times New Roman" w:hAnsi="Times New Roman" w:cs="Times New Roman"/>
                <w:color w:val="auto"/>
                <w:sz w:val="24"/>
                <w:u w:val="single"/>
              </w:rPr>
              <w:t>%计，风机风量5000m³/h。去除效率以</w:t>
            </w:r>
            <w:r>
              <w:rPr>
                <w:rFonts w:hint="eastAsia" w:ascii="Times New Roman" w:hAnsi="Times New Roman" w:cs="Times New Roman"/>
                <w:color w:val="auto"/>
                <w:sz w:val="24"/>
                <w:u w:val="single"/>
                <w:lang w:val="en-US" w:eastAsia="zh-CN"/>
              </w:rPr>
              <w:t>8</w:t>
            </w:r>
            <w:r>
              <w:rPr>
                <w:rFonts w:hint="default" w:ascii="Times New Roman" w:hAnsi="Times New Roman" w:cs="Times New Roman"/>
                <w:color w:val="auto"/>
                <w:sz w:val="24"/>
                <w:u w:val="single"/>
              </w:rPr>
              <w:t>0%计，由此计算本项目挥发性有机废气VOCs无组织排放量为</w:t>
            </w:r>
            <w:r>
              <w:rPr>
                <w:rFonts w:hint="eastAsia" w:ascii="Times New Roman" w:hAnsi="Times New Roman" w:cs="Times New Roman"/>
                <w:color w:val="auto"/>
                <w:sz w:val="24"/>
                <w:u w:val="single"/>
                <w:lang w:val="en-US" w:eastAsia="zh-CN"/>
              </w:rPr>
              <w:t>0.01015</w:t>
            </w:r>
            <w:r>
              <w:rPr>
                <w:rFonts w:hint="default" w:ascii="Times New Roman" w:hAnsi="Times New Roman" w:cs="Times New Roman"/>
                <w:color w:val="auto"/>
                <w:sz w:val="24"/>
                <w:u w:val="single"/>
              </w:rPr>
              <w:t>t/a，有组织排放量为0</w:t>
            </w:r>
            <w:r>
              <w:rPr>
                <w:rFonts w:hint="eastAsia" w:ascii="Times New Roman" w:hAnsi="Times New Roman" w:cs="Times New Roman"/>
                <w:color w:val="auto"/>
                <w:sz w:val="24"/>
                <w:u w:val="single"/>
                <w:lang w:val="en-US" w:eastAsia="zh-CN"/>
              </w:rPr>
              <w:t>.03857</w:t>
            </w:r>
            <w:r>
              <w:rPr>
                <w:rFonts w:hint="default" w:ascii="Times New Roman" w:hAnsi="Times New Roman" w:cs="Times New Roman"/>
                <w:color w:val="auto"/>
                <w:sz w:val="24"/>
                <w:u w:val="single"/>
              </w:rPr>
              <w:t>t/a，</w:t>
            </w:r>
            <w:r>
              <w:rPr>
                <w:rFonts w:hint="eastAsia" w:ascii="Times New Roman" w:hAnsi="Times New Roman" w:cs="Times New Roman"/>
                <w:color w:val="auto"/>
                <w:sz w:val="24"/>
                <w:u w:val="single"/>
                <w:lang w:val="en-US" w:eastAsia="zh-CN"/>
              </w:rPr>
              <w:t>3.21</w:t>
            </w:r>
            <w:r>
              <w:rPr>
                <w:rFonts w:hint="default" w:ascii="Times New Roman" w:hAnsi="Times New Roman" w:cs="Times New Roman"/>
                <w:color w:val="auto"/>
                <w:sz w:val="24"/>
                <w:u w:val="single"/>
              </w:rPr>
              <w:t>mg/m</w:t>
            </w:r>
            <w:r>
              <w:rPr>
                <w:rFonts w:hint="default" w:ascii="Times New Roman" w:hAnsi="Times New Roman" w:cs="Times New Roman"/>
                <w:color w:val="auto"/>
                <w:sz w:val="24"/>
                <w:u w:val="single"/>
                <w:vertAlign w:val="superscript"/>
              </w:rPr>
              <w:t>3</w:t>
            </w:r>
            <w:r>
              <w:rPr>
                <w:rFonts w:hint="default" w:ascii="Times New Roman" w:hAnsi="Times New Roman" w:cs="Times New Roman"/>
                <w:color w:val="auto"/>
                <w:sz w:val="24"/>
                <w:u w:val="single"/>
              </w:rPr>
              <w:t>。</w:t>
            </w:r>
          </w:p>
          <w:p>
            <w:pPr>
              <w:adjustRightInd w:val="0"/>
              <w:snapToGrid w:val="0"/>
              <w:spacing w:line="360" w:lineRule="auto"/>
              <w:ind w:firstLine="482"/>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综上，本项目有机废气（VOCs）总排放</w:t>
            </w:r>
            <w:r>
              <w:rPr>
                <w:rFonts w:hint="default" w:ascii="Times New Roman" w:hAnsi="Times New Roman" w:cs="Times New Roman"/>
                <w:color w:val="auto"/>
                <w:sz w:val="24"/>
                <w:szCs w:val="24"/>
                <w:highlight w:val="none"/>
                <w:u w:val="single"/>
                <w:lang w:val="en-US"/>
              </w:rPr>
              <w:t>量：有组</w:t>
            </w:r>
            <w:r>
              <w:rPr>
                <w:rFonts w:hint="default" w:ascii="Times New Roman" w:hAnsi="Times New Roman" w:cs="Times New Roman"/>
                <w:color w:val="auto"/>
                <w:sz w:val="24"/>
                <w:u w:val="single"/>
              </w:rPr>
              <w:t>织</w:t>
            </w:r>
            <w:r>
              <w:rPr>
                <w:rFonts w:hint="eastAsia" w:ascii="Times New Roman" w:hAnsi="Times New Roman" w:cs="Times New Roman"/>
                <w:color w:val="auto"/>
                <w:sz w:val="24"/>
                <w:u w:val="single"/>
                <w:lang w:eastAsia="zh-CN"/>
              </w:rPr>
              <w:t>0.23977</w:t>
            </w:r>
            <w:r>
              <w:rPr>
                <w:rFonts w:hint="default" w:ascii="Times New Roman" w:hAnsi="Times New Roman" w:cs="Times New Roman"/>
                <w:color w:val="auto"/>
                <w:sz w:val="24"/>
                <w:u w:val="single"/>
              </w:rPr>
              <w:t>t/a</w:t>
            </w:r>
            <w:r>
              <w:rPr>
                <w:rFonts w:hint="eastAsia" w:ascii="Times New Roman" w:hAnsi="Times New Roman" w:cs="Times New Roman"/>
                <w:color w:val="auto"/>
                <w:sz w:val="24"/>
                <w:u w:val="single"/>
                <w:lang w:eastAsia="zh-CN"/>
              </w:rPr>
              <w:t>，</w:t>
            </w:r>
            <w:r>
              <w:rPr>
                <w:rFonts w:hint="eastAsia" w:ascii="Times New Roman" w:hAnsi="Times New Roman" w:cs="Times New Roman"/>
                <w:color w:val="auto"/>
                <w:sz w:val="24"/>
                <w:u w:val="single"/>
                <w:lang w:val="en-US" w:eastAsia="zh-CN"/>
              </w:rPr>
              <w:t>19.98</w:t>
            </w:r>
            <w:r>
              <w:rPr>
                <w:rFonts w:hint="default" w:ascii="Times New Roman" w:hAnsi="Times New Roman" w:cs="Times New Roman"/>
                <w:color w:val="auto"/>
                <w:sz w:val="24"/>
                <w:u w:val="single"/>
              </w:rPr>
              <w:t>mg/m</w:t>
            </w:r>
            <w:r>
              <w:rPr>
                <w:rFonts w:hint="default" w:ascii="Times New Roman" w:hAnsi="Times New Roman" w:cs="Times New Roman"/>
                <w:color w:val="auto"/>
                <w:sz w:val="24"/>
                <w:u w:val="single"/>
                <w:vertAlign w:val="superscript"/>
              </w:rPr>
              <w:t>3</w:t>
            </w:r>
            <w:r>
              <w:rPr>
                <w:rFonts w:hint="eastAsia" w:ascii="Times New Roman" w:hAnsi="Times New Roman" w:cs="Times New Roman"/>
                <w:color w:val="auto"/>
                <w:sz w:val="24"/>
                <w:u w:val="single"/>
                <w:lang w:val="en-US" w:eastAsia="zh-CN"/>
              </w:rPr>
              <w:t>，</w:t>
            </w:r>
            <w:r>
              <w:rPr>
                <w:rFonts w:hint="default" w:ascii="Times New Roman" w:hAnsi="Times New Roman" w:cs="Times New Roman"/>
                <w:color w:val="auto"/>
                <w:sz w:val="24"/>
                <w:u w:val="single"/>
              </w:rPr>
              <w:t>无组织：</w:t>
            </w:r>
            <w:r>
              <w:rPr>
                <w:rFonts w:hint="eastAsia" w:ascii="Times New Roman" w:hAnsi="Times New Roman" w:cs="Times New Roman"/>
                <w:color w:val="auto"/>
                <w:sz w:val="24"/>
                <w:u w:val="single"/>
                <w:lang w:val="en-US" w:eastAsia="zh-CN"/>
              </w:rPr>
              <w:t>0.0109</w:t>
            </w:r>
            <w:r>
              <w:rPr>
                <w:rFonts w:hint="default" w:ascii="Times New Roman" w:hAnsi="Times New Roman" w:cs="Times New Roman"/>
                <w:color w:val="auto"/>
                <w:sz w:val="24"/>
                <w:u w:val="single"/>
              </w:rPr>
              <w:t>t/a。</w:t>
            </w:r>
          </w:p>
          <w:p>
            <w:pPr>
              <w:pStyle w:val="11"/>
              <w:spacing w:line="360" w:lineRule="auto"/>
              <w:ind w:left="44" w:leftChars="20" w:right="44" w:rightChars="20" w:firstLine="480" w:firstLineChars="200"/>
              <w:jc w:val="both"/>
              <w:rPr>
                <w:rFonts w:hint="default" w:ascii="Times New Roman" w:hAnsi="Times New Roman" w:eastAsia="宋体" w:cs="Times New Roman"/>
                <w:color w:val="auto"/>
                <w:sz w:val="24"/>
                <w:szCs w:val="24"/>
                <w:highlight w:val="none"/>
                <w:u w:val="single"/>
                <w:lang w:val="en-US"/>
              </w:rPr>
            </w:pPr>
            <w:r>
              <w:rPr>
                <w:rFonts w:hint="default" w:ascii="Times New Roman" w:hAnsi="Times New Roman" w:eastAsia="宋体" w:cs="Times New Roman"/>
                <w:color w:val="auto"/>
                <w:sz w:val="24"/>
                <w:szCs w:val="24"/>
                <w:highlight w:val="none"/>
                <w:u w:val="single"/>
                <w:lang w:val="en-US"/>
              </w:rPr>
              <w:t>（3）治理设施</w:t>
            </w:r>
          </w:p>
          <w:p>
            <w:pPr>
              <w:spacing w:line="360" w:lineRule="auto"/>
              <w:ind w:left="44" w:leftChars="20" w:right="44" w:rightChars="20" w:firstLine="480" w:firstLineChars="200"/>
              <w:jc w:val="both"/>
              <w:rPr>
                <w:rFonts w:hint="default" w:ascii="Times New Roman" w:hAnsi="Times New Roman" w:cs="Times New Roman"/>
                <w:color w:val="auto"/>
                <w:sz w:val="24"/>
                <w:szCs w:val="24"/>
                <w:highlight w:val="none"/>
                <w:u w:val="single"/>
                <w:lang w:val="en-US"/>
              </w:rPr>
            </w:pPr>
            <w:ins w:id="16" w:author="呼呼" w:date="2023-01-18T10:37:54Z">
              <w:r>
                <w:rPr>
                  <w:rFonts w:hint="eastAsia" w:ascii="Times New Roman" w:hAnsi="Times New Roman" w:cs="Times New Roman"/>
                  <w:color w:val="auto"/>
                  <w:sz w:val="24"/>
                  <w:szCs w:val="24"/>
                  <w:highlight w:val="none"/>
                  <w:u w:val="single"/>
                  <w:lang w:val="en-US" w:eastAsia="zh-CN"/>
                </w:rPr>
                <w:t>染色、喷漆</w:t>
              </w:r>
            </w:ins>
            <w:r>
              <w:rPr>
                <w:rFonts w:hint="default" w:ascii="Times New Roman" w:hAnsi="Times New Roman" w:cs="Times New Roman"/>
                <w:color w:val="auto"/>
                <w:sz w:val="24"/>
                <w:szCs w:val="24"/>
                <w:highlight w:val="none"/>
                <w:u w:val="single"/>
                <w:lang w:val="en-US"/>
              </w:rPr>
              <w:t>、移印</w:t>
            </w:r>
            <w:r>
              <w:rPr>
                <w:rFonts w:hint="eastAsia" w:ascii="Times New Roman" w:hAnsi="Times New Roman" w:cs="Times New Roman"/>
                <w:color w:val="auto"/>
                <w:sz w:val="24"/>
                <w:szCs w:val="24"/>
                <w:highlight w:val="none"/>
                <w:u w:val="single"/>
                <w:lang w:val="en-US" w:eastAsia="zh-CN"/>
              </w:rPr>
              <w:t>、注塑</w:t>
            </w:r>
            <w:r>
              <w:rPr>
                <w:rFonts w:hint="default" w:ascii="Times New Roman" w:hAnsi="Times New Roman" w:cs="Times New Roman"/>
                <w:color w:val="auto"/>
                <w:sz w:val="24"/>
                <w:szCs w:val="24"/>
                <w:highlight w:val="none"/>
                <w:u w:val="single"/>
                <w:lang w:val="en-US"/>
              </w:rPr>
              <w:t>工序上方分别设置集气罩，有机废气经集气罩收集后，收集管道汇合后在排风机（风量为5000m</w:t>
            </w:r>
            <w:r>
              <w:rPr>
                <w:rFonts w:hint="default" w:ascii="Times New Roman" w:hAnsi="Times New Roman" w:cs="Times New Roman"/>
                <w:color w:val="auto"/>
                <w:sz w:val="24"/>
                <w:szCs w:val="24"/>
                <w:highlight w:val="none"/>
                <w:u w:val="single"/>
                <w:vertAlign w:val="superscript"/>
                <w:lang w:val="en-US"/>
              </w:rPr>
              <w:t>3</w:t>
            </w:r>
            <w:r>
              <w:rPr>
                <w:rFonts w:hint="default" w:ascii="Times New Roman" w:hAnsi="Times New Roman" w:cs="Times New Roman"/>
                <w:color w:val="auto"/>
                <w:sz w:val="24"/>
                <w:szCs w:val="24"/>
                <w:highlight w:val="none"/>
                <w:u w:val="single"/>
                <w:lang w:val="en-US"/>
              </w:rPr>
              <w:t>/h）引力的作用下抽送至屋顶设置的</w:t>
            </w:r>
            <w:r>
              <w:rPr>
                <w:rFonts w:hint="default" w:ascii="Times New Roman" w:hAnsi="Times New Roman" w:cs="Times New Roman"/>
                <w:color w:val="auto"/>
                <w:sz w:val="24"/>
                <w:szCs w:val="24"/>
                <w:highlight w:val="none"/>
                <w:u w:val="single"/>
                <w:lang w:val="en-US" w:eastAsia="zh-CN"/>
              </w:rPr>
              <w:t>活性炭吸附</w:t>
            </w:r>
            <w:r>
              <w:rPr>
                <w:rFonts w:hint="eastAsia" w:ascii="Times New Roman" w:hAnsi="Times New Roman" w:cs="Times New Roman"/>
                <w:color w:val="auto"/>
                <w:sz w:val="24"/>
                <w:szCs w:val="24"/>
                <w:highlight w:val="none"/>
                <w:u w:val="single"/>
                <w:lang w:val="en-US" w:eastAsia="zh-CN"/>
              </w:rPr>
              <w:t>装置</w:t>
            </w:r>
            <w:r>
              <w:rPr>
                <w:rFonts w:hint="default" w:ascii="Times New Roman" w:hAnsi="Times New Roman" w:cs="Times New Roman"/>
                <w:color w:val="auto"/>
                <w:sz w:val="24"/>
                <w:szCs w:val="24"/>
                <w:highlight w:val="none"/>
                <w:u w:val="single"/>
                <w:lang w:val="en-US"/>
              </w:rPr>
              <w:t>处理后通过</w:t>
            </w:r>
            <w:r>
              <w:rPr>
                <w:rFonts w:hint="eastAsia" w:ascii="Times New Roman" w:hAnsi="Times New Roman" w:cs="Times New Roman"/>
                <w:color w:val="auto"/>
                <w:sz w:val="24"/>
                <w:szCs w:val="24"/>
                <w:highlight w:val="none"/>
                <w:u w:val="single"/>
                <w:lang w:val="en-US" w:eastAsia="zh-CN"/>
              </w:rPr>
              <w:t>20m(高于本栋四楼楼顶3m)</w:t>
            </w:r>
            <w:r>
              <w:rPr>
                <w:rFonts w:hint="default" w:ascii="Times New Roman" w:hAnsi="Times New Roman" w:cs="Times New Roman"/>
                <w:color w:val="auto"/>
                <w:sz w:val="24"/>
                <w:szCs w:val="24"/>
                <w:highlight w:val="none"/>
                <w:u w:val="single"/>
                <w:lang w:val="en-US"/>
              </w:rPr>
              <w:t>排气筒排放。</w:t>
            </w:r>
          </w:p>
          <w:p>
            <w:pPr>
              <w:pStyle w:val="11"/>
              <w:spacing w:line="360" w:lineRule="auto"/>
              <w:ind w:left="44" w:leftChars="20" w:right="44" w:rightChars="20" w:firstLine="480" w:firstLineChars="200"/>
              <w:jc w:val="both"/>
              <w:rPr>
                <w:rFonts w:hint="default" w:ascii="Times New Roman" w:hAnsi="Times New Roman" w:eastAsia="宋体" w:cs="Times New Roman"/>
                <w:color w:val="auto"/>
                <w:sz w:val="24"/>
                <w:szCs w:val="24"/>
                <w:highlight w:val="none"/>
                <w:u w:val="single"/>
                <w:lang w:val="en-US"/>
              </w:rPr>
            </w:pPr>
            <w:r>
              <w:rPr>
                <w:rFonts w:hint="default" w:ascii="Times New Roman" w:hAnsi="Times New Roman" w:eastAsia="宋体" w:cs="Times New Roman"/>
                <w:color w:val="auto"/>
                <w:sz w:val="24"/>
                <w:szCs w:val="24"/>
                <w:highlight w:val="none"/>
                <w:u w:val="single"/>
                <w:lang w:val="en-US"/>
              </w:rPr>
              <w:t>通过加强车间生产管理与设备维护，加强机械通风，严格遵守生产设备技术规范操作生产等措施以减少该废气的产生及排放量。</w:t>
            </w:r>
          </w:p>
          <w:p>
            <w:pPr>
              <w:pStyle w:val="11"/>
              <w:spacing w:line="360" w:lineRule="auto"/>
              <w:ind w:left="44" w:leftChars="20" w:right="44" w:rightChars="20" w:firstLine="480" w:firstLineChars="200"/>
              <w:jc w:val="both"/>
              <w:rPr>
                <w:rFonts w:hint="default" w:ascii="Times New Roman" w:hAnsi="Times New Roman" w:cs="Times New Roman"/>
                <w:color w:val="auto"/>
                <w:sz w:val="24"/>
                <w:szCs w:val="24"/>
                <w:highlight w:val="none"/>
                <w:u w:val="single"/>
                <w:lang w:val="en-US"/>
              </w:rPr>
            </w:pPr>
            <w:r>
              <w:rPr>
                <w:rFonts w:hint="default" w:ascii="Times New Roman" w:hAnsi="Times New Roman" w:eastAsia="宋体" w:cs="Times New Roman"/>
                <w:color w:val="auto"/>
                <w:sz w:val="24"/>
                <w:szCs w:val="24"/>
                <w:highlight w:val="none"/>
                <w:u w:val="single"/>
                <w:lang w:val="en-US"/>
              </w:rPr>
              <w:t>（5）废气治理设施可行性分析</w:t>
            </w:r>
          </w:p>
          <w:p>
            <w:pPr>
              <w:spacing w:line="360" w:lineRule="auto"/>
              <w:ind w:left="44" w:leftChars="20" w:right="44" w:rightChars="20" w:firstLine="480" w:firstLineChars="20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污染物达标可行性分析：本项目产生的有机废气均采用一套“</w:t>
            </w:r>
            <w:r>
              <w:rPr>
                <w:rFonts w:hint="eastAsia" w:ascii="Times New Roman" w:hAnsi="Times New Roman" w:cs="Times New Roman"/>
                <w:color w:val="auto"/>
                <w:sz w:val="24"/>
                <w:szCs w:val="24"/>
                <w:highlight w:val="none"/>
                <w:u w:val="single"/>
                <w:lang w:val="en-US" w:eastAsia="zh-CN"/>
              </w:rPr>
              <w:t>集气罩+活性炭吸附装置</w:t>
            </w:r>
            <w:r>
              <w:rPr>
                <w:rFonts w:hint="default" w:ascii="Times New Roman" w:hAnsi="Times New Roman" w:cs="Times New Roman"/>
                <w:color w:val="auto"/>
                <w:sz w:val="24"/>
                <w:szCs w:val="24"/>
                <w:highlight w:val="none"/>
                <w:u w:val="single"/>
                <w:lang w:val="en-US"/>
              </w:rPr>
              <w:t>”处理措施处理，处理后通过</w:t>
            </w:r>
            <w:r>
              <w:rPr>
                <w:rFonts w:hint="eastAsia" w:ascii="Times New Roman" w:hAnsi="Times New Roman" w:cs="Times New Roman"/>
                <w:color w:val="auto"/>
                <w:sz w:val="24"/>
                <w:szCs w:val="24"/>
                <w:highlight w:val="none"/>
                <w:u w:val="single"/>
                <w:lang w:val="en-US" w:eastAsia="zh-CN"/>
              </w:rPr>
              <w:t>20</w:t>
            </w:r>
            <w:r>
              <w:rPr>
                <w:rFonts w:hint="default" w:ascii="Times New Roman" w:hAnsi="Times New Roman" w:cs="Times New Roman"/>
                <w:color w:val="auto"/>
                <w:sz w:val="24"/>
                <w:szCs w:val="24"/>
                <w:highlight w:val="none"/>
                <w:u w:val="single"/>
                <w:lang w:val="en-US"/>
              </w:rPr>
              <w:t>m排气筒排放，对VOCSs处理效率可以达到</w:t>
            </w:r>
            <w:r>
              <w:rPr>
                <w:rFonts w:hint="default" w:ascii="Times New Roman" w:hAnsi="Times New Roman" w:cs="Times New Roman"/>
                <w:color w:val="auto"/>
                <w:sz w:val="24"/>
                <w:szCs w:val="24"/>
                <w:highlight w:val="none"/>
                <w:u w:val="single"/>
                <w:lang w:val="en-US" w:eastAsia="zh-CN"/>
              </w:rPr>
              <w:t>70</w:t>
            </w:r>
            <w:r>
              <w:rPr>
                <w:rFonts w:hint="default" w:ascii="Times New Roman" w:hAnsi="Times New Roman" w:cs="Times New Roman"/>
                <w:color w:val="auto"/>
                <w:sz w:val="24"/>
                <w:szCs w:val="24"/>
                <w:highlight w:val="none"/>
                <w:u w:val="single"/>
                <w:lang w:val="en-US"/>
              </w:rPr>
              <w:t>%以上，且经上文分析可知，本工程项目各污染物指标均能达标排放，满足湖南省《家具制造行业挥发性有机物排放标准》（DB43/1355-2017）表1中企业排气筒挥发性有机物的最高允许排放限值。</w:t>
            </w:r>
          </w:p>
          <w:p>
            <w:pPr>
              <w:spacing w:line="360" w:lineRule="auto"/>
              <w:ind w:left="44" w:leftChars="20" w:right="44" w:rightChars="20" w:firstLine="480" w:firstLineChars="200"/>
              <w:jc w:val="both"/>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lang w:val="en-US"/>
              </w:rPr>
              <w:t>排气筒合理性分析：</w:t>
            </w:r>
            <w:r>
              <w:rPr>
                <w:rFonts w:hint="eastAsia" w:ascii="Times New Roman" w:hAnsi="Times New Roman" w:cs="Times New Roman"/>
                <w:color w:val="auto"/>
                <w:sz w:val="24"/>
                <w:szCs w:val="24"/>
                <w:highlight w:val="none"/>
                <w:u w:val="single"/>
                <w:lang w:val="en-US" w:eastAsia="zh-CN"/>
              </w:rPr>
              <w:t>本项目位于</w:t>
            </w:r>
            <w:r>
              <w:rPr>
                <w:rFonts w:hint="default" w:ascii="Times New Roman" w:hAnsi="Times New Roman" w:cs="Times New Roman"/>
                <w:kern w:val="0"/>
                <w:sz w:val="24"/>
                <w:szCs w:val="24"/>
                <w:u w:val="single"/>
                <w:lang w:val="en-US" w:eastAsia="zh-CN"/>
              </w:rPr>
              <w:t>双牌工业集中区创新创业园6栋（1-4层）</w:t>
            </w:r>
            <w:r>
              <w:rPr>
                <w:rFonts w:hint="eastAsia" w:ascii="Times New Roman" w:hAnsi="Times New Roman" w:cs="Times New Roman"/>
                <w:kern w:val="0"/>
                <w:sz w:val="24"/>
                <w:szCs w:val="24"/>
                <w:u w:val="single"/>
                <w:lang w:val="en-US" w:eastAsia="zh-CN"/>
              </w:rPr>
              <w:t>，该栋楼高约17米，排气筒设置在四楼楼顶并高于楼顶3m后外排，故本项目设置20m高排气筒符合要求。</w:t>
            </w:r>
          </w:p>
          <w:p>
            <w:pPr>
              <w:spacing w:line="360" w:lineRule="auto"/>
              <w:ind w:left="44" w:leftChars="20" w:right="44" w:rightChars="20" w:firstLine="359" w:firstLineChars="149"/>
              <w:rPr>
                <w:rFonts w:hint="default" w:ascii="Times New Roman" w:hAnsi="Times New Roman" w:cs="Times New Roman"/>
                <w:b/>
                <w:color w:val="auto"/>
                <w:sz w:val="24"/>
                <w:szCs w:val="24"/>
                <w:highlight w:val="none"/>
                <w:u w:val="single"/>
                <w:lang w:val="en-US"/>
              </w:rPr>
            </w:pPr>
            <w:r>
              <w:rPr>
                <w:rFonts w:hint="default" w:ascii="Times New Roman" w:hAnsi="Times New Roman" w:cs="Times New Roman"/>
                <w:b/>
                <w:color w:val="auto"/>
                <w:sz w:val="24"/>
                <w:szCs w:val="24"/>
                <w:highlight w:val="none"/>
                <w:u w:val="single"/>
                <w:lang w:val="en-US"/>
              </w:rPr>
              <w:t>1.3监测要求及台账记录</w:t>
            </w:r>
          </w:p>
          <w:p>
            <w:pPr>
              <w:spacing w:line="360" w:lineRule="auto"/>
              <w:ind w:left="44" w:leftChars="20" w:right="44" w:rightChars="20" w:firstLine="480" w:firstLineChars="20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为保证建设项目污染治理和缓解措施有效稳定运行，项目建成后需要对排放废气、噪声等开展制度性定期监测。因玩具制造行业还未有特定的排污许可证申请与核发技术规范，本项目参考《排污单位自行监测技术指南总则》（HJ819-2017）、《排污许可证申请与核发技术规范印刷工业》（HJ1066-2019），建设项目拟采取的环境监测计划如下表。</w:t>
            </w:r>
          </w:p>
          <w:p>
            <w:pPr>
              <w:ind w:left="110" w:leftChars="50" w:right="110" w:rightChars="50" w:firstLine="482" w:firstLineChars="200"/>
              <w:jc w:val="center"/>
              <w:rPr>
                <w:rFonts w:hint="default" w:ascii="Times New Roman" w:hAnsi="Times New Roman" w:cs="Times New Roman"/>
                <w:b/>
                <w:bCs/>
                <w:color w:val="auto"/>
                <w:sz w:val="24"/>
                <w:szCs w:val="24"/>
                <w:highlight w:val="none"/>
                <w:u w:val="single"/>
                <w:lang w:val="en-US"/>
              </w:rPr>
            </w:pPr>
            <w:r>
              <w:rPr>
                <w:rFonts w:hint="default" w:ascii="Times New Roman" w:hAnsi="Times New Roman" w:cs="Times New Roman"/>
                <w:b/>
                <w:bCs/>
                <w:color w:val="auto"/>
                <w:sz w:val="24"/>
                <w:szCs w:val="24"/>
                <w:highlight w:val="none"/>
                <w:u w:val="single"/>
                <w:lang w:val="en-US"/>
              </w:rPr>
              <w:t>表4-1大气环境监测计划</w:t>
            </w:r>
          </w:p>
          <w:tbl>
            <w:tblPr>
              <w:tblStyle w:val="25"/>
              <w:tblW w:w="80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2"/>
              <w:gridCol w:w="1397"/>
              <w:gridCol w:w="1843"/>
              <w:gridCol w:w="1276"/>
              <w:gridCol w:w="24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 w:hRule="atLeast"/>
                <w:tblHeader/>
                <w:jc w:val="center"/>
              </w:trPr>
              <w:tc>
                <w:tcPr>
                  <w:tcW w:w="1052" w:type="dxa"/>
                  <w:noWrap w:val="0"/>
                  <w:vAlign w:val="center"/>
                </w:tcPr>
                <w:p>
                  <w:pPr>
                    <w:jc w:val="center"/>
                    <w:rPr>
                      <w:rFonts w:hint="default" w:ascii="Times New Roman" w:hAnsi="Times New Roman" w:cs="Times New Roman"/>
                      <w:b/>
                      <w:color w:val="auto"/>
                      <w:sz w:val="18"/>
                      <w:szCs w:val="18"/>
                      <w:highlight w:val="none"/>
                      <w:u w:val="single"/>
                      <w:lang w:val="en-US"/>
                    </w:rPr>
                  </w:pPr>
                  <w:r>
                    <w:rPr>
                      <w:rFonts w:hint="default" w:ascii="Times New Roman" w:hAnsi="Times New Roman" w:cs="Times New Roman"/>
                      <w:b/>
                      <w:color w:val="auto"/>
                      <w:sz w:val="18"/>
                      <w:szCs w:val="18"/>
                      <w:highlight w:val="none"/>
                      <w:u w:val="single"/>
                      <w:lang w:val="en-US"/>
                    </w:rPr>
                    <w:t>类别</w:t>
                  </w:r>
                </w:p>
              </w:tc>
              <w:tc>
                <w:tcPr>
                  <w:tcW w:w="1397" w:type="dxa"/>
                  <w:noWrap w:val="0"/>
                  <w:vAlign w:val="center"/>
                </w:tcPr>
                <w:p>
                  <w:pPr>
                    <w:jc w:val="center"/>
                    <w:rPr>
                      <w:rFonts w:hint="default" w:ascii="Times New Roman" w:hAnsi="Times New Roman" w:cs="Times New Roman"/>
                      <w:b/>
                      <w:color w:val="auto"/>
                      <w:sz w:val="18"/>
                      <w:szCs w:val="18"/>
                      <w:highlight w:val="none"/>
                      <w:u w:val="single"/>
                      <w:lang w:val="en-US"/>
                    </w:rPr>
                  </w:pPr>
                  <w:r>
                    <w:rPr>
                      <w:rFonts w:hint="default" w:ascii="Times New Roman" w:hAnsi="Times New Roman" w:cs="Times New Roman"/>
                      <w:b/>
                      <w:color w:val="auto"/>
                      <w:sz w:val="18"/>
                      <w:szCs w:val="18"/>
                      <w:highlight w:val="none"/>
                      <w:u w:val="single"/>
                      <w:lang w:val="en-US"/>
                    </w:rPr>
                    <w:t>监测因子</w:t>
                  </w:r>
                </w:p>
              </w:tc>
              <w:tc>
                <w:tcPr>
                  <w:tcW w:w="1843" w:type="dxa"/>
                  <w:noWrap w:val="0"/>
                  <w:vAlign w:val="center"/>
                </w:tcPr>
                <w:p>
                  <w:pPr>
                    <w:jc w:val="center"/>
                    <w:rPr>
                      <w:rFonts w:hint="default" w:ascii="Times New Roman" w:hAnsi="Times New Roman" w:cs="Times New Roman"/>
                      <w:b/>
                      <w:color w:val="auto"/>
                      <w:sz w:val="18"/>
                      <w:szCs w:val="18"/>
                      <w:highlight w:val="none"/>
                      <w:u w:val="single"/>
                      <w:lang w:val="en-US"/>
                    </w:rPr>
                  </w:pPr>
                  <w:r>
                    <w:rPr>
                      <w:rFonts w:hint="default" w:ascii="Times New Roman" w:hAnsi="Times New Roman" w:cs="Times New Roman"/>
                      <w:b/>
                      <w:color w:val="auto"/>
                      <w:sz w:val="18"/>
                      <w:szCs w:val="18"/>
                      <w:highlight w:val="none"/>
                      <w:u w:val="single"/>
                      <w:lang w:val="en-US"/>
                    </w:rPr>
                    <w:t>监测点位</w:t>
                  </w:r>
                </w:p>
              </w:tc>
              <w:tc>
                <w:tcPr>
                  <w:tcW w:w="1276" w:type="dxa"/>
                  <w:noWrap w:val="0"/>
                  <w:vAlign w:val="center"/>
                </w:tcPr>
                <w:p>
                  <w:pPr>
                    <w:jc w:val="center"/>
                    <w:rPr>
                      <w:rFonts w:hint="default" w:ascii="Times New Roman" w:hAnsi="Times New Roman" w:cs="Times New Roman"/>
                      <w:b/>
                      <w:color w:val="auto"/>
                      <w:sz w:val="18"/>
                      <w:szCs w:val="18"/>
                      <w:highlight w:val="none"/>
                      <w:u w:val="single"/>
                      <w:lang w:val="en-US"/>
                    </w:rPr>
                  </w:pPr>
                  <w:r>
                    <w:rPr>
                      <w:rFonts w:hint="default" w:ascii="Times New Roman" w:hAnsi="Times New Roman" w:cs="Times New Roman"/>
                      <w:b/>
                      <w:color w:val="auto"/>
                      <w:sz w:val="18"/>
                      <w:szCs w:val="18"/>
                      <w:highlight w:val="none"/>
                      <w:u w:val="single"/>
                      <w:lang w:val="en-US"/>
                    </w:rPr>
                    <w:t>监测频率</w:t>
                  </w:r>
                </w:p>
              </w:tc>
              <w:tc>
                <w:tcPr>
                  <w:tcW w:w="2465" w:type="dxa"/>
                  <w:noWrap w:val="0"/>
                  <w:vAlign w:val="center"/>
                </w:tcPr>
                <w:p>
                  <w:pPr>
                    <w:jc w:val="center"/>
                    <w:rPr>
                      <w:rFonts w:hint="default" w:ascii="Times New Roman" w:hAnsi="Times New Roman" w:cs="Times New Roman"/>
                      <w:b/>
                      <w:color w:val="auto"/>
                      <w:sz w:val="18"/>
                      <w:szCs w:val="18"/>
                      <w:highlight w:val="none"/>
                      <w:u w:val="single"/>
                      <w:lang w:val="en-US"/>
                    </w:rPr>
                  </w:pPr>
                  <w:r>
                    <w:rPr>
                      <w:rFonts w:hint="default" w:ascii="Times New Roman" w:hAnsi="Times New Roman" w:cs="Times New Roman"/>
                      <w:b/>
                      <w:color w:val="auto"/>
                      <w:kern w:val="2"/>
                      <w:sz w:val="18"/>
                      <w:szCs w:val="18"/>
                      <w:highlight w:val="none"/>
                      <w:u w:val="single"/>
                      <w:lang w:val="en-US" w:bidi="ar-SA"/>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 w:hRule="atLeast"/>
                <w:jc w:val="center"/>
              </w:trPr>
              <w:tc>
                <w:tcPr>
                  <w:tcW w:w="1052" w:type="dxa"/>
                  <w:noWrap w:val="0"/>
                  <w:vAlign w:val="center"/>
                </w:tcPr>
                <w:p>
                  <w:pPr>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有组织</w:t>
                  </w:r>
                </w:p>
              </w:tc>
              <w:tc>
                <w:tcPr>
                  <w:tcW w:w="1397" w:type="dxa"/>
                  <w:noWrap w:val="0"/>
                  <w:vAlign w:val="center"/>
                </w:tcPr>
                <w:p>
                  <w:pPr>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VOC</w:t>
                  </w:r>
                  <w:r>
                    <w:rPr>
                      <w:rFonts w:hint="default" w:ascii="Times New Roman" w:hAnsi="Times New Roman" w:cs="Times New Roman"/>
                      <w:color w:val="auto"/>
                      <w:sz w:val="21"/>
                      <w:szCs w:val="21"/>
                      <w:highlight w:val="none"/>
                      <w:u w:val="single"/>
                      <w:vertAlign w:val="subscript"/>
                      <w:lang w:val="en-US"/>
                    </w:rPr>
                    <w:t>S</w:t>
                  </w:r>
                  <w:r>
                    <w:rPr>
                      <w:rFonts w:hint="default" w:ascii="Times New Roman" w:hAnsi="Times New Roman" w:cs="Times New Roman"/>
                      <w:bCs/>
                      <w:color w:val="auto"/>
                      <w:sz w:val="21"/>
                      <w:szCs w:val="21"/>
                      <w:highlight w:val="none"/>
                      <w:u w:val="single"/>
                      <w:vertAlign w:val="subscript"/>
                      <w:lang w:val="en-GB"/>
                    </w:rPr>
                    <w:t>、</w:t>
                  </w:r>
                </w:p>
              </w:tc>
              <w:tc>
                <w:tcPr>
                  <w:tcW w:w="1843" w:type="dxa"/>
                  <w:noWrap w:val="0"/>
                  <w:vAlign w:val="center"/>
                </w:tcPr>
                <w:p>
                  <w:pPr>
                    <w:jc w:val="center"/>
                    <w:rPr>
                      <w:rFonts w:hint="default" w:ascii="Times New Roman" w:hAnsi="Times New Roman" w:cs="Times New Roman"/>
                      <w:color w:val="auto"/>
                      <w:sz w:val="21"/>
                      <w:szCs w:val="21"/>
                      <w:highlight w:val="none"/>
                      <w:u w:val="single"/>
                      <w:lang w:val="en-US"/>
                    </w:rPr>
                  </w:pPr>
                  <w:r>
                    <w:rPr>
                      <w:rFonts w:hint="eastAsia" w:ascii="Times New Roman" w:hAnsi="Times New Roman" w:cs="Times New Roman"/>
                      <w:color w:val="auto"/>
                      <w:sz w:val="21"/>
                      <w:szCs w:val="21"/>
                      <w:highlight w:val="none"/>
                      <w:u w:val="single"/>
                      <w:lang w:eastAsia="zh-CN"/>
                    </w:rPr>
                    <w:t>20m(高于本栋四楼楼顶3m)</w:t>
                  </w:r>
                  <w:r>
                    <w:rPr>
                      <w:rFonts w:hint="default" w:ascii="Times New Roman" w:hAnsi="Times New Roman" w:cs="Times New Roman"/>
                      <w:color w:val="auto"/>
                      <w:sz w:val="21"/>
                      <w:szCs w:val="21"/>
                      <w:highlight w:val="none"/>
                      <w:u w:val="single"/>
                    </w:rPr>
                    <w:t>高排气筒排放口</w:t>
                  </w:r>
                </w:p>
              </w:tc>
              <w:tc>
                <w:tcPr>
                  <w:tcW w:w="1276" w:type="dxa"/>
                  <w:noWrap w:val="0"/>
                  <w:vAlign w:val="center"/>
                </w:tcPr>
                <w:p>
                  <w:pPr>
                    <w:jc w:val="center"/>
                    <w:rPr>
                      <w:rFonts w:hint="eastAsia"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rPr>
                    <w:t>一次/</w:t>
                  </w:r>
                  <w:r>
                    <w:rPr>
                      <w:rFonts w:hint="eastAsia" w:ascii="Times New Roman" w:hAnsi="Times New Roman" w:cs="Times New Roman"/>
                      <w:color w:val="auto"/>
                      <w:sz w:val="21"/>
                      <w:szCs w:val="21"/>
                      <w:highlight w:val="none"/>
                      <w:u w:val="single"/>
                      <w:lang w:val="en-US" w:eastAsia="zh-CN"/>
                    </w:rPr>
                    <w:t>季</w:t>
                  </w:r>
                </w:p>
              </w:tc>
              <w:tc>
                <w:tcPr>
                  <w:tcW w:w="2465" w:type="dxa"/>
                  <w:noWrap w:val="0"/>
                  <w:vAlign w:val="center"/>
                </w:tcPr>
                <w:p>
                  <w:pPr>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《家具制造行业挥发性有机物排放标准》（DB43/1355-2017）表1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 w:hRule="atLeast"/>
                <w:jc w:val="center"/>
              </w:trPr>
              <w:tc>
                <w:tcPr>
                  <w:tcW w:w="1052" w:type="dxa"/>
                  <w:noWrap w:val="0"/>
                  <w:vAlign w:val="center"/>
                </w:tcPr>
                <w:p>
                  <w:pPr>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无组织</w:t>
                  </w:r>
                </w:p>
              </w:tc>
              <w:tc>
                <w:tcPr>
                  <w:tcW w:w="1397" w:type="dxa"/>
                  <w:noWrap w:val="0"/>
                  <w:vAlign w:val="center"/>
                </w:tcPr>
                <w:p>
                  <w:pPr>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rPr>
                    <w:t>VOC</w:t>
                  </w:r>
                  <w:r>
                    <w:rPr>
                      <w:rFonts w:hint="default" w:ascii="Times New Roman" w:hAnsi="Times New Roman" w:cs="Times New Roman"/>
                      <w:color w:val="auto"/>
                      <w:sz w:val="21"/>
                      <w:szCs w:val="21"/>
                      <w:highlight w:val="none"/>
                      <w:u w:val="single"/>
                      <w:vertAlign w:val="subscript"/>
                    </w:rPr>
                    <w:t>S</w:t>
                  </w:r>
                </w:p>
              </w:tc>
              <w:tc>
                <w:tcPr>
                  <w:tcW w:w="1843" w:type="dxa"/>
                  <w:noWrap w:val="0"/>
                  <w:vAlign w:val="center"/>
                </w:tcPr>
                <w:p>
                  <w:pPr>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rPr>
                    <w:t>厂界</w:t>
                  </w:r>
                </w:p>
              </w:tc>
              <w:tc>
                <w:tcPr>
                  <w:tcW w:w="1276" w:type="dxa"/>
                  <w:noWrap w:val="0"/>
                  <w:vAlign w:val="center"/>
                </w:tcPr>
                <w:p>
                  <w:pPr>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rPr>
                    <w:t>一次/</w:t>
                  </w:r>
                  <w:r>
                    <w:rPr>
                      <w:rFonts w:hint="eastAsia" w:ascii="Times New Roman" w:hAnsi="Times New Roman" w:cs="Times New Roman"/>
                      <w:color w:val="auto"/>
                      <w:sz w:val="21"/>
                      <w:szCs w:val="21"/>
                      <w:highlight w:val="none"/>
                      <w:u w:val="single"/>
                      <w:lang w:val="en-US" w:eastAsia="zh-CN"/>
                    </w:rPr>
                    <w:t>半年</w:t>
                  </w:r>
                </w:p>
              </w:tc>
              <w:tc>
                <w:tcPr>
                  <w:tcW w:w="2465" w:type="dxa"/>
                  <w:noWrap w:val="0"/>
                  <w:vAlign w:val="center"/>
                </w:tcPr>
                <w:p>
                  <w:pPr>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《家具制造行业挥发性有机物排放标准》（DB43/1355-2017）表2</w:t>
                  </w:r>
                </w:p>
              </w:tc>
            </w:tr>
          </w:tbl>
          <w:p>
            <w:pPr>
              <w:spacing w:line="360" w:lineRule="auto"/>
              <w:ind w:left="44" w:leftChars="20" w:right="44" w:rightChars="20" w:firstLine="480" w:firstLineChars="200"/>
              <w:jc w:val="both"/>
              <w:rPr>
                <w:rFonts w:hint="default" w:ascii="Times New Roman" w:hAnsi="Times New Roman" w:cs="Times New Roman"/>
                <w:bCs/>
                <w:color w:val="auto"/>
                <w:sz w:val="24"/>
                <w:szCs w:val="24"/>
                <w:highlight w:val="none"/>
                <w:u w:val="single"/>
                <w:lang w:val="en-US"/>
              </w:rPr>
            </w:pPr>
            <w:r>
              <w:rPr>
                <w:rFonts w:hint="default" w:ascii="Times New Roman" w:hAnsi="Times New Roman" w:cs="Times New Roman"/>
                <w:bCs/>
                <w:color w:val="auto"/>
                <w:sz w:val="24"/>
                <w:szCs w:val="24"/>
                <w:highlight w:val="none"/>
                <w:u w:val="single"/>
                <w:lang w:val="en-US"/>
              </w:rPr>
              <w:t>台账记录：</w:t>
            </w:r>
          </w:p>
          <w:p>
            <w:pPr>
              <w:spacing w:line="360" w:lineRule="auto"/>
              <w:ind w:left="44" w:leftChars="20" w:right="44" w:rightChars="20" w:firstLine="480" w:firstLineChars="200"/>
              <w:jc w:val="both"/>
              <w:rPr>
                <w:rFonts w:hint="default" w:ascii="Times New Roman" w:hAnsi="Times New Roman" w:cs="Times New Roman"/>
                <w:bCs/>
                <w:color w:val="auto"/>
                <w:sz w:val="24"/>
                <w:szCs w:val="24"/>
                <w:highlight w:val="none"/>
                <w:u w:val="single"/>
                <w:lang w:val="en-US"/>
              </w:rPr>
            </w:pPr>
            <w:r>
              <w:rPr>
                <w:rFonts w:hint="default" w:ascii="Times New Roman" w:hAnsi="Times New Roman" w:cs="Times New Roman"/>
                <w:bCs/>
                <w:color w:val="auto"/>
                <w:sz w:val="24"/>
                <w:szCs w:val="24"/>
                <w:highlight w:val="none"/>
                <w:u w:val="single"/>
                <w:lang w:val="en-US"/>
              </w:rPr>
              <w:t>（1）产品产量信息:主要产品名称及其产量、涂装总面积(有设计数模面积或涂装面积的)等。连续性生产按照批次记录，每批次记录1次；周期性生产按照周期记录，周期小于1天的按照1天记录。</w:t>
            </w:r>
          </w:p>
          <w:p>
            <w:pPr>
              <w:spacing w:line="360" w:lineRule="auto"/>
              <w:ind w:left="44" w:leftChars="20" w:right="44" w:rightChars="20" w:firstLine="480" w:firstLineChars="200"/>
              <w:jc w:val="both"/>
              <w:rPr>
                <w:rFonts w:hint="default" w:ascii="Times New Roman" w:hAnsi="Times New Roman" w:cs="Times New Roman"/>
                <w:bCs/>
                <w:color w:val="auto"/>
                <w:sz w:val="24"/>
                <w:szCs w:val="24"/>
                <w:highlight w:val="none"/>
                <w:u w:val="single"/>
                <w:lang w:val="en-US"/>
              </w:rPr>
            </w:pPr>
            <w:r>
              <w:rPr>
                <w:rFonts w:hint="default" w:ascii="Times New Roman" w:hAnsi="Times New Roman" w:cs="Times New Roman"/>
                <w:bCs/>
                <w:color w:val="auto"/>
                <w:sz w:val="24"/>
                <w:szCs w:val="24"/>
                <w:highlight w:val="none"/>
                <w:u w:val="single"/>
                <w:lang w:val="en-US"/>
              </w:rPr>
              <w:t>（2）原辅材料信息：含VOCs原辅材料的名称及其VOCs含量检测报告，使用量，采购量、库存量，含VOCs原辅材料回收方式及回收量等。按照批次记录，每批次记录1次。</w:t>
            </w:r>
          </w:p>
          <w:p>
            <w:pPr>
              <w:spacing w:line="360" w:lineRule="auto"/>
              <w:ind w:left="44" w:leftChars="20" w:right="44" w:rightChars="20" w:firstLine="480" w:firstLineChars="200"/>
              <w:jc w:val="both"/>
              <w:rPr>
                <w:rFonts w:hint="eastAsia" w:ascii="Times New Roman" w:hAnsi="Times New Roman" w:eastAsia="宋体" w:cs="Times New Roman"/>
                <w:bCs/>
                <w:color w:val="auto"/>
                <w:sz w:val="24"/>
                <w:szCs w:val="24"/>
                <w:highlight w:val="none"/>
                <w:u w:val="single"/>
                <w:lang w:val="en-US" w:eastAsia="zh-CN"/>
              </w:rPr>
            </w:pPr>
            <w:r>
              <w:rPr>
                <w:rFonts w:hint="eastAsia" w:ascii="Times New Roman" w:hAnsi="Times New Roman" w:eastAsia="宋体" w:cs="Times New Roman"/>
                <w:bCs/>
                <w:color w:val="auto"/>
                <w:sz w:val="24"/>
                <w:szCs w:val="24"/>
                <w:highlight w:val="none"/>
                <w:u w:val="single"/>
                <w:lang w:val="en-US" w:eastAsia="zh-CN"/>
              </w:rPr>
              <w:t>采样平台及采样口：</w:t>
            </w:r>
          </w:p>
          <w:p>
            <w:pPr>
              <w:spacing w:line="360" w:lineRule="auto"/>
              <w:ind w:left="44" w:leftChars="20" w:right="44" w:rightChars="20" w:firstLine="480" w:firstLineChars="200"/>
              <w:jc w:val="both"/>
              <w:rPr>
                <w:rFonts w:hint="default" w:ascii="Times New Roman" w:hAnsi="Times New Roman" w:eastAsia="宋体" w:cs="Times New Roman"/>
                <w:bCs/>
                <w:color w:val="auto"/>
                <w:sz w:val="24"/>
                <w:szCs w:val="24"/>
                <w:highlight w:val="none"/>
                <w:u w:val="single"/>
                <w:lang w:val="en-US" w:eastAsia="zh-CN"/>
              </w:rPr>
            </w:pPr>
            <w:r>
              <w:rPr>
                <w:rFonts w:hint="eastAsia" w:ascii="Times New Roman" w:hAnsi="Times New Roman" w:eastAsia="宋体" w:cs="Times New Roman"/>
                <w:bCs/>
                <w:color w:val="auto"/>
                <w:sz w:val="24"/>
                <w:szCs w:val="24"/>
                <w:highlight w:val="none"/>
                <w:u w:val="single"/>
                <w:lang w:val="en-US" w:eastAsia="zh-CN"/>
              </w:rPr>
              <w:t>按按排污许可规范设置检测平台、采样口。</w:t>
            </w:r>
          </w:p>
          <w:p>
            <w:pPr>
              <w:spacing w:line="360" w:lineRule="auto"/>
              <w:ind w:left="44" w:leftChars="20" w:right="44" w:rightChars="20" w:firstLine="480" w:firstLineChars="200"/>
              <w:jc w:val="both"/>
              <w:rPr>
                <w:rFonts w:hint="default" w:ascii="Times New Roman" w:hAnsi="Times New Roman" w:eastAsia="宋体" w:cs="Times New Roman"/>
                <w:bCs/>
                <w:color w:val="auto"/>
                <w:sz w:val="24"/>
                <w:szCs w:val="24"/>
                <w:highlight w:val="none"/>
                <w:u w:val="single"/>
                <w:lang w:val="en-US" w:eastAsia="zh-CN"/>
              </w:rPr>
            </w:pPr>
            <w:r>
              <w:rPr>
                <w:rFonts w:hint="default" w:ascii="Times New Roman" w:hAnsi="Times New Roman" w:eastAsia="宋体" w:cs="Times New Roman"/>
                <w:bCs/>
                <w:color w:val="auto"/>
                <w:sz w:val="24"/>
                <w:szCs w:val="24"/>
                <w:highlight w:val="none"/>
                <w:u w:val="single"/>
                <w:lang w:val="en-US" w:eastAsia="zh-CN"/>
              </w:rPr>
              <w:t>采样位置应设在距弯头、阀门、变径管下游方向不小于6倍直径和距上述部件上游方向不小于3倍直径处</w:t>
            </w:r>
            <w:r>
              <w:rPr>
                <w:rFonts w:hint="eastAsia" w:ascii="Times New Roman" w:hAnsi="Times New Roman" w:eastAsia="宋体" w:cs="Times New Roman"/>
                <w:bCs/>
                <w:color w:val="auto"/>
                <w:sz w:val="24"/>
                <w:szCs w:val="24"/>
                <w:highlight w:val="none"/>
                <w:u w:val="single"/>
                <w:lang w:val="en-US" w:eastAsia="zh-CN"/>
              </w:rPr>
              <w:t>；</w:t>
            </w:r>
            <w:r>
              <w:rPr>
                <w:rFonts w:hint="default" w:ascii="Times New Roman" w:hAnsi="Times New Roman" w:eastAsia="宋体" w:cs="Times New Roman"/>
                <w:bCs/>
                <w:color w:val="auto"/>
                <w:sz w:val="24"/>
                <w:szCs w:val="24"/>
                <w:highlight w:val="none"/>
                <w:u w:val="single"/>
                <w:lang w:val="en-US" w:eastAsia="zh-CN"/>
              </w:rPr>
              <w:t>采样平台面距采样孔高度1.2~1.3m</w:t>
            </w:r>
            <w:r>
              <w:rPr>
                <w:rFonts w:hint="eastAsia" w:ascii="Times New Roman" w:hAnsi="Times New Roman" w:eastAsia="宋体" w:cs="Times New Roman"/>
                <w:bCs/>
                <w:color w:val="auto"/>
                <w:sz w:val="24"/>
                <w:szCs w:val="24"/>
                <w:highlight w:val="none"/>
                <w:u w:val="single"/>
                <w:lang w:val="en-US" w:eastAsia="zh-CN"/>
              </w:rPr>
              <w:t>，</w:t>
            </w:r>
            <w:r>
              <w:rPr>
                <w:rFonts w:hint="default" w:ascii="Times New Roman" w:hAnsi="Times New Roman" w:eastAsia="宋体" w:cs="Times New Roman"/>
                <w:bCs/>
                <w:color w:val="auto"/>
                <w:sz w:val="24"/>
                <w:szCs w:val="24"/>
                <w:highlight w:val="none"/>
                <w:u w:val="single"/>
                <w:lang w:val="en-US" w:eastAsia="zh-CN"/>
              </w:rPr>
              <w:t>采样平台应有足够的工作面积使工作人员安全、方便地操作。</w:t>
            </w:r>
          </w:p>
          <w:p>
            <w:pPr>
              <w:spacing w:line="360" w:lineRule="auto"/>
              <w:ind w:left="44" w:leftChars="20" w:right="44" w:rightChars="20" w:firstLine="482" w:firstLineChars="200"/>
              <w:jc w:val="both"/>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2、</w:t>
            </w:r>
            <w:r>
              <w:rPr>
                <w:rFonts w:hint="default" w:ascii="Times New Roman" w:hAnsi="Times New Roman" w:cs="Times New Roman"/>
                <w:b/>
                <w:bCs/>
                <w:color w:val="auto"/>
                <w:sz w:val="24"/>
                <w:szCs w:val="24"/>
                <w:highlight w:val="none"/>
                <w:u w:val="none"/>
                <w:lang w:val="en-US"/>
              </w:rPr>
              <w:t>废水</w:t>
            </w:r>
          </w:p>
          <w:p>
            <w:pPr>
              <w:snapToGrid w:val="0"/>
              <w:spacing w:line="360" w:lineRule="auto"/>
              <w:ind w:left="44" w:leftChars="20" w:right="44" w:rightChars="20" w:firstLine="480" w:firstLineChars="20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（1）废水产排污环节</w:t>
            </w:r>
          </w:p>
          <w:p>
            <w:pPr>
              <w:autoSpaceDE/>
              <w:autoSpaceDN/>
              <w:spacing w:line="360" w:lineRule="auto"/>
              <w:ind w:left="44" w:leftChars="20" w:right="44" w:rightChars="20" w:firstLine="480" w:firstLineChars="200"/>
              <w:jc w:val="both"/>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本项目废水主要为职工办公污水。</w:t>
            </w:r>
          </w:p>
          <w:p>
            <w:pPr>
              <w:pStyle w:val="11"/>
              <w:jc w:val="center"/>
              <w:rPr>
                <w:rFonts w:hint="default" w:ascii="Times New Roman" w:hAnsi="Times New Roman" w:eastAsia="宋体" w:cs="Times New Roman"/>
                <w:b/>
                <w:bCs/>
                <w:color w:val="auto"/>
                <w:sz w:val="24"/>
                <w:szCs w:val="24"/>
                <w:highlight w:val="none"/>
                <w:u w:val="none"/>
                <w:lang w:val="en-US"/>
              </w:rPr>
            </w:pPr>
            <w:r>
              <w:rPr>
                <w:rFonts w:hint="default" w:ascii="Times New Roman" w:hAnsi="Times New Roman" w:eastAsia="宋体" w:cs="Times New Roman"/>
                <w:b/>
                <w:bCs/>
                <w:color w:val="auto"/>
                <w:sz w:val="24"/>
                <w:szCs w:val="24"/>
                <w:highlight w:val="none"/>
                <w:u w:val="none"/>
                <w:lang w:val="en-US"/>
              </w:rPr>
              <w:t>表4-</w:t>
            </w:r>
            <w:r>
              <w:rPr>
                <w:rFonts w:hint="eastAsia" w:ascii="Times New Roman" w:hAnsi="Times New Roman" w:eastAsia="宋体" w:cs="Times New Roman"/>
                <w:b/>
                <w:bCs/>
                <w:color w:val="auto"/>
                <w:sz w:val="24"/>
                <w:szCs w:val="24"/>
                <w:highlight w:val="none"/>
                <w:u w:val="none"/>
                <w:lang w:val="en-US" w:eastAsia="zh-CN"/>
              </w:rPr>
              <w:t>2</w:t>
            </w:r>
            <w:r>
              <w:rPr>
                <w:rFonts w:hint="default" w:ascii="Times New Roman" w:hAnsi="Times New Roman" w:eastAsia="宋体" w:cs="Times New Roman"/>
                <w:b/>
                <w:bCs/>
                <w:color w:val="auto"/>
                <w:sz w:val="24"/>
                <w:szCs w:val="24"/>
                <w:highlight w:val="none"/>
                <w:u w:val="none"/>
                <w:lang w:val="en-US"/>
              </w:rPr>
              <w:t>废水产排情况</w:t>
            </w:r>
          </w:p>
          <w:tbl>
            <w:tblPr>
              <w:tblStyle w:val="25"/>
              <w:tblW w:w="7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94"/>
              <w:gridCol w:w="1587"/>
              <w:gridCol w:w="1099"/>
              <w:gridCol w:w="945"/>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center"/>
                </w:tcPr>
                <w:p>
                  <w:pPr>
                    <w:pStyle w:val="11"/>
                    <w:jc w:val="center"/>
                    <w:rPr>
                      <w:rFonts w:hint="default" w:ascii="Times New Roman" w:hAnsi="Times New Roman" w:eastAsia="宋体" w:cs="Times New Roman"/>
                      <w:bCs/>
                      <w:color w:val="auto"/>
                      <w:sz w:val="21"/>
                      <w:szCs w:val="21"/>
                      <w:highlight w:val="none"/>
                      <w:u w:val="none"/>
                      <w:lang w:val="en-US"/>
                    </w:rPr>
                  </w:pPr>
                  <w:r>
                    <w:rPr>
                      <w:rFonts w:hint="default" w:ascii="Times New Roman" w:hAnsi="Times New Roman" w:eastAsia="宋体" w:cs="Times New Roman"/>
                      <w:bCs/>
                      <w:color w:val="auto"/>
                      <w:sz w:val="21"/>
                      <w:szCs w:val="21"/>
                      <w:highlight w:val="none"/>
                      <w:u w:val="none"/>
                      <w:lang w:val="en-US"/>
                    </w:rPr>
                    <w:t>污水来源</w:t>
                  </w:r>
                </w:p>
              </w:tc>
              <w:tc>
                <w:tcPr>
                  <w:tcW w:w="794" w:type="dxa"/>
                  <w:noWrap w:val="0"/>
                  <w:vAlign w:val="center"/>
                </w:tcPr>
                <w:p>
                  <w:pPr>
                    <w:pStyle w:val="11"/>
                    <w:jc w:val="center"/>
                    <w:rPr>
                      <w:rFonts w:hint="default" w:ascii="Times New Roman" w:hAnsi="Times New Roman" w:eastAsia="宋体" w:cs="Times New Roman"/>
                      <w:bCs/>
                      <w:color w:val="auto"/>
                      <w:sz w:val="21"/>
                      <w:szCs w:val="21"/>
                      <w:highlight w:val="none"/>
                      <w:u w:val="none"/>
                      <w:lang w:val="en-US"/>
                    </w:rPr>
                  </w:pPr>
                  <w:r>
                    <w:rPr>
                      <w:rFonts w:hint="default" w:ascii="Times New Roman" w:hAnsi="Times New Roman" w:eastAsia="宋体" w:cs="Times New Roman"/>
                      <w:bCs/>
                      <w:color w:val="auto"/>
                      <w:sz w:val="21"/>
                      <w:szCs w:val="21"/>
                      <w:highlight w:val="none"/>
                      <w:u w:val="none"/>
                      <w:lang w:val="en-US"/>
                    </w:rPr>
                    <w:t>污水类别</w:t>
                  </w:r>
                </w:p>
              </w:tc>
              <w:tc>
                <w:tcPr>
                  <w:tcW w:w="1587" w:type="dxa"/>
                  <w:noWrap w:val="0"/>
                  <w:vAlign w:val="center"/>
                </w:tcPr>
                <w:p>
                  <w:pPr>
                    <w:pStyle w:val="11"/>
                    <w:jc w:val="center"/>
                    <w:rPr>
                      <w:rFonts w:hint="default" w:ascii="Times New Roman" w:hAnsi="Times New Roman" w:eastAsia="宋体" w:cs="Times New Roman"/>
                      <w:bCs/>
                      <w:color w:val="auto"/>
                      <w:sz w:val="21"/>
                      <w:szCs w:val="21"/>
                      <w:highlight w:val="none"/>
                      <w:u w:val="none"/>
                      <w:lang w:val="en-US"/>
                    </w:rPr>
                  </w:pPr>
                  <w:r>
                    <w:rPr>
                      <w:rFonts w:hint="default" w:ascii="Times New Roman" w:hAnsi="Times New Roman" w:eastAsia="宋体" w:cs="Times New Roman"/>
                      <w:bCs/>
                      <w:color w:val="auto"/>
                      <w:sz w:val="21"/>
                      <w:szCs w:val="21"/>
                      <w:highlight w:val="none"/>
                      <w:u w:val="none"/>
                      <w:lang w:val="en-US"/>
                    </w:rPr>
                    <w:t>污染物总类</w:t>
                  </w:r>
                </w:p>
              </w:tc>
              <w:tc>
                <w:tcPr>
                  <w:tcW w:w="1099" w:type="dxa"/>
                  <w:noWrap w:val="0"/>
                  <w:vAlign w:val="center"/>
                </w:tcPr>
                <w:p>
                  <w:pPr>
                    <w:pStyle w:val="11"/>
                    <w:jc w:val="center"/>
                    <w:rPr>
                      <w:rFonts w:hint="default" w:ascii="Times New Roman" w:hAnsi="Times New Roman" w:eastAsia="宋体" w:cs="Times New Roman"/>
                      <w:bCs/>
                      <w:color w:val="auto"/>
                      <w:sz w:val="21"/>
                      <w:szCs w:val="21"/>
                      <w:highlight w:val="none"/>
                      <w:u w:val="none"/>
                      <w:lang w:val="en-US"/>
                    </w:rPr>
                  </w:pPr>
                  <w:r>
                    <w:rPr>
                      <w:rFonts w:hint="default" w:ascii="Times New Roman" w:hAnsi="Times New Roman" w:eastAsia="宋体" w:cs="Times New Roman"/>
                      <w:bCs/>
                      <w:color w:val="auto"/>
                      <w:sz w:val="21"/>
                      <w:szCs w:val="21"/>
                      <w:highlight w:val="none"/>
                      <w:u w:val="none"/>
                      <w:lang w:val="en-US"/>
                    </w:rPr>
                    <w:t>排放去向</w:t>
                  </w:r>
                </w:p>
              </w:tc>
              <w:tc>
                <w:tcPr>
                  <w:tcW w:w="945" w:type="dxa"/>
                  <w:noWrap w:val="0"/>
                  <w:vAlign w:val="center"/>
                </w:tcPr>
                <w:p>
                  <w:pPr>
                    <w:pStyle w:val="11"/>
                    <w:jc w:val="center"/>
                    <w:rPr>
                      <w:rFonts w:hint="default" w:ascii="Times New Roman" w:hAnsi="Times New Roman" w:eastAsia="宋体" w:cs="Times New Roman"/>
                      <w:bCs/>
                      <w:color w:val="auto"/>
                      <w:sz w:val="21"/>
                      <w:szCs w:val="21"/>
                      <w:highlight w:val="none"/>
                      <w:u w:val="none"/>
                      <w:lang w:val="en-US"/>
                    </w:rPr>
                  </w:pPr>
                  <w:r>
                    <w:rPr>
                      <w:rFonts w:hint="default" w:ascii="Times New Roman" w:hAnsi="Times New Roman" w:eastAsia="宋体" w:cs="Times New Roman"/>
                      <w:bCs/>
                      <w:color w:val="auto"/>
                      <w:sz w:val="21"/>
                      <w:szCs w:val="21"/>
                      <w:highlight w:val="none"/>
                      <w:u w:val="none"/>
                      <w:lang w:val="en-US"/>
                    </w:rPr>
                    <w:t>排放口类型</w:t>
                  </w:r>
                </w:p>
              </w:tc>
              <w:tc>
                <w:tcPr>
                  <w:tcW w:w="1350" w:type="dxa"/>
                  <w:noWrap w:val="0"/>
                  <w:vAlign w:val="center"/>
                </w:tcPr>
                <w:p>
                  <w:pPr>
                    <w:pStyle w:val="11"/>
                    <w:jc w:val="center"/>
                    <w:rPr>
                      <w:rFonts w:hint="default" w:ascii="Times New Roman" w:hAnsi="Times New Roman" w:eastAsia="宋体" w:cs="Times New Roman"/>
                      <w:bCs/>
                      <w:color w:val="auto"/>
                      <w:sz w:val="21"/>
                      <w:szCs w:val="21"/>
                      <w:highlight w:val="none"/>
                      <w:u w:val="none"/>
                      <w:lang w:val="en-US"/>
                    </w:rPr>
                  </w:pPr>
                  <w:r>
                    <w:rPr>
                      <w:rFonts w:hint="default" w:ascii="Times New Roman" w:hAnsi="Times New Roman" w:eastAsia="宋体" w:cs="Times New Roman"/>
                      <w:bCs/>
                      <w:color w:val="auto"/>
                      <w:sz w:val="21"/>
                      <w:szCs w:val="21"/>
                      <w:highlight w:val="none"/>
                      <w:u w:val="none"/>
                      <w:lang w:val="en-US"/>
                    </w:rPr>
                    <w:t>污染治理设施名称</w:t>
                  </w:r>
                </w:p>
              </w:tc>
              <w:tc>
                <w:tcPr>
                  <w:tcW w:w="1080" w:type="dxa"/>
                  <w:noWrap w:val="0"/>
                  <w:vAlign w:val="center"/>
                </w:tcPr>
                <w:p>
                  <w:pPr>
                    <w:pStyle w:val="11"/>
                    <w:jc w:val="center"/>
                    <w:rPr>
                      <w:rFonts w:hint="default" w:ascii="Times New Roman" w:hAnsi="Times New Roman" w:eastAsia="宋体" w:cs="Times New Roman"/>
                      <w:bCs/>
                      <w:color w:val="auto"/>
                      <w:sz w:val="21"/>
                      <w:szCs w:val="21"/>
                      <w:highlight w:val="none"/>
                      <w:u w:val="none"/>
                      <w:lang w:val="en-US"/>
                    </w:rPr>
                  </w:pPr>
                  <w:r>
                    <w:rPr>
                      <w:rFonts w:hint="default" w:ascii="Times New Roman" w:hAnsi="Times New Roman" w:eastAsia="宋体" w:cs="Times New Roman"/>
                      <w:bCs/>
                      <w:color w:val="auto"/>
                      <w:sz w:val="21"/>
                      <w:szCs w:val="21"/>
                      <w:highlight w:val="none"/>
                      <w:u w:val="none"/>
                      <w:lang w:val="en-U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center"/>
                </w:tcPr>
                <w:p>
                  <w:pPr>
                    <w:pStyle w:val="11"/>
                    <w:jc w:val="center"/>
                    <w:rPr>
                      <w:rFonts w:hint="default" w:ascii="Times New Roman" w:hAnsi="Times New Roman" w:eastAsia="宋体" w:cs="Times New Roman"/>
                      <w:color w:val="auto"/>
                      <w:sz w:val="21"/>
                      <w:szCs w:val="21"/>
                      <w:highlight w:val="none"/>
                      <w:u w:val="none"/>
                      <w:lang w:val="en-US"/>
                    </w:rPr>
                  </w:pPr>
                  <w:r>
                    <w:rPr>
                      <w:rFonts w:hint="default" w:ascii="Times New Roman" w:hAnsi="Times New Roman" w:eastAsia="宋体" w:cs="Times New Roman"/>
                      <w:color w:val="auto"/>
                      <w:sz w:val="21"/>
                      <w:szCs w:val="21"/>
                      <w:highlight w:val="none"/>
                      <w:u w:val="none"/>
                      <w:lang w:val="en-US"/>
                    </w:rPr>
                    <w:t>办公区</w:t>
                  </w:r>
                </w:p>
              </w:tc>
              <w:tc>
                <w:tcPr>
                  <w:tcW w:w="794" w:type="dxa"/>
                  <w:noWrap w:val="0"/>
                  <w:vAlign w:val="center"/>
                </w:tcPr>
                <w:p>
                  <w:pPr>
                    <w:pStyle w:val="11"/>
                    <w:jc w:val="center"/>
                    <w:rPr>
                      <w:rFonts w:hint="default" w:ascii="Times New Roman" w:hAnsi="Times New Roman" w:eastAsia="宋体" w:cs="Times New Roman"/>
                      <w:color w:val="auto"/>
                      <w:sz w:val="21"/>
                      <w:szCs w:val="21"/>
                      <w:highlight w:val="none"/>
                      <w:u w:val="none"/>
                      <w:lang w:val="en-US"/>
                    </w:rPr>
                  </w:pPr>
                  <w:r>
                    <w:rPr>
                      <w:rFonts w:hint="default" w:ascii="Times New Roman" w:hAnsi="Times New Roman" w:eastAsia="宋体" w:cs="Times New Roman"/>
                      <w:color w:val="auto"/>
                      <w:sz w:val="21"/>
                      <w:szCs w:val="21"/>
                      <w:highlight w:val="none"/>
                      <w:u w:val="none"/>
                      <w:lang w:val="en-US"/>
                    </w:rPr>
                    <w:t>生活废水</w:t>
                  </w:r>
                </w:p>
              </w:tc>
              <w:tc>
                <w:tcPr>
                  <w:tcW w:w="1587" w:type="dxa"/>
                  <w:noWrap w:val="0"/>
                  <w:vAlign w:val="center"/>
                </w:tcPr>
                <w:p>
                  <w:pPr>
                    <w:pStyle w:val="11"/>
                    <w:jc w:val="center"/>
                    <w:rPr>
                      <w:rFonts w:hint="default" w:ascii="Times New Roman" w:hAnsi="Times New Roman" w:eastAsia="宋体" w:cs="Times New Roman"/>
                      <w:color w:val="auto"/>
                      <w:sz w:val="21"/>
                      <w:szCs w:val="21"/>
                      <w:highlight w:val="none"/>
                      <w:u w:val="none"/>
                      <w:lang w:val="en-US"/>
                    </w:rPr>
                  </w:pPr>
                  <w:r>
                    <w:rPr>
                      <w:rFonts w:hint="default" w:ascii="Times New Roman" w:hAnsi="Times New Roman" w:eastAsia="宋体" w:cs="Times New Roman"/>
                      <w:color w:val="auto"/>
                      <w:sz w:val="21"/>
                      <w:szCs w:val="21"/>
                      <w:highlight w:val="none"/>
                      <w:u w:val="none"/>
                      <w:lang w:val="en-US"/>
                    </w:rPr>
                    <w:t>pH值、COD</w:t>
                  </w:r>
                  <w:r>
                    <w:rPr>
                      <w:rFonts w:hint="default" w:ascii="Times New Roman" w:hAnsi="Times New Roman" w:eastAsia="宋体" w:cs="Times New Roman"/>
                      <w:color w:val="auto"/>
                      <w:sz w:val="21"/>
                      <w:szCs w:val="21"/>
                      <w:highlight w:val="none"/>
                      <w:u w:val="none"/>
                      <w:vertAlign w:val="subscript"/>
                      <w:lang w:val="en-US"/>
                    </w:rPr>
                    <w:t>Cr</w:t>
                  </w:r>
                  <w:r>
                    <w:rPr>
                      <w:rFonts w:hint="default" w:ascii="Times New Roman" w:hAnsi="Times New Roman" w:eastAsia="宋体" w:cs="Times New Roman"/>
                      <w:color w:val="auto"/>
                      <w:sz w:val="21"/>
                      <w:szCs w:val="21"/>
                      <w:highlight w:val="none"/>
                      <w:u w:val="none"/>
                      <w:lang w:val="en-US"/>
                    </w:rPr>
                    <w:t>、BOD</w:t>
                  </w:r>
                  <w:r>
                    <w:rPr>
                      <w:rFonts w:hint="default" w:ascii="Times New Roman" w:hAnsi="Times New Roman" w:eastAsia="宋体" w:cs="Times New Roman"/>
                      <w:color w:val="auto"/>
                      <w:sz w:val="21"/>
                      <w:szCs w:val="21"/>
                      <w:highlight w:val="none"/>
                      <w:u w:val="none"/>
                      <w:vertAlign w:val="subscript"/>
                      <w:lang w:val="en-US"/>
                    </w:rPr>
                    <w:t>5</w:t>
                  </w:r>
                  <w:r>
                    <w:rPr>
                      <w:rFonts w:hint="default" w:ascii="Times New Roman" w:hAnsi="Times New Roman" w:eastAsia="宋体" w:cs="Times New Roman"/>
                      <w:color w:val="auto"/>
                      <w:sz w:val="21"/>
                      <w:szCs w:val="21"/>
                      <w:highlight w:val="none"/>
                      <w:u w:val="none"/>
                      <w:lang w:val="en-US"/>
                    </w:rPr>
                    <w:t>、氨氮、SS、动植物油</w:t>
                  </w:r>
                </w:p>
              </w:tc>
              <w:tc>
                <w:tcPr>
                  <w:tcW w:w="1099" w:type="dxa"/>
                  <w:noWrap w:val="0"/>
                  <w:vAlign w:val="center"/>
                </w:tcPr>
                <w:p>
                  <w:pPr>
                    <w:pStyle w:val="11"/>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双牌县污水处理厂</w:t>
                  </w:r>
                </w:p>
              </w:tc>
              <w:tc>
                <w:tcPr>
                  <w:tcW w:w="945" w:type="dxa"/>
                  <w:noWrap w:val="0"/>
                  <w:vAlign w:val="center"/>
                </w:tcPr>
                <w:p>
                  <w:pPr>
                    <w:pStyle w:val="11"/>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rPr>
                    <w:t>/</w:t>
                  </w:r>
                </w:p>
              </w:tc>
              <w:tc>
                <w:tcPr>
                  <w:tcW w:w="1350" w:type="dxa"/>
                  <w:noWrap w:val="0"/>
                  <w:vAlign w:val="center"/>
                </w:tcPr>
                <w:p>
                  <w:pPr>
                    <w:pStyle w:val="11"/>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rPr>
                    <w:t>化粪池</w:t>
                  </w:r>
                </w:p>
              </w:tc>
              <w:tc>
                <w:tcPr>
                  <w:tcW w:w="1080" w:type="dxa"/>
                  <w:noWrap w:val="0"/>
                  <w:vAlign w:val="center"/>
                </w:tcPr>
                <w:p>
                  <w:pPr>
                    <w:pStyle w:val="11"/>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rPr>
                    <w:t>GB8978-1996三级标准</w:t>
                  </w:r>
                </w:p>
              </w:tc>
            </w:tr>
          </w:tbl>
          <w:p>
            <w:pPr>
              <w:snapToGrid w:val="0"/>
              <w:spacing w:line="360" w:lineRule="auto"/>
              <w:ind w:left="44" w:leftChars="20" w:right="44" w:rightChars="20" w:firstLine="480" w:firstLineChars="20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（2）污染物产生量</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本项目劳动定员</w:t>
            </w:r>
            <w:r>
              <w:rPr>
                <w:rFonts w:hint="default" w:ascii="Times New Roman" w:hAnsi="Times New Roman" w:cs="Times New Roman"/>
                <w:color w:val="auto"/>
                <w:sz w:val="24"/>
                <w:szCs w:val="24"/>
                <w:highlight w:val="none"/>
                <w:u w:val="none"/>
                <w:lang w:val="en-US" w:eastAsia="zh-CN"/>
              </w:rPr>
              <w:t>150人</w:t>
            </w:r>
            <w:r>
              <w:rPr>
                <w:rFonts w:hint="default" w:ascii="Times New Roman" w:hAnsi="Times New Roman" w:cs="Times New Roman"/>
                <w:color w:val="auto"/>
                <w:sz w:val="24"/>
                <w:szCs w:val="24"/>
                <w:highlight w:val="none"/>
                <w:u w:val="none"/>
                <w:lang w:val="en-US"/>
              </w:rPr>
              <w:t>，仅在厂区办公，项目年工作300天，</w:t>
            </w:r>
            <w:r>
              <w:rPr>
                <w:rFonts w:hint="default" w:ascii="Times New Roman" w:hAnsi="Times New Roman" w:cs="Times New Roman"/>
                <w:color w:val="auto"/>
                <w:sz w:val="24"/>
                <w:szCs w:val="24"/>
                <w:highlight w:val="none"/>
                <w:u w:val="none"/>
              </w:rPr>
              <w:t>根据《湖南省用水定额》（DB43/T388-2020），</w:t>
            </w:r>
            <w:r>
              <w:rPr>
                <w:rFonts w:hint="default" w:ascii="Times New Roman" w:hAnsi="Times New Roman" w:cs="Times New Roman"/>
                <w:color w:val="auto"/>
                <w:sz w:val="24"/>
                <w:szCs w:val="24"/>
                <w:highlight w:val="none"/>
                <w:u w:val="none"/>
                <w:lang w:val="en-US"/>
              </w:rPr>
              <w:t>表31公共事业及公共建筑用水办公楼通用值定额38m</w:t>
            </w:r>
            <w:r>
              <w:rPr>
                <w:rFonts w:hint="default" w:ascii="Times New Roman" w:hAnsi="Times New Roman" w:cs="Times New Roman"/>
                <w:color w:val="auto"/>
                <w:sz w:val="24"/>
                <w:szCs w:val="24"/>
                <w:highlight w:val="none"/>
                <w:u w:val="none"/>
                <w:vertAlign w:val="superscript"/>
                <w:lang w:val="en-US"/>
              </w:rPr>
              <w:t>3</w:t>
            </w:r>
            <w:r>
              <w:rPr>
                <w:rFonts w:hint="default" w:ascii="Times New Roman" w:hAnsi="Times New Roman" w:cs="Times New Roman"/>
                <w:color w:val="auto"/>
                <w:sz w:val="24"/>
                <w:szCs w:val="24"/>
                <w:highlight w:val="none"/>
                <w:u w:val="none"/>
                <w:lang w:val="en-US"/>
              </w:rPr>
              <w:t>/人·a计算，</w:t>
            </w:r>
            <w:r>
              <w:rPr>
                <w:rFonts w:hint="default" w:ascii="Times New Roman" w:hAnsi="Times New Roman" w:cs="Times New Roman"/>
                <w:color w:val="auto"/>
                <w:sz w:val="24"/>
                <w:szCs w:val="24"/>
                <w:highlight w:val="none"/>
                <w:u w:val="none"/>
              </w:rPr>
              <w:t>则项目生活用水总量为</w:t>
            </w:r>
            <w:r>
              <w:rPr>
                <w:rFonts w:hint="eastAsia" w:ascii="Times New Roman" w:hAnsi="Times New Roman" w:cs="Times New Roman"/>
                <w:color w:val="auto"/>
                <w:sz w:val="24"/>
                <w:szCs w:val="24"/>
                <w:highlight w:val="none"/>
                <w:u w:val="none"/>
                <w:lang w:val="en-US" w:eastAsia="zh-CN"/>
              </w:rPr>
              <w:t>5700</w:t>
            </w:r>
            <w:r>
              <w:rPr>
                <w:rFonts w:hint="default" w:ascii="Times New Roman" w:hAnsi="Times New Roman" w:cs="Times New Roman"/>
                <w:color w:val="auto"/>
                <w:sz w:val="24"/>
                <w:szCs w:val="24"/>
                <w:highlight w:val="none"/>
                <w:u w:val="none"/>
              </w:rPr>
              <w:t>t/a，排污系数按0.85计算，则生活污水排放量为</w:t>
            </w:r>
            <w:r>
              <w:rPr>
                <w:rFonts w:hint="eastAsia" w:ascii="Times New Roman" w:hAnsi="Times New Roman" w:cs="Times New Roman"/>
                <w:color w:val="auto"/>
                <w:sz w:val="24"/>
                <w:szCs w:val="24"/>
                <w:highlight w:val="none"/>
                <w:u w:val="none"/>
                <w:lang w:val="en-US" w:eastAsia="zh-CN"/>
              </w:rPr>
              <w:t>4845</w:t>
            </w:r>
            <w:r>
              <w:rPr>
                <w:rFonts w:hint="default" w:ascii="Times New Roman" w:hAnsi="Times New Roman" w:cs="Times New Roman"/>
                <w:color w:val="auto"/>
                <w:sz w:val="24"/>
                <w:szCs w:val="24"/>
                <w:highlight w:val="none"/>
                <w:u w:val="none"/>
              </w:rPr>
              <w:t>t/a</w:t>
            </w:r>
            <w:r>
              <w:rPr>
                <w:rFonts w:hint="default" w:ascii="Times New Roman" w:hAnsi="Times New Roman" w:cs="Times New Roman"/>
                <w:color w:val="auto"/>
                <w:sz w:val="24"/>
                <w:szCs w:val="24"/>
                <w:highlight w:val="none"/>
                <w:u w:val="none"/>
                <w:lang w:val="en-US"/>
              </w:rPr>
              <w:t>。</w:t>
            </w:r>
            <w:r>
              <w:rPr>
                <w:rFonts w:hint="default" w:ascii="Times New Roman" w:hAnsi="Times New Roman" w:cs="Times New Roman"/>
                <w:color w:val="auto"/>
                <w:sz w:val="24"/>
                <w:szCs w:val="24"/>
                <w:highlight w:val="none"/>
                <w:u w:val="none"/>
              </w:rPr>
              <w:t>经</w:t>
            </w:r>
            <w:r>
              <w:rPr>
                <w:rFonts w:hint="default" w:ascii="Times New Roman" w:hAnsi="Times New Roman" w:cs="Times New Roman"/>
                <w:color w:val="auto"/>
                <w:sz w:val="24"/>
                <w:szCs w:val="24"/>
                <w:highlight w:val="none"/>
                <w:u w:val="none"/>
                <w:lang w:val="en-US"/>
              </w:rPr>
              <w:t>化粪池处理后达《污水综合排放标准》（GB8978-1996）中三级标准</w:t>
            </w:r>
            <w:r>
              <w:rPr>
                <w:rFonts w:hint="default" w:ascii="Times New Roman" w:hAnsi="Times New Roman" w:cs="Times New Roman"/>
                <w:color w:val="auto"/>
                <w:sz w:val="24"/>
                <w:szCs w:val="24"/>
                <w:highlight w:val="none"/>
                <w:u w:val="none"/>
              </w:rPr>
              <w:t>后通过园区污水管网进入</w:t>
            </w:r>
            <w:r>
              <w:rPr>
                <w:rFonts w:hint="default" w:ascii="Times New Roman" w:hAnsi="Times New Roman" w:cs="Times New Roman"/>
                <w:color w:val="auto"/>
                <w:sz w:val="24"/>
                <w:szCs w:val="24"/>
                <w:highlight w:val="none"/>
                <w:u w:val="none"/>
                <w:lang w:val="en-US" w:eastAsia="zh-CN"/>
              </w:rPr>
              <w:t>双牌县污水处理厂</w:t>
            </w:r>
            <w:r>
              <w:rPr>
                <w:rFonts w:hint="default" w:ascii="Times New Roman" w:hAnsi="Times New Roman" w:cs="Times New Roman"/>
                <w:color w:val="auto"/>
                <w:sz w:val="24"/>
                <w:szCs w:val="24"/>
                <w:highlight w:val="none"/>
                <w:u w:val="none"/>
              </w:rPr>
              <w:t>处理后最终汇入</w:t>
            </w:r>
            <w:r>
              <w:rPr>
                <w:rFonts w:hint="eastAsia" w:ascii="Times New Roman" w:hAnsi="Times New Roman" w:cs="Times New Roman"/>
                <w:color w:val="auto"/>
                <w:sz w:val="24"/>
                <w:szCs w:val="24"/>
                <w:highlight w:val="none"/>
                <w:u w:val="none"/>
                <w:lang w:val="en-US" w:eastAsia="zh-CN"/>
              </w:rPr>
              <w:t>潇水</w:t>
            </w:r>
            <w:r>
              <w:rPr>
                <w:rFonts w:hint="default" w:ascii="Times New Roman" w:hAnsi="Times New Roman" w:cs="Times New Roman"/>
                <w:color w:val="auto"/>
                <w:sz w:val="24"/>
                <w:szCs w:val="24"/>
                <w:highlight w:val="none"/>
                <w:u w:val="none"/>
              </w:rPr>
              <w:t>。项目运营期污水排放情况详见下表。</w:t>
            </w:r>
          </w:p>
          <w:p>
            <w:pPr>
              <w:adjustRightInd w:val="0"/>
              <w:ind w:firstLine="482" w:firstLineChars="200"/>
              <w:jc w:val="center"/>
              <w:rPr>
                <w:rFonts w:hint="default" w:ascii="Times New Roman" w:hAnsi="Times New Roman" w:cs="Times New Roman"/>
                <w:b/>
                <w:color w:val="auto"/>
                <w:sz w:val="21"/>
                <w:szCs w:val="21"/>
                <w:highlight w:val="none"/>
                <w:u w:val="none"/>
              </w:rPr>
            </w:pPr>
            <w:r>
              <w:rPr>
                <w:rFonts w:hint="default" w:ascii="Times New Roman" w:hAnsi="Times New Roman" w:cs="Times New Roman"/>
                <w:b/>
                <w:color w:val="auto"/>
                <w:sz w:val="24"/>
                <w:szCs w:val="24"/>
                <w:highlight w:val="none"/>
                <w:u w:val="none"/>
              </w:rPr>
              <w:t>表</w:t>
            </w:r>
            <w:r>
              <w:rPr>
                <w:rFonts w:hint="default" w:ascii="Times New Roman" w:hAnsi="Times New Roman" w:cs="Times New Roman"/>
                <w:b/>
                <w:color w:val="auto"/>
                <w:sz w:val="24"/>
                <w:szCs w:val="24"/>
                <w:highlight w:val="none"/>
                <w:u w:val="none"/>
                <w:lang w:val="en-US"/>
              </w:rPr>
              <w:t>4-</w:t>
            </w:r>
            <w:r>
              <w:rPr>
                <w:rFonts w:hint="eastAsia" w:ascii="Times New Roman" w:hAnsi="Times New Roman" w:cs="Times New Roman"/>
                <w:b/>
                <w:color w:val="auto"/>
                <w:sz w:val="24"/>
                <w:szCs w:val="24"/>
                <w:highlight w:val="none"/>
                <w:u w:val="none"/>
                <w:lang w:val="en-US" w:eastAsia="zh-CN"/>
              </w:rPr>
              <w:t>3</w:t>
            </w:r>
            <w:r>
              <w:rPr>
                <w:rFonts w:hint="default" w:ascii="Times New Roman" w:hAnsi="Times New Roman" w:cs="Times New Roman"/>
                <w:b/>
                <w:color w:val="auto"/>
                <w:sz w:val="24"/>
                <w:szCs w:val="24"/>
                <w:highlight w:val="none"/>
                <w:u w:val="none"/>
              </w:rPr>
              <w:tab/>
            </w:r>
            <w:r>
              <w:rPr>
                <w:rFonts w:hint="default" w:ascii="Times New Roman" w:hAnsi="Times New Roman" w:cs="Times New Roman"/>
                <w:b/>
                <w:color w:val="auto"/>
                <w:sz w:val="24"/>
                <w:szCs w:val="24"/>
                <w:highlight w:val="none"/>
                <w:u w:val="none"/>
              </w:rPr>
              <w:t>项目废水及污染物产生排放情况</w:t>
            </w:r>
          </w:p>
          <w:tbl>
            <w:tblPr>
              <w:tblStyle w:val="25"/>
              <w:tblW w:w="78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4"/>
              <w:gridCol w:w="1305"/>
              <w:gridCol w:w="1200"/>
              <w:gridCol w:w="1140"/>
              <w:gridCol w:w="986"/>
              <w:gridCol w:w="1013"/>
              <w:gridCol w:w="10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1144" w:type="dxa"/>
                  <w:noWrap w:val="0"/>
                  <w:vAlign w:val="center"/>
                </w:tcPr>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类别</w:t>
                  </w:r>
                </w:p>
              </w:tc>
              <w:tc>
                <w:tcPr>
                  <w:tcW w:w="1305" w:type="dxa"/>
                  <w:noWrap w:val="0"/>
                  <w:vAlign w:val="center"/>
                </w:tcPr>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废水量</w:t>
                  </w:r>
                </w:p>
              </w:tc>
              <w:tc>
                <w:tcPr>
                  <w:tcW w:w="1200" w:type="dxa"/>
                  <w:noWrap w:val="0"/>
                  <w:vAlign w:val="center"/>
                </w:tcPr>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主要污染物</w:t>
                  </w:r>
                </w:p>
              </w:tc>
              <w:tc>
                <w:tcPr>
                  <w:tcW w:w="1140" w:type="dxa"/>
                  <w:noWrap w:val="0"/>
                  <w:vAlign w:val="center"/>
                </w:tcPr>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进水浓度</w:t>
                  </w:r>
                </w:p>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pacing w:val="2"/>
                      <w:sz w:val="21"/>
                      <w:szCs w:val="21"/>
                      <w:highlight w:val="none"/>
                      <w:u w:val="none"/>
                    </w:rPr>
                    <w:t>（</w:t>
                  </w:r>
                  <w:r>
                    <w:rPr>
                      <w:rFonts w:hint="default" w:ascii="Times New Roman" w:hAnsi="Times New Roman" w:cs="Times New Roman"/>
                      <w:b/>
                      <w:bCs/>
                      <w:color w:val="auto"/>
                      <w:spacing w:val="-4"/>
                      <w:sz w:val="21"/>
                      <w:szCs w:val="21"/>
                      <w:highlight w:val="none"/>
                      <w:u w:val="none"/>
                    </w:rPr>
                    <w:t>m</w:t>
                  </w:r>
                  <w:r>
                    <w:rPr>
                      <w:rFonts w:hint="default" w:ascii="Times New Roman" w:hAnsi="Times New Roman" w:cs="Times New Roman"/>
                      <w:b/>
                      <w:bCs/>
                      <w:color w:val="auto"/>
                      <w:sz w:val="21"/>
                      <w:szCs w:val="21"/>
                      <w:highlight w:val="none"/>
                      <w:u w:val="none"/>
                    </w:rPr>
                    <w:t>g</w:t>
                  </w:r>
                  <w:r>
                    <w:rPr>
                      <w:rFonts w:hint="default" w:ascii="Times New Roman" w:hAnsi="Times New Roman" w:cs="Times New Roman"/>
                      <w:b/>
                      <w:bCs/>
                      <w:color w:val="auto"/>
                      <w:spacing w:val="-2"/>
                      <w:sz w:val="21"/>
                      <w:szCs w:val="21"/>
                      <w:highlight w:val="none"/>
                      <w:u w:val="none"/>
                    </w:rPr>
                    <w:t>/L</w:t>
                  </w:r>
                  <w:r>
                    <w:rPr>
                      <w:rFonts w:hint="default" w:ascii="Times New Roman" w:hAnsi="Times New Roman" w:cs="Times New Roman"/>
                      <w:b/>
                      <w:bCs/>
                      <w:color w:val="auto"/>
                      <w:sz w:val="21"/>
                      <w:szCs w:val="21"/>
                      <w:highlight w:val="none"/>
                      <w:u w:val="none"/>
                    </w:rPr>
                    <w:t>）</w:t>
                  </w:r>
                </w:p>
              </w:tc>
              <w:tc>
                <w:tcPr>
                  <w:tcW w:w="986" w:type="dxa"/>
                  <w:noWrap w:val="0"/>
                  <w:vAlign w:val="center"/>
                </w:tcPr>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产生量</w:t>
                  </w:r>
                </w:p>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pacing w:val="2"/>
                      <w:sz w:val="21"/>
                      <w:szCs w:val="21"/>
                      <w:highlight w:val="none"/>
                      <w:u w:val="none"/>
                    </w:rPr>
                    <w:t>（</w:t>
                  </w:r>
                  <w:r>
                    <w:rPr>
                      <w:rFonts w:hint="default" w:ascii="Times New Roman" w:hAnsi="Times New Roman" w:cs="Times New Roman"/>
                      <w:b/>
                      <w:bCs/>
                      <w:color w:val="auto"/>
                      <w:spacing w:val="-1"/>
                      <w:sz w:val="21"/>
                      <w:szCs w:val="21"/>
                      <w:highlight w:val="none"/>
                      <w:u w:val="none"/>
                    </w:rPr>
                    <w:t>t/</w:t>
                  </w:r>
                  <w:r>
                    <w:rPr>
                      <w:rFonts w:hint="default" w:ascii="Times New Roman" w:hAnsi="Times New Roman" w:cs="Times New Roman"/>
                      <w:b/>
                      <w:bCs/>
                      <w:color w:val="auto"/>
                      <w:spacing w:val="-3"/>
                      <w:sz w:val="21"/>
                      <w:szCs w:val="21"/>
                      <w:highlight w:val="none"/>
                      <w:u w:val="none"/>
                    </w:rPr>
                    <w:t>a</w:t>
                  </w:r>
                  <w:r>
                    <w:rPr>
                      <w:rFonts w:hint="default" w:ascii="Times New Roman" w:hAnsi="Times New Roman" w:cs="Times New Roman"/>
                      <w:b/>
                      <w:bCs/>
                      <w:color w:val="auto"/>
                      <w:sz w:val="21"/>
                      <w:szCs w:val="21"/>
                      <w:highlight w:val="none"/>
                      <w:u w:val="none"/>
                    </w:rPr>
                    <w:t>）</w:t>
                  </w:r>
                </w:p>
              </w:tc>
              <w:tc>
                <w:tcPr>
                  <w:tcW w:w="1013" w:type="dxa"/>
                  <w:noWrap w:val="0"/>
                  <w:vAlign w:val="center"/>
                </w:tcPr>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排放浓度</w:t>
                  </w:r>
                </w:p>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pacing w:val="2"/>
                      <w:sz w:val="21"/>
                      <w:szCs w:val="21"/>
                      <w:highlight w:val="none"/>
                      <w:u w:val="none"/>
                    </w:rPr>
                    <w:t>（</w:t>
                  </w:r>
                  <w:r>
                    <w:rPr>
                      <w:rFonts w:hint="default" w:ascii="Times New Roman" w:hAnsi="Times New Roman" w:cs="Times New Roman"/>
                      <w:b/>
                      <w:bCs/>
                      <w:color w:val="auto"/>
                      <w:spacing w:val="-4"/>
                      <w:sz w:val="21"/>
                      <w:szCs w:val="21"/>
                      <w:highlight w:val="none"/>
                      <w:u w:val="none"/>
                    </w:rPr>
                    <w:t>m</w:t>
                  </w:r>
                  <w:r>
                    <w:rPr>
                      <w:rFonts w:hint="default" w:ascii="Times New Roman" w:hAnsi="Times New Roman" w:cs="Times New Roman"/>
                      <w:b/>
                      <w:bCs/>
                      <w:color w:val="auto"/>
                      <w:sz w:val="21"/>
                      <w:szCs w:val="21"/>
                      <w:highlight w:val="none"/>
                      <w:u w:val="none"/>
                    </w:rPr>
                    <w:t>g</w:t>
                  </w:r>
                  <w:r>
                    <w:rPr>
                      <w:rFonts w:hint="default" w:ascii="Times New Roman" w:hAnsi="Times New Roman" w:cs="Times New Roman"/>
                      <w:b/>
                      <w:bCs/>
                      <w:color w:val="auto"/>
                      <w:spacing w:val="-2"/>
                      <w:sz w:val="21"/>
                      <w:szCs w:val="21"/>
                      <w:highlight w:val="none"/>
                      <w:u w:val="none"/>
                    </w:rPr>
                    <w:t>/L</w:t>
                  </w:r>
                  <w:r>
                    <w:rPr>
                      <w:rFonts w:hint="default" w:ascii="Times New Roman" w:hAnsi="Times New Roman" w:cs="Times New Roman"/>
                      <w:b/>
                      <w:bCs/>
                      <w:color w:val="auto"/>
                      <w:sz w:val="21"/>
                      <w:szCs w:val="21"/>
                      <w:highlight w:val="none"/>
                      <w:u w:val="none"/>
                    </w:rPr>
                    <w:t>）</w:t>
                  </w:r>
                </w:p>
              </w:tc>
              <w:tc>
                <w:tcPr>
                  <w:tcW w:w="1083" w:type="dxa"/>
                  <w:noWrap w:val="0"/>
                  <w:vAlign w:val="center"/>
                </w:tcPr>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排放量</w:t>
                  </w:r>
                </w:p>
                <w:p>
                  <w:pPr>
                    <w:pStyle w:val="51"/>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pacing w:val="2"/>
                      <w:sz w:val="21"/>
                      <w:szCs w:val="21"/>
                      <w:highlight w:val="none"/>
                      <w:u w:val="none"/>
                    </w:rPr>
                    <w:t>（</w:t>
                  </w:r>
                  <w:r>
                    <w:rPr>
                      <w:rFonts w:hint="default" w:ascii="Times New Roman" w:hAnsi="Times New Roman" w:cs="Times New Roman"/>
                      <w:b/>
                      <w:bCs/>
                      <w:color w:val="auto"/>
                      <w:spacing w:val="-1"/>
                      <w:sz w:val="21"/>
                      <w:szCs w:val="21"/>
                      <w:highlight w:val="none"/>
                      <w:u w:val="none"/>
                    </w:rPr>
                    <w:t>t/</w:t>
                  </w:r>
                  <w:r>
                    <w:rPr>
                      <w:rFonts w:hint="default" w:ascii="Times New Roman" w:hAnsi="Times New Roman" w:cs="Times New Roman"/>
                      <w:b/>
                      <w:bCs/>
                      <w:color w:val="auto"/>
                      <w:spacing w:val="-3"/>
                      <w:sz w:val="21"/>
                      <w:szCs w:val="21"/>
                      <w:highlight w:val="none"/>
                      <w:u w:val="none"/>
                    </w:rPr>
                    <w:t>a</w:t>
                  </w:r>
                  <w:r>
                    <w:rPr>
                      <w:rFonts w:hint="default" w:ascii="Times New Roman" w:hAnsi="Times New Roman" w:cs="Times New Roman"/>
                      <w:b/>
                      <w:bCs/>
                      <w:color w:val="auto"/>
                      <w:sz w:val="21"/>
                      <w:szCs w:val="21"/>
                      <w:highlight w:val="none"/>
                      <w:u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jc w:val="center"/>
              </w:trPr>
              <w:tc>
                <w:tcPr>
                  <w:tcW w:w="1144" w:type="dxa"/>
                  <w:vMerge w:val="restart"/>
                  <w:noWrap w:val="0"/>
                  <w:vAlign w:val="center"/>
                </w:tcPr>
                <w:p>
                  <w:pPr>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rPr>
                    <w:t>办公生活废水</w:t>
                  </w:r>
                </w:p>
              </w:tc>
              <w:tc>
                <w:tcPr>
                  <w:tcW w:w="1305" w:type="dxa"/>
                  <w:vMerge w:val="restart"/>
                  <w:noWrap w:val="0"/>
                  <w:vAlign w:val="center"/>
                </w:tcPr>
                <w:p>
                  <w:pPr>
                    <w:jc w:val="center"/>
                    <w:rPr>
                      <w:rFonts w:hint="default" w:ascii="Times New Roman" w:hAnsi="Times New Roman" w:cs="Times New Roman"/>
                      <w:color w:val="auto"/>
                      <w:sz w:val="21"/>
                      <w:szCs w:val="21"/>
                      <w:highlight w:val="none"/>
                      <w:u w:val="none"/>
                      <w:lang w:val="en-US"/>
                    </w:rPr>
                  </w:pPr>
                  <w:r>
                    <w:rPr>
                      <w:rFonts w:hint="eastAsia" w:ascii="Times New Roman" w:hAnsi="Times New Roman" w:cs="Times New Roman"/>
                      <w:color w:val="auto"/>
                      <w:sz w:val="21"/>
                      <w:szCs w:val="21"/>
                      <w:highlight w:val="none"/>
                      <w:u w:val="none"/>
                      <w:lang w:val="en-US" w:eastAsia="zh-CN"/>
                    </w:rPr>
                    <w:t>4845</w:t>
                  </w:r>
                  <w:r>
                    <w:rPr>
                      <w:rFonts w:hint="default" w:ascii="Times New Roman" w:hAnsi="Times New Roman" w:cs="Times New Roman"/>
                      <w:color w:val="auto"/>
                      <w:sz w:val="21"/>
                      <w:szCs w:val="21"/>
                      <w:highlight w:val="none"/>
                      <w:u w:val="none"/>
                      <w:lang w:val="en-US"/>
                    </w:rPr>
                    <w:t>t/a</w:t>
                  </w:r>
                </w:p>
              </w:tc>
              <w:tc>
                <w:tcPr>
                  <w:tcW w:w="1200" w:type="dxa"/>
                  <w:noWrap w:val="0"/>
                  <w:vAlign w:val="center"/>
                </w:tcPr>
                <w:p>
                  <w:pPr>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rPr>
                    <w:t>COD</w:t>
                  </w:r>
                </w:p>
              </w:tc>
              <w:tc>
                <w:tcPr>
                  <w:tcW w:w="1140" w:type="dxa"/>
                  <w:noWrap w:val="0"/>
                  <w:vAlign w:val="center"/>
                </w:tcPr>
                <w:p>
                  <w:pPr>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rPr>
                    <w:t>300</w:t>
                  </w:r>
                </w:p>
              </w:tc>
              <w:tc>
                <w:tcPr>
                  <w:tcW w:w="986" w:type="dxa"/>
                  <w:noWrap w:val="0"/>
                  <w:vAlign w:val="center"/>
                </w:tcPr>
                <w:p>
                  <w:pPr>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1.4535</w:t>
                  </w:r>
                </w:p>
              </w:tc>
              <w:tc>
                <w:tcPr>
                  <w:tcW w:w="1013" w:type="dxa"/>
                  <w:noWrap w:val="0"/>
                  <w:vAlign w:val="center"/>
                </w:tcPr>
                <w:p>
                  <w:pPr>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50</w:t>
                  </w:r>
                </w:p>
              </w:tc>
              <w:tc>
                <w:tcPr>
                  <w:tcW w:w="1083" w:type="dxa"/>
                  <w:noWrap w:val="0"/>
                  <w:vAlign w:val="center"/>
                </w:tcPr>
                <w:p>
                  <w:pPr>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0.</w:t>
                  </w:r>
                  <w:r>
                    <w:rPr>
                      <w:rFonts w:hint="eastAsia" w:ascii="Times New Roman" w:hAnsi="Times New Roman" w:cs="Times New Roman"/>
                      <w:color w:val="auto"/>
                      <w:sz w:val="21"/>
                      <w:szCs w:val="21"/>
                      <w:highlight w:val="none"/>
                      <w:u w:val="none"/>
                      <w:lang w:val="en-US" w:eastAsia="zh-CN"/>
                    </w:rPr>
                    <w:t>242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jc w:val="center"/>
              </w:trPr>
              <w:tc>
                <w:tcPr>
                  <w:tcW w:w="1144" w:type="dxa"/>
                  <w:vMerge w:val="continue"/>
                  <w:noWrap w:val="0"/>
                  <w:vAlign w:val="center"/>
                </w:tcPr>
                <w:p>
                  <w:pPr>
                    <w:jc w:val="center"/>
                    <w:rPr>
                      <w:rFonts w:hint="default" w:ascii="Times New Roman" w:hAnsi="Times New Roman" w:cs="Times New Roman"/>
                      <w:color w:val="auto"/>
                      <w:sz w:val="21"/>
                      <w:szCs w:val="21"/>
                      <w:highlight w:val="none"/>
                      <w:u w:val="none"/>
                      <w:lang w:val="en-US"/>
                    </w:rPr>
                  </w:pPr>
                </w:p>
              </w:tc>
              <w:tc>
                <w:tcPr>
                  <w:tcW w:w="1305" w:type="dxa"/>
                  <w:vMerge w:val="continue"/>
                  <w:noWrap w:val="0"/>
                  <w:vAlign w:val="center"/>
                </w:tcPr>
                <w:p>
                  <w:pPr>
                    <w:jc w:val="center"/>
                    <w:rPr>
                      <w:rFonts w:hint="default" w:ascii="Times New Roman" w:hAnsi="Times New Roman" w:cs="Times New Roman"/>
                      <w:color w:val="auto"/>
                      <w:sz w:val="21"/>
                      <w:szCs w:val="21"/>
                      <w:highlight w:val="none"/>
                      <w:u w:val="none"/>
                      <w:lang w:val="en-US"/>
                    </w:rPr>
                  </w:pPr>
                </w:p>
              </w:tc>
              <w:tc>
                <w:tcPr>
                  <w:tcW w:w="1200" w:type="dxa"/>
                  <w:noWrap w:val="0"/>
                  <w:vAlign w:val="center"/>
                </w:tcPr>
                <w:p>
                  <w:pPr>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rPr>
                    <w:t>BOD</w:t>
                  </w:r>
                  <w:r>
                    <w:rPr>
                      <w:rFonts w:hint="default" w:ascii="Times New Roman" w:hAnsi="Times New Roman" w:cs="Times New Roman"/>
                      <w:color w:val="auto"/>
                      <w:sz w:val="21"/>
                      <w:szCs w:val="21"/>
                      <w:highlight w:val="none"/>
                      <w:u w:val="none"/>
                      <w:vertAlign w:val="subscript"/>
                      <w:lang w:val="en-US"/>
                    </w:rPr>
                    <w:t>5</w:t>
                  </w:r>
                </w:p>
              </w:tc>
              <w:tc>
                <w:tcPr>
                  <w:tcW w:w="1140" w:type="dxa"/>
                  <w:noWrap w:val="0"/>
                  <w:vAlign w:val="center"/>
                </w:tcPr>
                <w:p>
                  <w:pPr>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rPr>
                    <w:t>150</w:t>
                  </w:r>
                </w:p>
              </w:tc>
              <w:tc>
                <w:tcPr>
                  <w:tcW w:w="986" w:type="dxa"/>
                  <w:noWrap w:val="0"/>
                  <w:vAlign w:val="center"/>
                </w:tcPr>
                <w:p>
                  <w:pPr>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0.</w:t>
                  </w:r>
                  <w:r>
                    <w:rPr>
                      <w:rFonts w:hint="eastAsia" w:ascii="Times New Roman" w:hAnsi="Times New Roman" w:cs="Times New Roman"/>
                      <w:color w:val="auto"/>
                      <w:sz w:val="21"/>
                      <w:szCs w:val="21"/>
                      <w:highlight w:val="none"/>
                      <w:u w:val="none"/>
                      <w:lang w:val="en-US" w:eastAsia="zh-CN"/>
                    </w:rPr>
                    <w:t>727</w:t>
                  </w:r>
                </w:p>
              </w:tc>
              <w:tc>
                <w:tcPr>
                  <w:tcW w:w="1013" w:type="dxa"/>
                  <w:noWrap w:val="0"/>
                  <w:vAlign w:val="center"/>
                </w:tcPr>
                <w:p>
                  <w:pPr>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10</w:t>
                  </w:r>
                </w:p>
              </w:tc>
              <w:tc>
                <w:tcPr>
                  <w:tcW w:w="1083" w:type="dxa"/>
                  <w:noWrap w:val="0"/>
                  <w:vAlign w:val="center"/>
                </w:tcPr>
                <w:p>
                  <w:pPr>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0.</w:t>
                  </w:r>
                  <w:r>
                    <w:rPr>
                      <w:rFonts w:hint="eastAsia" w:ascii="Times New Roman" w:hAnsi="Times New Roman" w:cs="Times New Roman"/>
                      <w:color w:val="auto"/>
                      <w:sz w:val="21"/>
                      <w:szCs w:val="21"/>
                      <w:highlight w:val="none"/>
                      <w:u w:val="none"/>
                      <w:lang w:val="en-US" w:eastAsia="zh-CN"/>
                    </w:rPr>
                    <w:t>048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 w:hRule="atLeast"/>
                <w:jc w:val="center"/>
              </w:trPr>
              <w:tc>
                <w:tcPr>
                  <w:tcW w:w="1144" w:type="dxa"/>
                  <w:vMerge w:val="continue"/>
                  <w:noWrap w:val="0"/>
                  <w:vAlign w:val="center"/>
                </w:tcPr>
                <w:p>
                  <w:pPr>
                    <w:jc w:val="center"/>
                    <w:rPr>
                      <w:rFonts w:hint="default" w:ascii="Times New Roman" w:hAnsi="Times New Roman" w:cs="Times New Roman"/>
                      <w:color w:val="auto"/>
                      <w:sz w:val="21"/>
                      <w:szCs w:val="21"/>
                      <w:highlight w:val="none"/>
                      <w:u w:val="none"/>
                      <w:lang w:val="en-US"/>
                    </w:rPr>
                  </w:pPr>
                </w:p>
              </w:tc>
              <w:tc>
                <w:tcPr>
                  <w:tcW w:w="1305" w:type="dxa"/>
                  <w:vMerge w:val="continue"/>
                  <w:noWrap w:val="0"/>
                  <w:vAlign w:val="center"/>
                </w:tcPr>
                <w:p>
                  <w:pPr>
                    <w:jc w:val="center"/>
                    <w:rPr>
                      <w:rFonts w:hint="default" w:ascii="Times New Roman" w:hAnsi="Times New Roman" w:cs="Times New Roman"/>
                      <w:color w:val="auto"/>
                      <w:sz w:val="21"/>
                      <w:szCs w:val="21"/>
                      <w:highlight w:val="none"/>
                      <w:u w:val="none"/>
                      <w:lang w:val="en-US"/>
                    </w:rPr>
                  </w:pPr>
                </w:p>
              </w:tc>
              <w:tc>
                <w:tcPr>
                  <w:tcW w:w="1200" w:type="dxa"/>
                  <w:noWrap w:val="0"/>
                  <w:vAlign w:val="center"/>
                </w:tcPr>
                <w:p>
                  <w:pPr>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rPr>
                    <w:t>NH</w:t>
                  </w:r>
                  <w:r>
                    <w:rPr>
                      <w:rFonts w:hint="default" w:ascii="Times New Roman" w:hAnsi="Times New Roman" w:cs="Times New Roman"/>
                      <w:color w:val="auto"/>
                      <w:sz w:val="21"/>
                      <w:szCs w:val="21"/>
                      <w:highlight w:val="none"/>
                      <w:u w:val="none"/>
                      <w:vertAlign w:val="subscript"/>
                      <w:lang w:val="en-US"/>
                    </w:rPr>
                    <w:t>3</w:t>
                  </w:r>
                  <w:r>
                    <w:rPr>
                      <w:rFonts w:hint="default" w:ascii="Times New Roman" w:hAnsi="Times New Roman" w:cs="Times New Roman"/>
                      <w:color w:val="auto"/>
                      <w:sz w:val="21"/>
                      <w:szCs w:val="21"/>
                      <w:highlight w:val="none"/>
                      <w:u w:val="none"/>
                      <w:lang w:val="en-US"/>
                    </w:rPr>
                    <w:t>-N</w:t>
                  </w:r>
                </w:p>
              </w:tc>
              <w:tc>
                <w:tcPr>
                  <w:tcW w:w="1140" w:type="dxa"/>
                  <w:noWrap w:val="0"/>
                  <w:vAlign w:val="center"/>
                </w:tcPr>
                <w:p>
                  <w:pPr>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rPr>
                    <w:t>50</w:t>
                  </w:r>
                </w:p>
              </w:tc>
              <w:tc>
                <w:tcPr>
                  <w:tcW w:w="986" w:type="dxa"/>
                  <w:noWrap w:val="0"/>
                  <w:vAlign w:val="center"/>
                </w:tcPr>
                <w:p>
                  <w:pPr>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0.</w:t>
                  </w:r>
                  <w:r>
                    <w:rPr>
                      <w:rFonts w:hint="eastAsia" w:ascii="Times New Roman" w:hAnsi="Times New Roman" w:cs="Times New Roman"/>
                      <w:color w:val="auto"/>
                      <w:sz w:val="21"/>
                      <w:szCs w:val="21"/>
                      <w:highlight w:val="none"/>
                      <w:u w:val="none"/>
                      <w:lang w:val="en-US" w:eastAsia="zh-CN"/>
                    </w:rPr>
                    <w:t>242</w:t>
                  </w:r>
                </w:p>
              </w:tc>
              <w:tc>
                <w:tcPr>
                  <w:tcW w:w="1013" w:type="dxa"/>
                  <w:noWrap w:val="0"/>
                  <w:vAlign w:val="center"/>
                </w:tcPr>
                <w:p>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5</w:t>
                  </w:r>
                </w:p>
              </w:tc>
              <w:tc>
                <w:tcPr>
                  <w:tcW w:w="1083" w:type="dxa"/>
                  <w:noWrap w:val="0"/>
                  <w:vAlign w:val="center"/>
                </w:tcPr>
                <w:p>
                  <w:pPr>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0.0</w:t>
                  </w:r>
                  <w:r>
                    <w:rPr>
                      <w:rFonts w:hint="eastAsia" w:ascii="Times New Roman" w:hAnsi="Times New Roman" w:cs="Times New Roman"/>
                      <w:color w:val="auto"/>
                      <w:sz w:val="21"/>
                      <w:szCs w:val="21"/>
                      <w:highlight w:val="none"/>
                      <w:u w:val="none"/>
                      <w:lang w:val="en-US" w:eastAsia="zh-CN"/>
                    </w:rPr>
                    <w:t>24</w:t>
                  </w:r>
                </w:p>
              </w:tc>
            </w:tr>
          </w:tbl>
          <w:p>
            <w:pPr>
              <w:adjustRightInd w:val="0"/>
              <w:snapToGrid w:val="0"/>
              <w:spacing w:before="120" w:beforeLines="50" w:line="500" w:lineRule="exact"/>
              <w:jc w:val="center"/>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t>表</w:t>
            </w:r>
            <w:r>
              <w:rPr>
                <w:rFonts w:hint="default" w:ascii="Times New Roman" w:hAnsi="Times New Roman" w:cs="Times New Roman"/>
                <w:b/>
                <w:color w:val="auto"/>
                <w:sz w:val="24"/>
                <w:szCs w:val="24"/>
                <w:highlight w:val="none"/>
                <w:u w:val="none"/>
                <w:lang w:val="en-US"/>
              </w:rPr>
              <w:t>4-</w:t>
            </w:r>
            <w:r>
              <w:rPr>
                <w:rFonts w:hint="eastAsia" w:ascii="Times New Roman" w:hAnsi="Times New Roman" w:cs="Times New Roman"/>
                <w:b/>
                <w:color w:val="auto"/>
                <w:sz w:val="24"/>
                <w:szCs w:val="24"/>
                <w:highlight w:val="none"/>
                <w:u w:val="none"/>
                <w:lang w:val="en-US" w:eastAsia="zh-CN"/>
              </w:rPr>
              <w:t>4</w:t>
            </w:r>
            <w:r>
              <w:rPr>
                <w:rFonts w:hint="default" w:ascii="Times New Roman" w:hAnsi="Times New Roman" w:cs="Times New Roman"/>
                <w:b/>
                <w:color w:val="auto"/>
                <w:sz w:val="24"/>
                <w:szCs w:val="24"/>
                <w:highlight w:val="none"/>
                <w:u w:val="none"/>
              </w:rPr>
              <w:t>废水排</w:t>
            </w:r>
            <w:r>
              <w:rPr>
                <w:rFonts w:hint="default" w:ascii="Times New Roman" w:hAnsi="Times New Roman" w:cs="Times New Roman"/>
                <w:b/>
                <w:color w:val="auto"/>
                <w:sz w:val="24"/>
                <w:szCs w:val="24"/>
                <w:highlight w:val="none"/>
                <w:u w:val="none"/>
                <w:lang w:val="en-US"/>
              </w:rPr>
              <w:t>放</w:t>
            </w:r>
            <w:r>
              <w:rPr>
                <w:rFonts w:hint="default" w:ascii="Times New Roman" w:hAnsi="Times New Roman" w:cs="Times New Roman"/>
                <w:b/>
                <w:color w:val="auto"/>
                <w:sz w:val="24"/>
                <w:szCs w:val="24"/>
                <w:highlight w:val="none"/>
                <w:u w:val="none"/>
              </w:rPr>
              <w:t>口基本情况一览表</w:t>
            </w:r>
          </w:p>
          <w:tbl>
            <w:tblPr>
              <w:tblStyle w:val="25"/>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902"/>
              <w:gridCol w:w="304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2" w:type="dxa"/>
                  <w:noWrap w:val="0"/>
                  <w:vAlign w:val="center"/>
                </w:tcPr>
                <w:p>
                  <w:pPr>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污染物</w:t>
                  </w:r>
                </w:p>
              </w:tc>
              <w:tc>
                <w:tcPr>
                  <w:tcW w:w="1902" w:type="dxa"/>
                  <w:noWrap w:val="0"/>
                  <w:vAlign w:val="center"/>
                </w:tcPr>
                <w:p>
                  <w:pPr>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排放方式</w:t>
                  </w:r>
                </w:p>
              </w:tc>
              <w:tc>
                <w:tcPr>
                  <w:tcW w:w="3042" w:type="dxa"/>
                  <w:noWrap w:val="0"/>
                  <w:vAlign w:val="center"/>
                </w:tcPr>
                <w:p>
                  <w:pPr>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排放去向</w:t>
                  </w:r>
                </w:p>
              </w:tc>
              <w:tc>
                <w:tcPr>
                  <w:tcW w:w="1290" w:type="dxa"/>
                  <w:noWrap w:val="0"/>
                  <w:vAlign w:val="center"/>
                </w:tcPr>
                <w:p>
                  <w:pPr>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2" w:type="dxa"/>
                  <w:noWrap w:val="0"/>
                  <w:vAlign w:val="center"/>
                </w:tcPr>
                <w:p>
                  <w:pPr>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办公生活废水</w:t>
                  </w:r>
                </w:p>
              </w:tc>
              <w:tc>
                <w:tcPr>
                  <w:tcW w:w="1902" w:type="dxa"/>
                  <w:noWrap w:val="0"/>
                  <w:vAlign w:val="center"/>
                </w:tcPr>
                <w:p>
                  <w:pPr>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lang w:val="en-US"/>
                    </w:rPr>
                    <w:t>间接</w:t>
                  </w:r>
                  <w:r>
                    <w:rPr>
                      <w:rFonts w:hint="default" w:ascii="Times New Roman" w:hAnsi="Times New Roman" w:cs="Times New Roman"/>
                      <w:color w:val="auto"/>
                      <w:sz w:val="21"/>
                      <w:szCs w:val="21"/>
                      <w:highlight w:val="none"/>
                      <w:u w:val="none"/>
                    </w:rPr>
                    <w:t>排放</w:t>
                  </w:r>
                </w:p>
              </w:tc>
              <w:tc>
                <w:tcPr>
                  <w:tcW w:w="3042" w:type="dxa"/>
                  <w:noWrap w:val="0"/>
                  <w:vAlign w:val="center"/>
                </w:tcPr>
                <w:p>
                  <w:pPr>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rPr>
                    <w:t>排放</w:t>
                  </w:r>
                  <w:r>
                    <w:rPr>
                      <w:rFonts w:hint="default" w:ascii="Times New Roman" w:hAnsi="Times New Roman" w:cs="Times New Roman"/>
                      <w:color w:val="auto"/>
                      <w:sz w:val="21"/>
                      <w:szCs w:val="21"/>
                      <w:highlight w:val="none"/>
                      <w:u w:val="none"/>
                      <w:lang w:val="en-US" w:eastAsia="zh-CN"/>
                    </w:rPr>
                    <w:t>双牌县污水处理厂</w:t>
                  </w:r>
                </w:p>
              </w:tc>
              <w:tc>
                <w:tcPr>
                  <w:tcW w:w="1290" w:type="dxa"/>
                  <w:noWrap w:val="0"/>
                  <w:vAlign w:val="center"/>
                </w:tcPr>
                <w:p>
                  <w:pPr>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连续排放</w:t>
                  </w:r>
                </w:p>
              </w:tc>
            </w:tr>
          </w:tbl>
          <w:p>
            <w:pPr>
              <w:pStyle w:val="59"/>
              <w:autoSpaceDE/>
              <w:autoSpaceDN/>
              <w:ind w:left="44" w:leftChars="20" w:right="44" w:rightChars="20" w:firstLine="422"/>
              <w:jc w:val="both"/>
              <w:rPr>
                <w:rFonts w:hint="default" w:ascii="Times New Roman" w:hAnsi="Times New Roman" w:cs="Times New Roman"/>
                <w:b/>
                <w:bCs/>
                <w:color w:val="auto"/>
                <w:sz w:val="21"/>
                <w:szCs w:val="21"/>
                <w:highlight w:val="none"/>
                <w:u w:val="none"/>
                <w:lang w:val="en-US"/>
              </w:rPr>
            </w:pPr>
          </w:p>
          <w:p>
            <w:pPr>
              <w:spacing w:line="360" w:lineRule="auto"/>
              <w:ind w:firstLine="480"/>
              <w:rPr>
                <w:rFonts w:hint="default" w:ascii="Times New Roman" w:hAnsi="Times New Roman" w:eastAsia="宋体" w:cs="Times New Roman"/>
                <w:color w:val="auto"/>
                <w:sz w:val="24"/>
                <w:szCs w:val="24"/>
                <w:highlight w:val="none"/>
                <w:u w:val="none"/>
                <w:lang w:val="zh-CN" w:eastAsia="zh-CN" w:bidi="zh-CN"/>
              </w:rPr>
            </w:pPr>
            <w:r>
              <w:rPr>
                <w:rFonts w:hint="default" w:ascii="Times New Roman" w:hAnsi="Times New Roman" w:eastAsia="宋体" w:cs="Times New Roman"/>
                <w:color w:val="auto"/>
                <w:sz w:val="24"/>
                <w:szCs w:val="24"/>
                <w:highlight w:val="none"/>
                <w:u w:val="none"/>
                <w:lang w:val="zh-CN" w:eastAsia="zh-CN" w:bidi="zh-CN"/>
              </w:rPr>
              <w:t>（1）水污染控制和水环境影响减缓措施有效性评价</w:t>
            </w:r>
          </w:p>
          <w:p>
            <w:pPr>
              <w:spacing w:line="360" w:lineRule="auto"/>
              <w:ind w:firstLine="480"/>
              <w:rPr>
                <w:rFonts w:hint="default" w:ascii="Times New Roman" w:hAnsi="Times New Roman" w:eastAsia="宋体" w:cs="Times New Roman"/>
                <w:color w:val="auto"/>
                <w:sz w:val="24"/>
                <w:szCs w:val="24"/>
                <w:highlight w:val="none"/>
                <w:u w:val="none"/>
                <w:lang w:val="zh-CN" w:eastAsia="zh-CN" w:bidi="zh-CN"/>
              </w:rPr>
            </w:pPr>
            <w:r>
              <w:rPr>
                <w:rFonts w:hint="default" w:ascii="Times New Roman" w:hAnsi="Times New Roman" w:eastAsia="宋体" w:cs="Times New Roman"/>
                <w:color w:val="auto"/>
                <w:sz w:val="24"/>
                <w:szCs w:val="24"/>
                <w:highlight w:val="none"/>
                <w:u w:val="none"/>
                <w:lang w:val="zh-CN" w:eastAsia="zh-CN" w:bidi="zh-CN"/>
              </w:rPr>
              <w:t>本项目各类废水废水均不外排，各类废水污染物经处理后均能达标排放，因此，本项目投产运行后各类废水经各自废水处理措施处理后达标排放是可行的。</w:t>
            </w:r>
          </w:p>
          <w:p>
            <w:pPr>
              <w:spacing w:line="360" w:lineRule="auto"/>
              <w:ind w:firstLine="480"/>
              <w:rPr>
                <w:rFonts w:hint="default" w:ascii="Times New Roman" w:hAnsi="Times New Roman" w:eastAsia="宋体" w:cs="Times New Roman"/>
                <w:color w:val="auto"/>
                <w:sz w:val="24"/>
                <w:szCs w:val="24"/>
                <w:highlight w:val="none"/>
                <w:u w:val="none"/>
                <w:lang w:val="zh-CN" w:eastAsia="zh-CN" w:bidi="zh-CN"/>
              </w:rPr>
            </w:pPr>
            <w:r>
              <w:rPr>
                <w:rFonts w:hint="default" w:ascii="Times New Roman" w:hAnsi="Times New Roman" w:eastAsia="宋体" w:cs="Times New Roman"/>
                <w:color w:val="auto"/>
                <w:sz w:val="24"/>
                <w:szCs w:val="24"/>
                <w:highlight w:val="none"/>
                <w:u w:val="none"/>
                <w:lang w:val="zh-CN" w:eastAsia="zh-CN" w:bidi="zh-CN"/>
              </w:rPr>
              <w:t>（2）依托污水处理设施的环境可行性评价</w:t>
            </w:r>
          </w:p>
          <w:p>
            <w:pPr>
              <w:spacing w:line="360" w:lineRule="auto"/>
              <w:ind w:firstLine="480"/>
              <w:rPr>
                <w:rFonts w:hint="default" w:ascii="Times New Roman" w:hAnsi="Times New Roman" w:eastAsia="宋体" w:cs="Times New Roman"/>
                <w:color w:val="auto"/>
                <w:sz w:val="24"/>
                <w:szCs w:val="24"/>
                <w:highlight w:val="none"/>
                <w:u w:val="none"/>
                <w:lang w:val="zh-CN" w:eastAsia="zh-CN" w:bidi="zh-CN"/>
              </w:rPr>
            </w:pPr>
            <w:r>
              <w:rPr>
                <w:rFonts w:hint="default" w:ascii="Times New Roman" w:hAnsi="Times New Roman" w:eastAsia="宋体" w:cs="Times New Roman"/>
                <w:color w:val="auto"/>
                <w:sz w:val="24"/>
                <w:szCs w:val="24"/>
                <w:highlight w:val="none"/>
                <w:u w:val="none"/>
                <w:lang w:val="zh-CN" w:eastAsia="zh-CN" w:bidi="zh-CN"/>
              </w:rPr>
              <w:t>①依托污水处理厂剩余容量</w:t>
            </w:r>
          </w:p>
          <w:p>
            <w:pPr>
              <w:spacing w:line="360" w:lineRule="auto"/>
              <w:ind w:firstLine="480"/>
              <w:jc w:val="both"/>
              <w:rPr>
                <w:rFonts w:hint="default" w:ascii="Times New Roman" w:hAnsi="Times New Roman" w:eastAsia="宋体" w:cs="Times New Roman"/>
                <w:color w:val="auto"/>
                <w:sz w:val="24"/>
                <w:szCs w:val="24"/>
                <w:highlight w:val="none"/>
                <w:u w:val="none"/>
                <w:lang w:val="zh-CN" w:eastAsia="zh-CN" w:bidi="zh-CN"/>
              </w:rPr>
            </w:pPr>
            <w:r>
              <w:rPr>
                <w:rFonts w:hint="default" w:ascii="Times New Roman" w:hAnsi="Times New Roman" w:eastAsia="宋体" w:cs="Times New Roman"/>
                <w:color w:val="auto"/>
                <w:sz w:val="24"/>
                <w:szCs w:val="24"/>
                <w:highlight w:val="none"/>
                <w:u w:val="none"/>
                <w:lang w:val="zh-CN" w:eastAsia="zh-CN" w:bidi="zh-CN"/>
              </w:rPr>
              <w:t>永州市双牌县污水处理厂一期建设规模为3万t/d、二期建设规模为3万t/d，总污水处理规模为6万t/d，二期工程已于2015年完成建设，采用Carrousel氧化沟工艺，目前双牌县污水处理厂剩余容量约2万t/d，本次项目建成后外排生产生活污水量为</w:t>
            </w:r>
            <w:r>
              <w:rPr>
                <w:rFonts w:hint="eastAsia" w:ascii="Times New Roman" w:hAnsi="Times New Roman" w:cs="Times New Roman"/>
                <w:color w:val="auto"/>
                <w:sz w:val="24"/>
                <w:szCs w:val="24"/>
                <w:highlight w:val="none"/>
                <w:u w:val="none"/>
                <w:lang w:val="en-US" w:eastAsia="zh-CN" w:bidi="zh-CN"/>
              </w:rPr>
              <w:t>16.15</w:t>
            </w:r>
            <w:r>
              <w:rPr>
                <w:rFonts w:hint="default" w:ascii="Times New Roman" w:hAnsi="Times New Roman" w:eastAsia="宋体" w:cs="Times New Roman"/>
                <w:color w:val="auto"/>
                <w:sz w:val="24"/>
                <w:szCs w:val="24"/>
                <w:highlight w:val="none"/>
                <w:u w:val="none"/>
                <w:lang w:val="zh-CN" w:eastAsia="zh-CN" w:bidi="zh-CN"/>
              </w:rPr>
              <w:t>t/d，占双牌县污水处理厂剩余容量0.</w:t>
            </w:r>
            <w:r>
              <w:rPr>
                <w:rFonts w:hint="eastAsia" w:ascii="Times New Roman" w:hAnsi="Times New Roman" w:cs="Times New Roman"/>
                <w:color w:val="auto"/>
                <w:sz w:val="24"/>
                <w:szCs w:val="24"/>
                <w:highlight w:val="none"/>
                <w:u w:val="none"/>
                <w:lang w:val="en-US" w:eastAsia="zh-CN" w:bidi="zh-CN"/>
              </w:rPr>
              <w:t>0825</w:t>
            </w:r>
            <w:r>
              <w:rPr>
                <w:rFonts w:hint="default" w:ascii="Times New Roman" w:hAnsi="Times New Roman" w:eastAsia="宋体" w:cs="Times New Roman"/>
                <w:color w:val="auto"/>
                <w:sz w:val="24"/>
                <w:szCs w:val="24"/>
                <w:highlight w:val="none"/>
                <w:u w:val="none"/>
                <w:lang w:val="zh-CN" w:eastAsia="zh-CN" w:bidi="zh-CN"/>
              </w:rPr>
              <w:t>%，因此该污水处理厂完全可以接纳本项目的污水量。</w:t>
            </w:r>
          </w:p>
          <w:p>
            <w:pPr>
              <w:spacing w:line="360" w:lineRule="auto"/>
              <w:ind w:firstLine="480"/>
              <w:jc w:val="both"/>
              <w:rPr>
                <w:rFonts w:hint="default" w:ascii="Times New Roman" w:hAnsi="Times New Roman" w:eastAsia="宋体" w:cs="Times New Roman"/>
                <w:color w:val="auto"/>
                <w:sz w:val="24"/>
                <w:szCs w:val="24"/>
                <w:highlight w:val="none"/>
                <w:u w:val="none"/>
                <w:lang w:val="zh-CN" w:eastAsia="zh-CN" w:bidi="zh-CN"/>
              </w:rPr>
            </w:pPr>
            <w:r>
              <w:rPr>
                <w:rFonts w:hint="default" w:ascii="Times New Roman" w:hAnsi="Times New Roman" w:eastAsia="宋体" w:cs="Times New Roman"/>
                <w:color w:val="auto"/>
                <w:sz w:val="24"/>
                <w:szCs w:val="24"/>
                <w:highlight w:val="none"/>
                <w:u w:val="none"/>
                <w:lang w:val="zh-CN" w:eastAsia="zh-CN" w:bidi="zh-CN"/>
              </w:rPr>
              <w:t>②处理工艺相容性分析</w:t>
            </w:r>
          </w:p>
          <w:p>
            <w:pPr>
              <w:spacing w:line="360" w:lineRule="auto"/>
              <w:ind w:firstLine="480"/>
              <w:jc w:val="both"/>
              <w:rPr>
                <w:rFonts w:hint="default" w:ascii="Times New Roman" w:hAnsi="Times New Roman" w:eastAsia="宋体" w:cs="Times New Roman"/>
                <w:color w:val="auto"/>
                <w:sz w:val="24"/>
                <w:szCs w:val="24"/>
                <w:highlight w:val="none"/>
                <w:u w:val="none"/>
                <w:lang w:val="zh-CN" w:eastAsia="zh-CN" w:bidi="zh-CN"/>
              </w:rPr>
            </w:pPr>
            <w:r>
              <w:rPr>
                <w:rFonts w:hint="default" w:ascii="Times New Roman" w:hAnsi="Times New Roman" w:eastAsia="宋体" w:cs="Times New Roman"/>
                <w:color w:val="auto"/>
                <w:sz w:val="24"/>
                <w:szCs w:val="24"/>
                <w:highlight w:val="none"/>
                <w:u w:val="none"/>
                <w:lang w:val="zh-CN" w:eastAsia="zh-CN" w:bidi="zh-CN"/>
              </w:rPr>
              <w:t>双牌县污水处理厂工程要求进水水质标准达到《污水综合排放标准》（GB8978-1996）三级标准。本项目废水主要含以下几类污染物：pH</w:t>
            </w:r>
            <w:r>
              <w:rPr>
                <w:rFonts w:hint="eastAsia" w:ascii="Times New Roman" w:hAnsi="Times New Roman" w:cs="Times New Roman"/>
                <w:color w:val="auto"/>
                <w:sz w:val="24"/>
                <w:szCs w:val="24"/>
                <w:highlight w:val="none"/>
                <w:u w:val="none"/>
                <w:lang w:val="zh-CN" w:eastAsia="zh-CN" w:bidi="zh-CN"/>
              </w:rPr>
              <w:t>、</w:t>
            </w:r>
            <w:r>
              <w:rPr>
                <w:rFonts w:hint="default" w:ascii="Times New Roman" w:hAnsi="Times New Roman" w:eastAsia="宋体" w:cs="Times New Roman"/>
                <w:color w:val="auto"/>
                <w:sz w:val="24"/>
                <w:szCs w:val="24"/>
                <w:highlight w:val="none"/>
                <w:u w:val="none"/>
                <w:lang w:val="zh-CN" w:eastAsia="zh-CN" w:bidi="zh-CN"/>
              </w:rPr>
              <w:t>COD、BOD</w:t>
            </w:r>
            <w:r>
              <w:rPr>
                <w:rFonts w:hint="default" w:ascii="Times New Roman" w:hAnsi="Times New Roman" w:eastAsia="宋体" w:cs="Times New Roman"/>
                <w:color w:val="auto"/>
                <w:sz w:val="24"/>
                <w:szCs w:val="24"/>
                <w:highlight w:val="none"/>
                <w:u w:val="none"/>
                <w:vertAlign w:val="subscript"/>
                <w:lang w:val="zh-CN" w:eastAsia="zh-CN" w:bidi="zh-CN"/>
              </w:rPr>
              <w:t>5</w:t>
            </w:r>
            <w:r>
              <w:rPr>
                <w:rFonts w:hint="default" w:ascii="Times New Roman" w:hAnsi="Times New Roman" w:eastAsia="宋体" w:cs="Times New Roman"/>
                <w:color w:val="auto"/>
                <w:sz w:val="24"/>
                <w:szCs w:val="24"/>
                <w:highlight w:val="none"/>
                <w:u w:val="none"/>
                <w:lang w:val="zh-CN" w:eastAsia="zh-CN" w:bidi="zh-CN"/>
              </w:rPr>
              <w:t>、氨氮、SS、石油类，不会对污水处理厂的处理工艺形成冲击性。</w:t>
            </w:r>
          </w:p>
          <w:p>
            <w:pPr>
              <w:pStyle w:val="59"/>
              <w:autoSpaceDE/>
              <w:autoSpaceDN/>
              <w:ind w:left="44" w:leftChars="20" w:right="44" w:rightChars="20" w:firstLine="422"/>
              <w:jc w:val="both"/>
              <w:rPr>
                <w:rFonts w:hint="default" w:ascii="Times New Roman" w:hAnsi="Times New Roman" w:cs="Times New Roman"/>
                <w:b/>
                <w:bCs/>
                <w:color w:val="auto"/>
                <w:sz w:val="24"/>
                <w:szCs w:val="24"/>
                <w:highlight w:val="none"/>
                <w:u w:val="none"/>
                <w:lang w:val="en-US"/>
              </w:rPr>
            </w:pPr>
            <w:r>
              <w:rPr>
                <w:rFonts w:hint="default" w:ascii="Times New Roman" w:hAnsi="Times New Roman" w:cs="Times New Roman"/>
                <w:b/>
                <w:bCs/>
                <w:color w:val="auto"/>
                <w:sz w:val="24"/>
                <w:szCs w:val="24"/>
                <w:highlight w:val="none"/>
                <w:u w:val="none"/>
                <w:lang w:val="en-US"/>
              </w:rPr>
              <w:t>3、噪声</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项目在运行过程中的噪声主要来自于各类机械设备的运行噪声。经过隔声、消声、减振措施后，噪声源强可降低20~25dB（A）。</w:t>
            </w:r>
          </w:p>
          <w:p>
            <w:pPr>
              <w:pStyle w:val="59"/>
              <w:autoSpaceDE/>
              <w:autoSpaceDN/>
              <w:spacing w:line="400" w:lineRule="exact"/>
              <w:ind w:left="550" w:leftChars="250" w:right="110" w:rightChars="50" w:firstLine="0" w:firstLineChars="0"/>
              <w:jc w:val="center"/>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b/>
                <w:bCs/>
                <w:color w:val="auto"/>
                <w:sz w:val="24"/>
                <w:szCs w:val="24"/>
                <w:highlight w:val="none"/>
                <w:u w:val="none"/>
                <w:lang w:val="en-US"/>
              </w:rPr>
              <w:t>表4-</w:t>
            </w:r>
            <w:r>
              <w:rPr>
                <w:rFonts w:hint="eastAsia" w:ascii="Times New Roman" w:hAnsi="Times New Roman" w:cs="Times New Roman"/>
                <w:b/>
                <w:bCs/>
                <w:color w:val="auto"/>
                <w:sz w:val="24"/>
                <w:szCs w:val="24"/>
                <w:highlight w:val="none"/>
                <w:u w:val="none"/>
                <w:lang w:val="en-US" w:eastAsia="zh-CN"/>
              </w:rPr>
              <w:t>5</w:t>
            </w:r>
            <w:r>
              <w:rPr>
                <w:rFonts w:hint="default" w:ascii="Times New Roman" w:hAnsi="Times New Roman" w:cs="Times New Roman"/>
                <w:b/>
                <w:bCs/>
                <w:color w:val="auto"/>
                <w:sz w:val="24"/>
                <w:szCs w:val="24"/>
                <w:highlight w:val="none"/>
                <w:u w:val="none"/>
                <w:lang w:val="en-US"/>
              </w:rPr>
              <w:t>项目噪声源一览表</w:t>
            </w:r>
          </w:p>
          <w:tbl>
            <w:tblPr>
              <w:tblStyle w:val="25"/>
              <w:tblW w:w="7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185"/>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blHeader/>
                <w:jc w:val="center"/>
              </w:trPr>
              <w:tc>
                <w:tcPr>
                  <w:tcW w:w="2845"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设备名称</w:t>
                  </w:r>
                </w:p>
              </w:tc>
              <w:tc>
                <w:tcPr>
                  <w:tcW w:w="2185"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噪声源强dB（A）</w:t>
                  </w:r>
                </w:p>
              </w:tc>
              <w:tc>
                <w:tcPr>
                  <w:tcW w:w="2588"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blHeader/>
                <w:jc w:val="center"/>
              </w:trPr>
              <w:tc>
                <w:tcPr>
                  <w:tcW w:w="2845" w:type="dxa"/>
                  <w:noWrap w:val="0"/>
                  <w:vAlign w:val="center"/>
                </w:tcPr>
                <w:p>
                  <w:pPr>
                    <w:widowControl/>
                    <w:spacing w:line="240" w:lineRule="atLeast"/>
                    <w:jc w:val="center"/>
                    <w:textAlignment w:val="center"/>
                    <w:rPr>
                      <w:rFonts w:hint="default" w:ascii="Times New Roman" w:hAnsi="Times New Roman" w:cs="Times New Roman"/>
                      <w:color w:val="auto"/>
                      <w:sz w:val="21"/>
                      <w:szCs w:val="21"/>
                      <w:highlight w:val="none"/>
                      <w:u w:val="none"/>
                    </w:rPr>
                  </w:pPr>
                  <w:r>
                    <w:rPr>
                      <w:rFonts w:hint="default" w:ascii="Times New Roman" w:hAnsi="Times New Roman" w:cs="Times New Roman"/>
                      <w:sz w:val="21"/>
                      <w:szCs w:val="21"/>
                    </w:rPr>
                    <w:t>注塑机</w:t>
                  </w:r>
                </w:p>
              </w:tc>
              <w:tc>
                <w:tcPr>
                  <w:tcW w:w="2185"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75~80</w:t>
                  </w:r>
                </w:p>
              </w:tc>
              <w:tc>
                <w:tcPr>
                  <w:tcW w:w="2588" w:type="dxa"/>
                  <w:vMerge w:val="restart"/>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选用低噪声设备，车间内布置、隔声、减振等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blHeader/>
                <w:jc w:val="center"/>
              </w:trPr>
              <w:tc>
                <w:tcPr>
                  <w:tcW w:w="2845" w:type="dxa"/>
                  <w:noWrap w:val="0"/>
                  <w:vAlign w:val="center"/>
                </w:tcPr>
                <w:p>
                  <w:pPr>
                    <w:widowControl/>
                    <w:spacing w:line="240" w:lineRule="atLeast"/>
                    <w:jc w:val="center"/>
                    <w:textAlignment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移印机</w:t>
                  </w:r>
                </w:p>
              </w:tc>
              <w:tc>
                <w:tcPr>
                  <w:tcW w:w="2185"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77~82</w:t>
                  </w:r>
                </w:p>
              </w:tc>
              <w:tc>
                <w:tcPr>
                  <w:tcW w:w="2588" w:type="dxa"/>
                  <w:vMerge w:val="continue"/>
                  <w:noWrap w:val="0"/>
                  <w:vAlign w:val="center"/>
                </w:tcPr>
                <w:p>
                  <w:pPr>
                    <w:spacing w:line="240" w:lineRule="atLeast"/>
                    <w:jc w:val="center"/>
                    <w:rPr>
                      <w:rFonts w:hint="default" w:ascii="Times New Roman" w:hAnsi="Times New Roman"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blHeader/>
                <w:jc w:val="center"/>
              </w:trPr>
              <w:tc>
                <w:tcPr>
                  <w:tcW w:w="2845" w:type="dxa"/>
                  <w:noWrap w:val="0"/>
                  <w:vAlign w:val="center"/>
                </w:tcPr>
                <w:p>
                  <w:pPr>
                    <w:widowControl/>
                    <w:spacing w:line="240" w:lineRule="atLeast"/>
                    <w:jc w:val="center"/>
                    <w:textAlignment w:val="center"/>
                    <w:rPr>
                      <w:rFonts w:hint="default" w:ascii="Times New Roman" w:hAnsi="Times New Roman" w:cs="Times New Roman"/>
                      <w:color w:val="auto"/>
                      <w:sz w:val="21"/>
                      <w:szCs w:val="21"/>
                      <w:highlight w:val="none"/>
                      <w:u w:val="none"/>
                      <w:lang w:bidi="ar"/>
                    </w:rPr>
                  </w:pPr>
                  <w:r>
                    <w:rPr>
                      <w:rFonts w:hint="default" w:ascii="Times New Roman" w:hAnsi="Times New Roman" w:cs="Times New Roman"/>
                      <w:color w:val="auto"/>
                      <w:sz w:val="21"/>
                      <w:szCs w:val="21"/>
                      <w:highlight w:val="none"/>
                      <w:u w:val="none"/>
                    </w:rPr>
                    <w:t>空压机</w:t>
                  </w:r>
                </w:p>
              </w:tc>
              <w:tc>
                <w:tcPr>
                  <w:tcW w:w="2185"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78~8</w:t>
                  </w:r>
                  <w:r>
                    <w:rPr>
                      <w:rFonts w:hint="eastAsia" w:ascii="Times New Roman" w:hAnsi="Times New Roman" w:cs="Times New Roman"/>
                      <w:color w:val="auto"/>
                      <w:sz w:val="21"/>
                      <w:szCs w:val="21"/>
                      <w:highlight w:val="none"/>
                      <w:u w:val="none"/>
                      <w:lang w:val="en-US" w:eastAsia="zh-CN"/>
                    </w:rPr>
                    <w:t>5</w:t>
                  </w:r>
                </w:p>
              </w:tc>
              <w:tc>
                <w:tcPr>
                  <w:tcW w:w="2588" w:type="dxa"/>
                  <w:vMerge w:val="continue"/>
                  <w:noWrap w:val="0"/>
                  <w:vAlign w:val="center"/>
                </w:tcPr>
                <w:p>
                  <w:pPr>
                    <w:spacing w:line="240" w:lineRule="atLeast"/>
                    <w:jc w:val="center"/>
                    <w:rPr>
                      <w:rFonts w:hint="default" w:ascii="Times New Roman" w:hAnsi="Times New Roman"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 w:hRule="atLeast"/>
                <w:tblHeader/>
                <w:jc w:val="center"/>
              </w:trPr>
              <w:tc>
                <w:tcPr>
                  <w:tcW w:w="2845" w:type="dxa"/>
                  <w:noWrap w:val="0"/>
                  <w:vAlign w:val="center"/>
                </w:tcPr>
                <w:p>
                  <w:pPr>
                    <w:widowControl/>
                    <w:spacing w:line="2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sz w:val="21"/>
                      <w:szCs w:val="21"/>
                      <w:lang w:val="en-US" w:eastAsia="zh-CN"/>
                    </w:rPr>
                    <w:t>冲床</w:t>
                  </w:r>
                </w:p>
              </w:tc>
              <w:tc>
                <w:tcPr>
                  <w:tcW w:w="2185"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75~80</w:t>
                  </w:r>
                </w:p>
              </w:tc>
              <w:tc>
                <w:tcPr>
                  <w:tcW w:w="2588" w:type="dxa"/>
                  <w:vMerge w:val="continue"/>
                  <w:noWrap w:val="0"/>
                  <w:vAlign w:val="center"/>
                </w:tcPr>
                <w:p>
                  <w:pPr>
                    <w:spacing w:line="240" w:lineRule="atLeast"/>
                    <w:jc w:val="center"/>
                    <w:rPr>
                      <w:rFonts w:hint="default" w:ascii="Times New Roman" w:hAnsi="Times New Roman"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blHeader/>
                <w:jc w:val="center"/>
              </w:trPr>
              <w:tc>
                <w:tcPr>
                  <w:tcW w:w="2845" w:type="dxa"/>
                  <w:noWrap w:val="0"/>
                  <w:vAlign w:val="center"/>
                </w:tcPr>
                <w:p>
                  <w:pPr>
                    <w:widowControl/>
                    <w:spacing w:line="2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sz w:val="21"/>
                      <w:szCs w:val="21"/>
                      <w:lang w:val="en-US" w:eastAsia="zh-CN"/>
                    </w:rPr>
                    <w:t>射骨机</w:t>
                  </w:r>
                </w:p>
              </w:tc>
              <w:tc>
                <w:tcPr>
                  <w:tcW w:w="2185"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75~80</w:t>
                  </w:r>
                </w:p>
              </w:tc>
              <w:tc>
                <w:tcPr>
                  <w:tcW w:w="2588" w:type="dxa"/>
                  <w:vMerge w:val="continue"/>
                  <w:noWrap w:val="0"/>
                  <w:vAlign w:val="center"/>
                </w:tcPr>
                <w:p>
                  <w:pPr>
                    <w:spacing w:line="240" w:lineRule="atLeast"/>
                    <w:jc w:val="center"/>
                    <w:rPr>
                      <w:rFonts w:hint="default" w:ascii="Times New Roman" w:hAnsi="Times New Roman"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blHeader/>
                <w:jc w:val="center"/>
              </w:trPr>
              <w:tc>
                <w:tcPr>
                  <w:tcW w:w="2845" w:type="dxa"/>
                  <w:noWrap w:val="0"/>
                  <w:vAlign w:val="center"/>
                </w:tcPr>
                <w:p>
                  <w:pPr>
                    <w:widowControl/>
                    <w:spacing w:line="2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sz w:val="21"/>
                      <w:szCs w:val="21"/>
                      <w:lang w:val="en-US" w:eastAsia="zh-CN"/>
                    </w:rPr>
                    <w:t>定型机</w:t>
                  </w:r>
                </w:p>
              </w:tc>
              <w:tc>
                <w:tcPr>
                  <w:tcW w:w="2185"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75~80</w:t>
                  </w:r>
                </w:p>
              </w:tc>
              <w:tc>
                <w:tcPr>
                  <w:tcW w:w="2588" w:type="dxa"/>
                  <w:vMerge w:val="continue"/>
                  <w:noWrap w:val="0"/>
                  <w:vAlign w:val="center"/>
                </w:tcPr>
                <w:p>
                  <w:pPr>
                    <w:spacing w:line="240" w:lineRule="atLeast"/>
                    <w:jc w:val="center"/>
                    <w:rPr>
                      <w:rFonts w:hint="default" w:ascii="Times New Roman" w:hAnsi="Times New Roman"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blHeader/>
                <w:jc w:val="center"/>
              </w:trPr>
              <w:tc>
                <w:tcPr>
                  <w:tcW w:w="2845" w:type="dxa"/>
                  <w:noWrap w:val="0"/>
                  <w:vAlign w:val="center"/>
                </w:tcPr>
                <w:p>
                  <w:pPr>
                    <w:widowControl/>
                    <w:spacing w:line="2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拌胶机</w:t>
                  </w:r>
                </w:p>
              </w:tc>
              <w:tc>
                <w:tcPr>
                  <w:tcW w:w="2185"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75~80</w:t>
                  </w:r>
                </w:p>
              </w:tc>
              <w:tc>
                <w:tcPr>
                  <w:tcW w:w="2588" w:type="dxa"/>
                  <w:vMerge w:val="continue"/>
                  <w:noWrap w:val="0"/>
                  <w:vAlign w:val="center"/>
                </w:tcPr>
                <w:p>
                  <w:pPr>
                    <w:spacing w:line="240" w:lineRule="atLeast"/>
                    <w:jc w:val="center"/>
                    <w:rPr>
                      <w:rFonts w:hint="default" w:ascii="Times New Roman" w:hAnsi="Times New Roman"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blHeader/>
                <w:jc w:val="center"/>
              </w:trPr>
              <w:tc>
                <w:tcPr>
                  <w:tcW w:w="2845" w:type="dxa"/>
                  <w:noWrap w:val="0"/>
                  <w:vAlign w:val="center"/>
                </w:tcPr>
                <w:p>
                  <w:pPr>
                    <w:widowControl/>
                    <w:spacing w:line="2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搅拌机</w:t>
                  </w:r>
                </w:p>
              </w:tc>
              <w:tc>
                <w:tcPr>
                  <w:tcW w:w="2185"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75~8</w:t>
                  </w:r>
                  <w:r>
                    <w:rPr>
                      <w:rFonts w:hint="eastAsia" w:ascii="Times New Roman" w:hAnsi="Times New Roman" w:cs="Times New Roman"/>
                      <w:color w:val="auto"/>
                      <w:sz w:val="21"/>
                      <w:szCs w:val="21"/>
                      <w:highlight w:val="none"/>
                      <w:u w:val="none"/>
                      <w:lang w:val="en-US" w:eastAsia="zh-CN"/>
                    </w:rPr>
                    <w:t>2</w:t>
                  </w:r>
                </w:p>
              </w:tc>
              <w:tc>
                <w:tcPr>
                  <w:tcW w:w="2588" w:type="dxa"/>
                  <w:vMerge w:val="continue"/>
                  <w:noWrap w:val="0"/>
                  <w:vAlign w:val="center"/>
                </w:tcPr>
                <w:p>
                  <w:pPr>
                    <w:spacing w:line="240" w:lineRule="atLeast"/>
                    <w:jc w:val="center"/>
                    <w:rPr>
                      <w:rFonts w:hint="default" w:ascii="Times New Roman" w:hAnsi="Times New Roman" w:cs="Times New Roman"/>
                      <w:color w:val="auto"/>
                      <w:sz w:val="21"/>
                      <w:szCs w:val="21"/>
                      <w:highlight w:val="none"/>
                      <w:u w:val="none"/>
                    </w:rPr>
                  </w:pPr>
                </w:p>
              </w:tc>
            </w:tr>
          </w:tbl>
          <w:p>
            <w:pPr>
              <w:pStyle w:val="51"/>
              <w:spacing w:before="152" w:line="360" w:lineRule="auto"/>
              <w:ind w:right="101" w:firstLine="480"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在本次噪声源衰减的计算过程中</w:t>
            </w:r>
            <w:r>
              <w:rPr>
                <w:rFonts w:hint="default" w:ascii="Times New Roman" w:hAnsi="Times New Roman" w:cs="Times New Roman"/>
                <w:color w:val="auto"/>
                <w:spacing w:val="-20"/>
                <w:sz w:val="24"/>
                <w:szCs w:val="24"/>
                <w:highlight w:val="none"/>
                <w:u w:val="none"/>
              </w:rPr>
              <w:t>，</w:t>
            </w:r>
            <w:r>
              <w:rPr>
                <w:rFonts w:hint="default" w:ascii="Times New Roman" w:hAnsi="Times New Roman" w:cs="Times New Roman"/>
                <w:color w:val="auto"/>
                <w:sz w:val="24"/>
                <w:szCs w:val="24"/>
                <w:highlight w:val="none"/>
                <w:u w:val="none"/>
              </w:rPr>
              <w:t>仅考虑距离衰减这个衰减因素</w:t>
            </w:r>
            <w:r>
              <w:rPr>
                <w:rFonts w:hint="default" w:ascii="Times New Roman" w:hAnsi="Times New Roman" w:cs="Times New Roman"/>
                <w:color w:val="auto"/>
                <w:spacing w:val="-17"/>
                <w:sz w:val="24"/>
                <w:szCs w:val="24"/>
                <w:highlight w:val="none"/>
                <w:u w:val="none"/>
              </w:rPr>
              <w:t>，</w:t>
            </w:r>
            <w:r>
              <w:rPr>
                <w:rFonts w:hint="default" w:ascii="Times New Roman" w:hAnsi="Times New Roman" w:cs="Times New Roman"/>
                <w:color w:val="auto"/>
                <w:sz w:val="24"/>
                <w:szCs w:val="24"/>
                <w:highlight w:val="none"/>
                <w:u w:val="none"/>
              </w:rPr>
              <w:t>对于声能在传播过程中受到其它因素的影响忽略不计。使用《环境影响评价技术导则声环境》（HJ2.4-20</w:t>
            </w:r>
            <w:r>
              <w:rPr>
                <w:rFonts w:hint="eastAsia" w:ascii="Times New Roman" w:hAnsi="Times New Roman" w:cs="Times New Roman"/>
                <w:color w:val="auto"/>
                <w:sz w:val="24"/>
                <w:szCs w:val="24"/>
                <w:highlight w:val="none"/>
                <w:u w:val="none"/>
                <w:lang w:val="en-US" w:eastAsia="zh-CN"/>
              </w:rPr>
              <w:t>21</w:t>
            </w:r>
            <w:r>
              <w:rPr>
                <w:rFonts w:hint="default" w:ascii="Times New Roman" w:hAnsi="Times New Roman" w:cs="Times New Roman"/>
                <w:color w:val="auto"/>
                <w:sz w:val="24"/>
                <w:szCs w:val="24"/>
                <w:highlight w:val="none"/>
                <w:u w:val="none"/>
              </w:rPr>
              <w:t>）中点声源衰减模式，对厂界点进行噪声贡献值计算，计算结果见表</w:t>
            </w:r>
            <w:r>
              <w:rPr>
                <w:rFonts w:hint="default" w:ascii="Times New Roman" w:hAnsi="Times New Roman" w:cs="Times New Roman"/>
                <w:color w:val="auto"/>
                <w:sz w:val="24"/>
                <w:szCs w:val="24"/>
                <w:highlight w:val="none"/>
                <w:u w:val="none"/>
                <w:lang w:val="en-US"/>
              </w:rPr>
              <w:t>4-</w:t>
            </w:r>
            <w:r>
              <w:rPr>
                <w:rFonts w:hint="eastAsia" w:ascii="Times New Roman" w:hAnsi="Times New Roman" w:cs="Times New Roman"/>
                <w:color w:val="auto"/>
                <w:sz w:val="24"/>
                <w:szCs w:val="24"/>
                <w:highlight w:val="none"/>
                <w:u w:val="none"/>
                <w:lang w:val="en-US" w:eastAsia="zh-CN"/>
              </w:rPr>
              <w:t>6</w:t>
            </w:r>
            <w:r>
              <w:rPr>
                <w:rFonts w:hint="default" w:ascii="Times New Roman" w:hAnsi="Times New Roman" w:cs="Times New Roman"/>
                <w:color w:val="auto"/>
                <w:sz w:val="24"/>
                <w:szCs w:val="24"/>
                <w:highlight w:val="none"/>
                <w:u w:val="none"/>
              </w:rPr>
              <w:t>：</w:t>
            </w:r>
          </w:p>
          <w:p>
            <w:pPr>
              <w:jc w:val="center"/>
              <w:textAlignment w:val="baseline"/>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t>表</w:t>
            </w:r>
            <w:r>
              <w:rPr>
                <w:rFonts w:hint="default" w:ascii="Times New Roman" w:hAnsi="Times New Roman" w:cs="Times New Roman"/>
                <w:b/>
                <w:color w:val="auto"/>
                <w:sz w:val="24"/>
                <w:szCs w:val="24"/>
                <w:highlight w:val="none"/>
                <w:u w:val="none"/>
                <w:lang w:val="en-US"/>
              </w:rPr>
              <w:t>4-</w:t>
            </w:r>
            <w:r>
              <w:rPr>
                <w:rFonts w:hint="eastAsia" w:ascii="Times New Roman" w:hAnsi="Times New Roman" w:cs="Times New Roman"/>
                <w:b/>
                <w:color w:val="auto"/>
                <w:sz w:val="24"/>
                <w:szCs w:val="24"/>
                <w:highlight w:val="none"/>
                <w:u w:val="none"/>
                <w:lang w:val="en-US" w:eastAsia="zh-CN"/>
              </w:rPr>
              <w:t>6</w:t>
            </w:r>
            <w:r>
              <w:rPr>
                <w:rFonts w:hint="default" w:ascii="Times New Roman" w:hAnsi="Times New Roman" w:cs="Times New Roman"/>
                <w:b/>
                <w:color w:val="auto"/>
                <w:sz w:val="24"/>
                <w:szCs w:val="24"/>
                <w:highlight w:val="none"/>
                <w:u w:val="none"/>
              </w:rPr>
              <w:t>项目距离衰减统计表</w:t>
            </w:r>
          </w:p>
          <w:tbl>
            <w:tblPr>
              <w:tblStyle w:val="25"/>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258"/>
              <w:gridCol w:w="1231"/>
              <w:gridCol w:w="1350"/>
              <w:gridCol w:w="134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等效噪声源</w:t>
                  </w:r>
                </w:p>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源强（dBA）</w:t>
                  </w:r>
                </w:p>
              </w:tc>
              <w:tc>
                <w:tcPr>
                  <w:tcW w:w="1258"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类别</w:t>
                  </w:r>
                </w:p>
              </w:tc>
              <w:tc>
                <w:tcPr>
                  <w:tcW w:w="1231"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东厂界</w:t>
                  </w:r>
                </w:p>
              </w:tc>
              <w:tc>
                <w:tcPr>
                  <w:tcW w:w="1350"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西厂界</w:t>
                  </w:r>
                </w:p>
              </w:tc>
              <w:tc>
                <w:tcPr>
                  <w:tcW w:w="1341"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南厂界</w:t>
                  </w:r>
                </w:p>
              </w:tc>
              <w:tc>
                <w:tcPr>
                  <w:tcW w:w="1367"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等效噪声源（</w:t>
                  </w:r>
                  <w:r>
                    <w:rPr>
                      <w:rFonts w:hint="default" w:ascii="Times New Roman" w:hAnsi="Times New Roman" w:cs="Times New Roman"/>
                      <w:color w:val="auto"/>
                      <w:sz w:val="21"/>
                      <w:szCs w:val="21"/>
                      <w:highlight w:val="none"/>
                      <w:u w:val="none"/>
                      <w:lang w:val="en-US" w:eastAsia="zh-CN"/>
                    </w:rPr>
                    <w:t>4</w:t>
                  </w:r>
                  <w:r>
                    <w:rPr>
                      <w:rFonts w:hint="default" w:ascii="Times New Roman" w:hAnsi="Times New Roman" w:cs="Times New Roman"/>
                      <w:color w:val="auto"/>
                      <w:sz w:val="21"/>
                      <w:szCs w:val="21"/>
                      <w:highlight w:val="none"/>
                      <w:u w:val="none"/>
                    </w:rPr>
                    <w:t>6.61）</w:t>
                  </w:r>
                </w:p>
              </w:tc>
              <w:tc>
                <w:tcPr>
                  <w:tcW w:w="1258"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距离（m）</w:t>
                  </w:r>
                </w:p>
              </w:tc>
              <w:tc>
                <w:tcPr>
                  <w:tcW w:w="1231"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2</w:t>
                  </w:r>
                </w:p>
              </w:tc>
              <w:tc>
                <w:tcPr>
                  <w:tcW w:w="1350"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5</w:t>
                  </w:r>
                </w:p>
              </w:tc>
              <w:tc>
                <w:tcPr>
                  <w:tcW w:w="134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10</w:t>
                  </w:r>
                </w:p>
              </w:tc>
              <w:tc>
                <w:tcPr>
                  <w:tcW w:w="1367"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noWrap w:val="0"/>
                  <w:vAlign w:val="center"/>
                </w:tcPr>
                <w:p>
                  <w:pPr>
                    <w:spacing w:line="240" w:lineRule="atLeast"/>
                    <w:jc w:val="center"/>
                    <w:rPr>
                      <w:rFonts w:hint="default" w:ascii="Times New Roman" w:hAnsi="Times New Roman" w:cs="Times New Roman"/>
                      <w:color w:val="auto"/>
                      <w:sz w:val="21"/>
                      <w:szCs w:val="21"/>
                      <w:highlight w:val="none"/>
                      <w:u w:val="none"/>
                    </w:rPr>
                  </w:pPr>
                </w:p>
              </w:tc>
              <w:tc>
                <w:tcPr>
                  <w:tcW w:w="1258"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贡献值（dBA）</w:t>
                  </w:r>
                </w:p>
              </w:tc>
              <w:tc>
                <w:tcPr>
                  <w:tcW w:w="1231"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lang w:val="en-US" w:eastAsia="zh-CN"/>
                    </w:rPr>
                    <w:t>41</w:t>
                  </w:r>
                  <w:r>
                    <w:rPr>
                      <w:rFonts w:hint="default" w:ascii="Times New Roman" w:hAnsi="Times New Roman" w:cs="Times New Roman"/>
                      <w:color w:val="auto"/>
                      <w:sz w:val="21"/>
                      <w:szCs w:val="21"/>
                      <w:highlight w:val="none"/>
                      <w:u w:val="none"/>
                    </w:rPr>
                    <w:t>.59</w:t>
                  </w:r>
                </w:p>
              </w:tc>
              <w:tc>
                <w:tcPr>
                  <w:tcW w:w="1350"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4</w:t>
                  </w:r>
                  <w:r>
                    <w:rPr>
                      <w:rFonts w:hint="default" w:ascii="Times New Roman" w:hAnsi="Times New Roman" w:cs="Times New Roman"/>
                      <w:color w:val="auto"/>
                      <w:sz w:val="21"/>
                      <w:szCs w:val="21"/>
                      <w:highlight w:val="none"/>
                      <w:u w:val="none"/>
                      <w:lang w:val="en-US" w:eastAsia="zh-CN"/>
                    </w:rPr>
                    <w:t>0</w:t>
                  </w:r>
                  <w:r>
                    <w:rPr>
                      <w:rFonts w:hint="default" w:ascii="Times New Roman" w:hAnsi="Times New Roman" w:cs="Times New Roman"/>
                      <w:color w:val="auto"/>
                      <w:sz w:val="21"/>
                      <w:szCs w:val="21"/>
                      <w:highlight w:val="none"/>
                      <w:u w:val="none"/>
                    </w:rPr>
                    <w:t>.63</w:t>
                  </w:r>
                </w:p>
              </w:tc>
              <w:tc>
                <w:tcPr>
                  <w:tcW w:w="1341"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lang w:val="en-US" w:eastAsia="zh-CN"/>
                    </w:rPr>
                    <w:t>3</w:t>
                  </w:r>
                  <w:r>
                    <w:rPr>
                      <w:rFonts w:hint="default" w:ascii="Times New Roman" w:hAnsi="Times New Roman" w:cs="Times New Roman"/>
                      <w:color w:val="auto"/>
                      <w:sz w:val="21"/>
                      <w:szCs w:val="21"/>
                      <w:highlight w:val="none"/>
                      <w:u w:val="none"/>
                    </w:rPr>
                    <w:t>6.61</w:t>
                  </w:r>
                </w:p>
              </w:tc>
              <w:tc>
                <w:tcPr>
                  <w:tcW w:w="1367" w:type="dxa"/>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lang w:val="en-US" w:eastAsia="zh-CN"/>
                    </w:rPr>
                    <w:t>38</w:t>
                  </w:r>
                  <w:r>
                    <w:rPr>
                      <w:rFonts w:hint="default" w:ascii="Times New Roman" w:hAnsi="Times New Roman" w:cs="Times New Roman"/>
                      <w:color w:val="auto"/>
                      <w:sz w:val="21"/>
                      <w:szCs w:val="21"/>
                      <w:highlight w:val="none"/>
                      <w:u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2" w:type="dxa"/>
                  <w:gridSpan w:val="2"/>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eastAsia" w:ascii="Times New Roman" w:hAnsi="Times New Roman" w:cs="Times New Roman"/>
                      <w:color w:val="auto"/>
                      <w:sz w:val="21"/>
                      <w:szCs w:val="21"/>
                      <w:highlight w:val="none"/>
                      <w:u w:val="none"/>
                      <w:lang w:val="en-US" w:eastAsia="zh-CN"/>
                    </w:rPr>
                    <w:t>预测</w:t>
                  </w:r>
                  <w:r>
                    <w:rPr>
                      <w:rFonts w:hint="default" w:ascii="Times New Roman" w:hAnsi="Times New Roman" w:cs="Times New Roman"/>
                      <w:color w:val="auto"/>
                      <w:sz w:val="21"/>
                      <w:szCs w:val="21"/>
                      <w:highlight w:val="none"/>
                      <w:u w:val="none"/>
                    </w:rPr>
                    <w:t>值（昼间）</w:t>
                  </w:r>
                </w:p>
              </w:tc>
              <w:tc>
                <w:tcPr>
                  <w:tcW w:w="123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57.2</w:t>
                  </w:r>
                </w:p>
              </w:tc>
              <w:tc>
                <w:tcPr>
                  <w:tcW w:w="1350"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55.4</w:t>
                  </w:r>
                </w:p>
              </w:tc>
              <w:tc>
                <w:tcPr>
                  <w:tcW w:w="1341" w:type="dxa"/>
                  <w:noWrap w:val="0"/>
                  <w:vAlign w:val="center"/>
                </w:tcPr>
                <w:p>
                  <w:pPr>
                    <w:spacing w:line="240" w:lineRule="atLeast"/>
                    <w:jc w:val="center"/>
                    <w:rPr>
                      <w:rFonts w:hint="default" w:ascii="Times New Roman" w:hAnsi="Times New Roman" w:cs="Times New Roman"/>
                      <w:color w:val="auto"/>
                      <w:sz w:val="21"/>
                      <w:szCs w:val="21"/>
                      <w:highlight w:val="none"/>
                      <w:u w:val="none"/>
                      <w:lang w:val="en-US"/>
                    </w:rPr>
                  </w:pPr>
                  <w:r>
                    <w:rPr>
                      <w:rFonts w:hint="eastAsia" w:ascii="Times New Roman" w:hAnsi="Times New Roman" w:cs="Times New Roman"/>
                      <w:color w:val="auto"/>
                      <w:sz w:val="21"/>
                      <w:szCs w:val="21"/>
                      <w:highlight w:val="none"/>
                      <w:u w:val="none"/>
                      <w:lang w:val="en-US" w:eastAsia="zh-CN"/>
                    </w:rPr>
                    <w:t>55.8</w:t>
                  </w:r>
                </w:p>
              </w:tc>
              <w:tc>
                <w:tcPr>
                  <w:tcW w:w="1367"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2" w:type="dxa"/>
                  <w:gridSpan w:val="2"/>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标准值</w:t>
                  </w:r>
                </w:p>
              </w:tc>
              <w:tc>
                <w:tcPr>
                  <w:tcW w:w="5289" w:type="dxa"/>
                  <w:gridSpan w:val="4"/>
                  <w:noWrap w:val="0"/>
                  <w:vAlign w:val="center"/>
                </w:tcPr>
                <w:p>
                  <w:pPr>
                    <w:spacing w:line="240" w:lineRule="atLeast"/>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昼间：65，夜间：55</w:t>
                  </w:r>
                </w:p>
              </w:tc>
            </w:tr>
          </w:tbl>
          <w:p>
            <w:pPr>
              <w:pStyle w:val="59"/>
              <w:autoSpaceDE/>
              <w:autoSpaceDN/>
              <w:ind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由以上数据可知，项目设备选用低噪声的型号，并安装减震基础，降低固体结构传声；噪声通过楼板、墙体的阻隔基本上不会影响到室外环境。通过上述措施后项目噪声可以达到《工业企业厂界环境噪声排放标准》（GBl2348-2008）中3类区标准限值要求，项目噪声对区域环境影响较小。</w:t>
            </w:r>
          </w:p>
          <w:p>
            <w:pPr>
              <w:pStyle w:val="59"/>
              <w:ind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bCs/>
                <w:color w:val="auto"/>
                <w:kern w:val="2"/>
                <w:sz w:val="24"/>
                <w:szCs w:val="24"/>
                <w:highlight w:val="none"/>
                <w:u w:val="none"/>
                <w:lang w:val="en-US" w:bidi="ar-SA"/>
              </w:rPr>
              <w:t>噪声污染防治措施：</w:t>
            </w:r>
          </w:p>
          <w:p>
            <w:pPr>
              <w:pStyle w:val="59"/>
              <w:ind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bCs/>
                <w:color w:val="auto"/>
                <w:sz w:val="24"/>
                <w:szCs w:val="24"/>
                <w:highlight w:val="none"/>
                <w:u w:val="none"/>
                <w:lang w:val="en-US"/>
              </w:rPr>
              <w:t>①生产设备安放在生产厂房内，通过底座减振、墙体、封闭的门窗隔声。</w:t>
            </w:r>
          </w:p>
          <w:p>
            <w:pPr>
              <w:pStyle w:val="59"/>
              <w:ind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②加强设备的维修保养，定期在滚轴处加润滑油，从而减少摩擦噪声产生，确保运转良好，不增加不正常运行噪声。</w:t>
            </w:r>
          </w:p>
          <w:p>
            <w:pPr>
              <w:pStyle w:val="59"/>
              <w:ind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③优化总平面布置，</w:t>
            </w:r>
            <w:r>
              <w:rPr>
                <w:rFonts w:hint="default" w:ascii="Times New Roman" w:hAnsi="Times New Roman" w:cs="Times New Roman"/>
                <w:bCs/>
                <w:color w:val="auto"/>
                <w:sz w:val="24"/>
                <w:szCs w:val="24"/>
                <w:highlight w:val="none"/>
                <w:u w:val="none"/>
                <w:lang w:val="en-US"/>
              </w:rPr>
              <w:t>定期对设备进行检修，防止不良工况下的故障噪声产生。定期对设备进行检修，防止不良工况下的故障噪声产生。</w:t>
            </w:r>
          </w:p>
          <w:p>
            <w:pPr>
              <w:widowControl/>
              <w:autoSpaceDE/>
              <w:autoSpaceDN/>
              <w:snapToGrid w:val="0"/>
              <w:spacing w:line="360" w:lineRule="auto"/>
              <w:ind w:firstLine="480" w:firstLineChars="200"/>
              <w:jc w:val="both"/>
              <w:rPr>
                <w:rFonts w:hint="default" w:ascii="Times New Roman" w:hAnsi="Times New Roman" w:cs="Times New Roman"/>
                <w:bCs/>
                <w:color w:val="auto"/>
                <w:kern w:val="2"/>
                <w:sz w:val="24"/>
                <w:szCs w:val="24"/>
                <w:highlight w:val="none"/>
                <w:u w:val="none"/>
                <w:lang w:val="en-US" w:bidi="ar-SA"/>
              </w:rPr>
            </w:pPr>
            <w:r>
              <w:rPr>
                <w:rFonts w:hint="default" w:ascii="Times New Roman" w:hAnsi="Times New Roman" w:cs="Times New Roman"/>
                <w:bCs/>
                <w:color w:val="auto"/>
                <w:kern w:val="2"/>
                <w:sz w:val="24"/>
                <w:szCs w:val="24"/>
                <w:highlight w:val="none"/>
                <w:u w:val="none"/>
                <w:lang w:val="en-US" w:bidi="ar-SA"/>
              </w:rPr>
              <w:t>④噪声监测计划</w:t>
            </w:r>
          </w:p>
          <w:p>
            <w:pPr>
              <w:widowControl/>
              <w:autoSpaceDE/>
              <w:autoSpaceDN/>
              <w:snapToGrid w:val="0"/>
              <w:spacing w:line="360" w:lineRule="auto"/>
              <w:ind w:firstLine="480" w:firstLineChars="200"/>
              <w:jc w:val="both"/>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lang w:val="en-US"/>
              </w:rPr>
              <w:t>因玩具制造行业还未有特定的排污许可证申请与核发技术规范，本项目参考《排污单位自行监测技术指南总则》（HJ819-2017）、《排污许可证申请与核发技术规范印刷工业》（HJ1066-2019）。</w:t>
            </w:r>
          </w:p>
          <w:p>
            <w:pPr>
              <w:widowControl/>
              <w:autoSpaceDE/>
              <w:autoSpaceDN/>
              <w:snapToGrid w:val="0"/>
              <w:ind w:firstLine="482" w:firstLineChars="200"/>
              <w:jc w:val="center"/>
              <w:rPr>
                <w:rFonts w:hint="default" w:ascii="Times New Roman" w:hAnsi="Times New Roman" w:cs="Times New Roman"/>
                <w:b/>
                <w:bCs/>
                <w:color w:val="auto"/>
                <w:kern w:val="2"/>
                <w:sz w:val="24"/>
                <w:szCs w:val="24"/>
                <w:highlight w:val="none"/>
                <w:u w:val="none"/>
                <w:lang w:val="en-US" w:bidi="ar-SA"/>
              </w:rPr>
            </w:pPr>
            <w:r>
              <w:rPr>
                <w:rFonts w:hint="default" w:ascii="Times New Roman" w:hAnsi="Times New Roman" w:cs="Times New Roman"/>
                <w:b/>
                <w:bCs/>
                <w:color w:val="auto"/>
                <w:kern w:val="2"/>
                <w:sz w:val="24"/>
                <w:szCs w:val="24"/>
                <w:highlight w:val="none"/>
                <w:u w:val="none"/>
                <w:lang w:val="en-US" w:bidi="ar-SA"/>
              </w:rPr>
              <w:t>表4-</w:t>
            </w:r>
            <w:r>
              <w:rPr>
                <w:rFonts w:hint="eastAsia" w:ascii="Times New Roman" w:hAnsi="Times New Roman" w:cs="Times New Roman"/>
                <w:b/>
                <w:bCs/>
                <w:color w:val="auto"/>
                <w:kern w:val="2"/>
                <w:sz w:val="24"/>
                <w:szCs w:val="24"/>
                <w:highlight w:val="none"/>
                <w:u w:val="none"/>
                <w:lang w:val="en-US" w:eastAsia="zh-CN" w:bidi="ar-SA"/>
              </w:rPr>
              <w:t>7</w:t>
            </w:r>
            <w:r>
              <w:rPr>
                <w:rFonts w:hint="default" w:ascii="Times New Roman" w:hAnsi="Times New Roman" w:cs="Times New Roman"/>
                <w:b/>
                <w:bCs/>
                <w:color w:val="auto"/>
                <w:kern w:val="2"/>
                <w:sz w:val="24"/>
                <w:szCs w:val="24"/>
                <w:highlight w:val="none"/>
                <w:u w:val="none"/>
                <w:lang w:val="en-US" w:bidi="ar-SA"/>
              </w:rPr>
              <w:t>噪声自行监测一览表</w:t>
            </w:r>
          </w:p>
          <w:tbl>
            <w:tblPr>
              <w:tblStyle w:val="25"/>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725"/>
              <w:gridCol w:w="157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1" w:type="dxa"/>
                  <w:noWrap w:val="0"/>
                  <w:vAlign w:val="center"/>
                </w:tcPr>
                <w:p>
                  <w:pPr>
                    <w:jc w:val="center"/>
                    <w:rPr>
                      <w:rFonts w:hint="default" w:ascii="Times New Roman" w:hAnsi="Times New Roman" w:cs="Times New Roman"/>
                      <w:color w:val="auto"/>
                      <w:kern w:val="2"/>
                      <w:sz w:val="21"/>
                      <w:szCs w:val="21"/>
                      <w:highlight w:val="none"/>
                      <w:u w:val="none"/>
                      <w:lang w:val="en-US" w:bidi="ar-SA"/>
                    </w:rPr>
                  </w:pPr>
                  <w:r>
                    <w:rPr>
                      <w:rFonts w:hint="default" w:ascii="Times New Roman" w:hAnsi="Times New Roman" w:cs="Times New Roman"/>
                      <w:color w:val="auto"/>
                      <w:kern w:val="2"/>
                      <w:sz w:val="21"/>
                      <w:szCs w:val="21"/>
                      <w:highlight w:val="none"/>
                      <w:u w:val="none"/>
                      <w:lang w:val="en-US" w:bidi="ar-SA"/>
                    </w:rPr>
                    <w:t>监测点位</w:t>
                  </w:r>
                </w:p>
              </w:tc>
              <w:tc>
                <w:tcPr>
                  <w:tcW w:w="1725" w:type="dxa"/>
                  <w:noWrap w:val="0"/>
                  <w:vAlign w:val="center"/>
                </w:tcPr>
                <w:p>
                  <w:pPr>
                    <w:jc w:val="center"/>
                    <w:rPr>
                      <w:rFonts w:hint="default" w:ascii="Times New Roman" w:hAnsi="Times New Roman" w:cs="Times New Roman"/>
                      <w:color w:val="auto"/>
                      <w:kern w:val="2"/>
                      <w:sz w:val="21"/>
                      <w:szCs w:val="21"/>
                      <w:highlight w:val="none"/>
                      <w:u w:val="none"/>
                      <w:lang w:val="en-US" w:bidi="ar-SA"/>
                    </w:rPr>
                  </w:pPr>
                  <w:r>
                    <w:rPr>
                      <w:rFonts w:hint="default" w:ascii="Times New Roman" w:hAnsi="Times New Roman" w:cs="Times New Roman"/>
                      <w:color w:val="auto"/>
                      <w:kern w:val="2"/>
                      <w:sz w:val="21"/>
                      <w:szCs w:val="21"/>
                      <w:highlight w:val="none"/>
                      <w:u w:val="none"/>
                      <w:lang w:val="en-US" w:bidi="ar-SA"/>
                    </w:rPr>
                    <w:t>监测项目</w:t>
                  </w:r>
                </w:p>
              </w:tc>
              <w:tc>
                <w:tcPr>
                  <w:tcW w:w="1575" w:type="dxa"/>
                  <w:noWrap w:val="0"/>
                  <w:vAlign w:val="center"/>
                </w:tcPr>
                <w:p>
                  <w:pPr>
                    <w:jc w:val="center"/>
                    <w:rPr>
                      <w:rFonts w:hint="default" w:ascii="Times New Roman" w:hAnsi="Times New Roman" w:cs="Times New Roman"/>
                      <w:color w:val="auto"/>
                      <w:kern w:val="2"/>
                      <w:sz w:val="21"/>
                      <w:szCs w:val="21"/>
                      <w:highlight w:val="none"/>
                      <w:u w:val="none"/>
                      <w:lang w:val="en-US" w:bidi="ar-SA"/>
                    </w:rPr>
                  </w:pPr>
                  <w:r>
                    <w:rPr>
                      <w:rFonts w:hint="default" w:ascii="Times New Roman" w:hAnsi="Times New Roman" w:cs="Times New Roman"/>
                      <w:color w:val="auto"/>
                      <w:kern w:val="2"/>
                      <w:sz w:val="21"/>
                      <w:szCs w:val="21"/>
                      <w:highlight w:val="none"/>
                      <w:u w:val="none"/>
                      <w:lang w:val="en-US" w:bidi="ar-SA"/>
                    </w:rPr>
                    <w:t>监测频次</w:t>
                  </w:r>
                </w:p>
              </w:tc>
              <w:tc>
                <w:tcPr>
                  <w:tcW w:w="3345" w:type="dxa"/>
                  <w:noWrap w:val="0"/>
                  <w:vAlign w:val="center"/>
                </w:tcPr>
                <w:p>
                  <w:pPr>
                    <w:jc w:val="center"/>
                    <w:rPr>
                      <w:rFonts w:hint="default" w:ascii="Times New Roman" w:hAnsi="Times New Roman" w:cs="Times New Roman"/>
                      <w:color w:val="auto"/>
                      <w:kern w:val="2"/>
                      <w:sz w:val="21"/>
                      <w:szCs w:val="21"/>
                      <w:highlight w:val="none"/>
                      <w:u w:val="none"/>
                      <w:lang w:val="en-US" w:bidi="ar-SA"/>
                    </w:rPr>
                  </w:pPr>
                  <w:r>
                    <w:rPr>
                      <w:rFonts w:hint="default" w:ascii="Times New Roman" w:hAnsi="Times New Roman" w:cs="Times New Roman"/>
                      <w:color w:val="auto"/>
                      <w:kern w:val="2"/>
                      <w:sz w:val="21"/>
                      <w:szCs w:val="21"/>
                      <w:highlight w:val="none"/>
                      <w:u w:val="none"/>
                      <w:lang w:val="en-US" w:bidi="ar-SA"/>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1" w:type="dxa"/>
                  <w:noWrap w:val="0"/>
                  <w:vAlign w:val="center"/>
                </w:tcPr>
                <w:p>
                  <w:pPr>
                    <w:jc w:val="center"/>
                    <w:rPr>
                      <w:rFonts w:hint="default" w:ascii="Times New Roman" w:hAnsi="Times New Roman" w:cs="Times New Roman"/>
                      <w:color w:val="auto"/>
                      <w:kern w:val="2"/>
                      <w:sz w:val="21"/>
                      <w:szCs w:val="21"/>
                      <w:highlight w:val="none"/>
                      <w:u w:val="none"/>
                      <w:lang w:val="en-US" w:bidi="ar-SA"/>
                    </w:rPr>
                  </w:pPr>
                  <w:r>
                    <w:rPr>
                      <w:rFonts w:hint="default" w:ascii="Times New Roman" w:hAnsi="Times New Roman" w:cs="Times New Roman"/>
                      <w:color w:val="auto"/>
                      <w:kern w:val="2"/>
                      <w:sz w:val="21"/>
                      <w:szCs w:val="21"/>
                      <w:highlight w:val="none"/>
                      <w:u w:val="none"/>
                      <w:lang w:val="en-US" w:bidi="ar-SA"/>
                    </w:rPr>
                    <w:t>四周厂界外1m</w:t>
                  </w:r>
                </w:p>
              </w:tc>
              <w:tc>
                <w:tcPr>
                  <w:tcW w:w="1725" w:type="dxa"/>
                  <w:noWrap w:val="0"/>
                  <w:vAlign w:val="center"/>
                </w:tcPr>
                <w:p>
                  <w:pPr>
                    <w:jc w:val="center"/>
                    <w:rPr>
                      <w:rFonts w:hint="default" w:ascii="Times New Roman" w:hAnsi="Times New Roman" w:cs="Times New Roman"/>
                      <w:color w:val="auto"/>
                      <w:kern w:val="2"/>
                      <w:sz w:val="21"/>
                      <w:szCs w:val="21"/>
                      <w:highlight w:val="none"/>
                      <w:u w:val="none"/>
                      <w:lang w:val="en-US" w:bidi="ar-SA"/>
                    </w:rPr>
                  </w:pPr>
                  <w:r>
                    <w:rPr>
                      <w:rFonts w:hint="default" w:ascii="Times New Roman" w:hAnsi="Times New Roman" w:cs="Times New Roman"/>
                      <w:color w:val="auto"/>
                      <w:kern w:val="2"/>
                      <w:sz w:val="21"/>
                      <w:szCs w:val="21"/>
                      <w:highlight w:val="none"/>
                      <w:u w:val="none"/>
                      <w:lang w:val="en-US" w:bidi="ar-SA"/>
                    </w:rPr>
                    <w:t>等效连续A声级</w:t>
                  </w:r>
                </w:p>
              </w:tc>
              <w:tc>
                <w:tcPr>
                  <w:tcW w:w="1575" w:type="dxa"/>
                  <w:noWrap w:val="0"/>
                  <w:vAlign w:val="center"/>
                </w:tcPr>
                <w:p>
                  <w:pPr>
                    <w:jc w:val="center"/>
                    <w:rPr>
                      <w:rFonts w:hint="default" w:ascii="Times New Roman" w:hAnsi="Times New Roman" w:cs="Times New Roman"/>
                      <w:color w:val="auto"/>
                      <w:kern w:val="2"/>
                      <w:sz w:val="21"/>
                      <w:szCs w:val="21"/>
                      <w:highlight w:val="none"/>
                      <w:u w:val="none"/>
                      <w:lang w:val="en-US" w:bidi="ar-SA"/>
                    </w:rPr>
                  </w:pPr>
                  <w:r>
                    <w:rPr>
                      <w:rFonts w:hint="default" w:ascii="Times New Roman" w:hAnsi="Times New Roman" w:cs="Times New Roman"/>
                      <w:color w:val="auto"/>
                      <w:kern w:val="2"/>
                      <w:sz w:val="21"/>
                      <w:szCs w:val="24"/>
                      <w:highlight w:val="none"/>
                      <w:u w:val="none"/>
                      <w:lang w:val="en-US" w:bidi="ar-SA"/>
                    </w:rPr>
                    <w:t>1次/1年</w:t>
                  </w:r>
                </w:p>
              </w:tc>
              <w:tc>
                <w:tcPr>
                  <w:tcW w:w="3345" w:type="dxa"/>
                  <w:noWrap w:val="0"/>
                  <w:vAlign w:val="center"/>
                </w:tcPr>
                <w:p>
                  <w:pPr>
                    <w:jc w:val="center"/>
                    <w:rPr>
                      <w:rFonts w:hint="default" w:ascii="Times New Roman" w:hAnsi="Times New Roman" w:cs="Times New Roman"/>
                      <w:color w:val="auto"/>
                      <w:kern w:val="2"/>
                      <w:sz w:val="21"/>
                      <w:szCs w:val="21"/>
                      <w:highlight w:val="none"/>
                      <w:u w:val="none"/>
                      <w:lang w:val="en-US" w:bidi="ar-SA"/>
                    </w:rPr>
                  </w:pPr>
                  <w:r>
                    <w:rPr>
                      <w:rFonts w:hint="default" w:ascii="Times New Roman" w:hAnsi="Times New Roman" w:cs="Times New Roman"/>
                      <w:color w:val="auto"/>
                      <w:kern w:val="2"/>
                      <w:sz w:val="21"/>
                      <w:szCs w:val="21"/>
                      <w:highlight w:val="none"/>
                      <w:u w:val="none"/>
                      <w:lang w:val="en-US" w:bidi="ar-SA"/>
                    </w:rPr>
                    <w:t>《工业企业厂界环境噪声排放标准》（GB12348-2008）3类标准</w:t>
                  </w:r>
                </w:p>
              </w:tc>
            </w:tr>
          </w:tbl>
          <w:p>
            <w:pPr>
              <w:pStyle w:val="59"/>
              <w:autoSpaceDE/>
              <w:autoSpaceDN/>
              <w:ind w:left="44" w:leftChars="20" w:right="44" w:rightChars="20" w:firstLine="422"/>
              <w:jc w:val="both"/>
              <w:rPr>
                <w:rFonts w:hint="default" w:ascii="Times New Roman" w:hAnsi="Times New Roman" w:cs="Times New Roman"/>
                <w:b/>
                <w:bCs/>
                <w:color w:val="auto"/>
                <w:sz w:val="24"/>
                <w:szCs w:val="24"/>
                <w:highlight w:val="none"/>
                <w:u w:val="single"/>
                <w:lang w:val="en-US"/>
              </w:rPr>
            </w:pPr>
            <w:r>
              <w:rPr>
                <w:rFonts w:hint="default" w:ascii="Times New Roman" w:hAnsi="Times New Roman" w:cs="Times New Roman"/>
                <w:b/>
                <w:bCs/>
                <w:color w:val="auto"/>
                <w:sz w:val="24"/>
                <w:szCs w:val="24"/>
                <w:highlight w:val="none"/>
                <w:u w:val="single"/>
                <w:lang w:val="en-US"/>
              </w:rPr>
              <w:t>4、固体废物</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本项目产生的固体废物有员工产生的生活垃圾、残次品、废油漆桶、废润滑油</w:t>
            </w:r>
            <w:r>
              <w:rPr>
                <w:rFonts w:hint="eastAsia" w:ascii="Times New Roman" w:hAnsi="Times New Roman" w:cs="Times New Roman"/>
                <w:color w:val="auto"/>
                <w:sz w:val="24"/>
                <w:szCs w:val="24"/>
                <w:highlight w:val="none"/>
                <w:u w:val="single"/>
                <w:lang w:val="en-US" w:eastAsia="zh-CN"/>
              </w:rPr>
              <w:t>、废活性炭</w:t>
            </w:r>
            <w:r>
              <w:rPr>
                <w:rFonts w:hint="default" w:ascii="Times New Roman" w:hAnsi="Times New Roman" w:cs="Times New Roman"/>
                <w:color w:val="auto"/>
                <w:sz w:val="24"/>
                <w:szCs w:val="24"/>
                <w:highlight w:val="none"/>
                <w:u w:val="single"/>
                <w:lang w:val="en-US"/>
              </w:rPr>
              <w:t>。</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（1）生活垃圾：劳动定员</w:t>
            </w:r>
            <w:r>
              <w:rPr>
                <w:rFonts w:hint="default" w:ascii="Times New Roman" w:hAnsi="Times New Roman" w:cs="Times New Roman"/>
                <w:color w:val="auto"/>
                <w:sz w:val="24"/>
                <w:szCs w:val="24"/>
                <w:highlight w:val="none"/>
                <w:u w:val="single"/>
                <w:lang w:val="en-US" w:eastAsia="zh-CN"/>
              </w:rPr>
              <w:t>150人</w:t>
            </w:r>
            <w:r>
              <w:rPr>
                <w:rFonts w:hint="default" w:ascii="Times New Roman" w:hAnsi="Times New Roman" w:cs="Times New Roman"/>
                <w:color w:val="auto"/>
                <w:sz w:val="24"/>
                <w:szCs w:val="24"/>
                <w:highlight w:val="none"/>
                <w:u w:val="single"/>
                <w:lang w:val="en-US"/>
              </w:rPr>
              <w:t>，每人每日产生生活垃圾按0.5kg计，年工作日按300天计算，则本项目生活垃圾产生量为</w:t>
            </w:r>
            <w:r>
              <w:rPr>
                <w:rFonts w:hint="eastAsia" w:ascii="Times New Roman" w:hAnsi="Times New Roman" w:cs="Times New Roman"/>
                <w:color w:val="auto"/>
                <w:sz w:val="24"/>
                <w:szCs w:val="24"/>
                <w:highlight w:val="none"/>
                <w:u w:val="single"/>
                <w:lang w:val="en-US" w:eastAsia="zh-CN"/>
              </w:rPr>
              <w:t>22.5</w:t>
            </w:r>
            <w:r>
              <w:rPr>
                <w:rFonts w:hint="default" w:ascii="Times New Roman" w:hAnsi="Times New Roman" w:cs="Times New Roman"/>
                <w:color w:val="auto"/>
                <w:sz w:val="24"/>
                <w:szCs w:val="24"/>
                <w:highlight w:val="none"/>
                <w:u w:val="single"/>
                <w:lang w:val="en-US"/>
              </w:rPr>
              <w:t>t/a。集中收集，由</w:t>
            </w:r>
            <w:r>
              <w:rPr>
                <w:rFonts w:hint="default" w:ascii="Times New Roman" w:hAnsi="Times New Roman" w:cs="Times New Roman"/>
                <w:color w:val="auto"/>
                <w:sz w:val="24"/>
                <w:szCs w:val="24"/>
                <w:highlight w:val="none"/>
                <w:u w:val="single"/>
                <w:lang w:val="en-US" w:eastAsia="zh-CN"/>
              </w:rPr>
              <w:t>园区</w:t>
            </w:r>
            <w:r>
              <w:rPr>
                <w:rFonts w:hint="default" w:ascii="Times New Roman" w:hAnsi="Times New Roman" w:cs="Times New Roman"/>
                <w:color w:val="auto"/>
                <w:sz w:val="24"/>
                <w:szCs w:val="24"/>
                <w:highlight w:val="none"/>
                <w:u w:val="single"/>
                <w:lang w:val="en-US"/>
              </w:rPr>
              <w:t>环卫部门处理。</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（2）残次品：根据业主资料提供，项目质检过程产生的废次品产生量按原材料的1%计，则该部分固废产生量约为</w:t>
            </w:r>
            <w:r>
              <w:rPr>
                <w:rFonts w:hint="eastAsia" w:ascii="Times New Roman" w:hAnsi="Times New Roman" w:cs="Times New Roman"/>
                <w:color w:val="auto"/>
                <w:sz w:val="24"/>
                <w:szCs w:val="24"/>
                <w:highlight w:val="none"/>
                <w:u w:val="single"/>
                <w:lang w:val="en-US" w:eastAsia="zh-CN"/>
              </w:rPr>
              <w:t>7</w:t>
            </w:r>
            <w:r>
              <w:rPr>
                <w:rFonts w:hint="default" w:ascii="Times New Roman" w:hAnsi="Times New Roman" w:cs="Times New Roman"/>
                <w:color w:val="auto"/>
                <w:sz w:val="24"/>
                <w:szCs w:val="24"/>
                <w:highlight w:val="none"/>
                <w:u w:val="single"/>
                <w:lang w:val="en-US"/>
              </w:rPr>
              <w:t>t/a，不合格产品集中外售塑料厂家。</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（3）废油漆桶：项目生产过程中产生的废油漆桶约40个/a，</w:t>
            </w:r>
            <w:r>
              <w:rPr>
                <w:rFonts w:hint="eastAsia" w:ascii="Times New Roman" w:hAnsi="Times New Roman" w:cs="Times New Roman"/>
                <w:color w:val="auto"/>
                <w:sz w:val="24"/>
                <w:szCs w:val="24"/>
                <w:highlight w:val="none"/>
                <w:u w:val="single"/>
                <w:lang w:val="en-US" w:eastAsia="zh-CN"/>
              </w:rPr>
              <w:t>由于本项目使用水性油漆，废油漆桶为一般固体废物，废水性漆桶用完统一暂存间暂存定期反回厂家利用，破损的交由物资回收公司处置</w:t>
            </w:r>
            <w:r>
              <w:rPr>
                <w:rFonts w:hint="default" w:ascii="Times New Roman" w:hAnsi="Times New Roman" w:cs="Times New Roman"/>
                <w:color w:val="auto"/>
                <w:sz w:val="24"/>
                <w:szCs w:val="24"/>
                <w:highlight w:val="none"/>
                <w:u w:val="single"/>
                <w:lang w:val="en-US"/>
              </w:rPr>
              <w:t>。</w:t>
            </w:r>
          </w:p>
          <w:p>
            <w:pPr>
              <w:pStyle w:val="59"/>
              <w:autoSpaceDE/>
              <w:autoSpaceDN/>
              <w:ind w:left="44" w:leftChars="20" w:right="44" w:rightChars="20" w:firstLine="420"/>
              <w:jc w:val="both"/>
              <w:rPr>
                <w:rFonts w:hint="default" w:ascii="Times New Roman" w:hAnsi="Times New Roman" w:cs="Times New Roman"/>
                <w:bCs/>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（4）废润滑油：</w:t>
            </w:r>
            <w:r>
              <w:rPr>
                <w:rFonts w:hint="default" w:ascii="Times New Roman" w:hAnsi="Times New Roman" w:cs="Times New Roman"/>
                <w:bCs/>
                <w:color w:val="auto"/>
                <w:sz w:val="24"/>
                <w:szCs w:val="24"/>
                <w:highlight w:val="none"/>
                <w:u w:val="single"/>
                <w:lang w:val="en-US"/>
              </w:rPr>
              <w:t>本项目设备需定期加润滑油保养，润滑油使用量约为</w:t>
            </w:r>
            <w:r>
              <w:rPr>
                <w:rFonts w:hint="eastAsia" w:ascii="Times New Roman" w:hAnsi="Times New Roman" w:cs="Times New Roman"/>
                <w:bCs/>
                <w:color w:val="auto"/>
                <w:sz w:val="24"/>
                <w:szCs w:val="24"/>
                <w:highlight w:val="none"/>
                <w:u w:val="single"/>
                <w:lang w:val="en-US" w:eastAsia="zh-CN"/>
              </w:rPr>
              <w:t>0.3</w:t>
            </w:r>
            <w:r>
              <w:rPr>
                <w:rFonts w:hint="default" w:ascii="Times New Roman" w:hAnsi="Times New Roman" w:cs="Times New Roman"/>
                <w:bCs/>
                <w:color w:val="auto"/>
                <w:sz w:val="24"/>
                <w:szCs w:val="24"/>
                <w:highlight w:val="none"/>
                <w:u w:val="single"/>
                <w:lang w:val="en-US"/>
              </w:rPr>
              <w:t>t/a。本项目润滑油直接滴加到设备转轴、齿轮等极易磨损的部位，润滑油使用过程中将会产生约0.</w:t>
            </w:r>
            <w:r>
              <w:rPr>
                <w:rFonts w:hint="eastAsia" w:ascii="Times New Roman" w:hAnsi="Times New Roman" w:cs="Times New Roman"/>
                <w:bCs/>
                <w:color w:val="auto"/>
                <w:sz w:val="24"/>
                <w:szCs w:val="24"/>
                <w:highlight w:val="none"/>
                <w:u w:val="single"/>
                <w:lang w:val="en-US" w:eastAsia="zh-CN"/>
              </w:rPr>
              <w:t>1</w:t>
            </w:r>
            <w:r>
              <w:rPr>
                <w:rFonts w:hint="default" w:ascii="Times New Roman" w:hAnsi="Times New Roman" w:cs="Times New Roman"/>
                <w:bCs/>
                <w:color w:val="auto"/>
                <w:sz w:val="24"/>
                <w:szCs w:val="24"/>
                <w:highlight w:val="none"/>
                <w:u w:val="single"/>
                <w:lang w:val="en-US"/>
              </w:rPr>
              <w:t>t/a的废润滑油，属于《国家危险废物名录》（2021版）中编号为HW08废矿物油与含矿物油废物，危规号为900-214-08：车辆、轮船及其它机械维修过程中产生的废发动机油、制动器油、自动变速器油、齿轮油等废润滑油，经专门的收集桶收集后放置在危废暂存间中暂存，须按危险废物管理有关规定送至有资质的单位进行处理。</w:t>
            </w:r>
          </w:p>
          <w:p>
            <w:pPr>
              <w:pStyle w:val="59"/>
              <w:autoSpaceDE/>
              <w:autoSpaceDN/>
              <w:ind w:left="44" w:leftChars="20" w:right="44" w:rightChars="20" w:firstLine="420"/>
              <w:jc w:val="both"/>
              <w:rPr>
                <w:rFonts w:hint="default" w:ascii="Times New Roman" w:hAnsi="Times New Roman" w:cs="Times New Roman"/>
                <w:bCs/>
                <w:color w:val="auto"/>
                <w:sz w:val="24"/>
                <w:szCs w:val="24"/>
                <w:highlight w:val="none"/>
                <w:u w:val="single"/>
                <w:lang w:val="en-US"/>
              </w:rPr>
            </w:pPr>
            <w:r>
              <w:rPr>
                <w:rFonts w:hint="eastAsia" w:ascii="Times New Roman" w:hAnsi="Times New Roman" w:eastAsia="宋体" w:cs="Times New Roman"/>
                <w:color w:val="auto"/>
                <w:sz w:val="24"/>
                <w:szCs w:val="24"/>
                <w:highlight w:val="none"/>
                <w:u w:val="single"/>
                <w:lang w:val="en-US" w:eastAsia="zh-CN"/>
              </w:rPr>
              <w:t>（5）废活性炭：</w:t>
            </w:r>
            <w:r>
              <w:rPr>
                <w:rFonts w:hint="default" w:ascii="Times New Roman" w:hAnsi="Times New Roman" w:eastAsia="宋体" w:cs="Times New Roman"/>
                <w:color w:val="auto"/>
                <w:sz w:val="24"/>
                <w:szCs w:val="24"/>
                <w:highlight w:val="none"/>
                <w:u w:val="single"/>
                <w:lang w:val="en-US"/>
              </w:rPr>
              <w:t>活性炭经过吸附浓缩-热脱附再生厚重复利用，从理论上分析，活性炭可重复利用，不会产生废活性炭，但是在不断吸附和脱附过程中，蜂窝状活性炭会出现坍塌和空隙堵塞，VOCs废气残留在活性炭内不能实现完全脱附等因素影响，导致活性炭失效，需根据实际运行情况，需定期更换损毁的废活性炭</w:t>
            </w:r>
            <w:r>
              <w:rPr>
                <w:rFonts w:hint="eastAsia" w:ascii="Times New Roman" w:hAnsi="Times New Roman" w:eastAsia="宋体" w:cs="Times New Roman"/>
                <w:color w:val="auto"/>
                <w:sz w:val="24"/>
                <w:szCs w:val="24"/>
                <w:highlight w:val="none"/>
                <w:u w:val="single"/>
                <w:lang w:val="en-US" w:eastAsia="zh-CN"/>
              </w:rPr>
              <w:t>，本</w:t>
            </w:r>
            <w:r>
              <w:rPr>
                <w:rFonts w:hint="eastAsia" w:ascii="Times New Roman" w:hAnsi="Times New Roman" w:eastAsia="宋体" w:cs="Times New Roman"/>
                <w:bCs/>
                <w:color w:val="auto"/>
                <w:sz w:val="24"/>
                <w:szCs w:val="24"/>
                <w:highlight w:val="none"/>
                <w:u w:val="single"/>
                <w:lang w:val="en-US" w:eastAsia="zh-CN"/>
              </w:rPr>
              <w:t>项目废活性炭产生量约为1t/a，</w:t>
            </w:r>
            <w:r>
              <w:rPr>
                <w:rFonts w:hint="default" w:ascii="Times New Roman" w:hAnsi="Times New Roman" w:eastAsia="宋体" w:cs="Times New Roman"/>
                <w:bCs/>
                <w:color w:val="auto"/>
                <w:sz w:val="24"/>
                <w:szCs w:val="24"/>
                <w:highlight w:val="none"/>
                <w:u w:val="single"/>
                <w:lang w:val="en-US"/>
              </w:rPr>
              <w:t>属于《国家危险废物名录》（2021版）中编号为HW49</w:t>
            </w:r>
            <w:r>
              <w:rPr>
                <w:rFonts w:hint="eastAsia" w:ascii="Times New Roman" w:hAnsi="Times New Roman" w:eastAsia="宋体" w:cs="Times New Roman"/>
                <w:bCs/>
                <w:color w:val="auto"/>
                <w:sz w:val="24"/>
                <w:szCs w:val="24"/>
                <w:highlight w:val="none"/>
                <w:u w:val="single"/>
                <w:lang w:val="en-US"/>
              </w:rPr>
              <w:t>(</w:t>
            </w:r>
            <w:r>
              <w:rPr>
                <w:rFonts w:hint="default" w:ascii="Times New Roman" w:hAnsi="Times New Roman" w:eastAsia="宋体" w:cs="Times New Roman"/>
                <w:bCs/>
                <w:color w:val="auto"/>
                <w:sz w:val="24"/>
                <w:szCs w:val="24"/>
                <w:highlight w:val="none"/>
                <w:u w:val="single"/>
                <w:lang w:val="en-US"/>
              </w:rPr>
              <w:t>900-039-49</w:t>
            </w:r>
            <w:r>
              <w:rPr>
                <w:rFonts w:hint="eastAsia" w:ascii="Times New Roman" w:hAnsi="Times New Roman" w:eastAsia="宋体" w:cs="Times New Roman"/>
                <w:bCs/>
                <w:color w:val="auto"/>
                <w:sz w:val="24"/>
                <w:szCs w:val="24"/>
                <w:highlight w:val="none"/>
                <w:u w:val="single"/>
                <w:lang w:val="en-US"/>
              </w:rPr>
              <w:t>)</w:t>
            </w:r>
            <w:r>
              <w:rPr>
                <w:rFonts w:hint="eastAsia" w:ascii="Times New Roman" w:hAnsi="Times New Roman" w:eastAsia="宋体" w:cs="Times New Roman"/>
                <w:bCs/>
                <w:color w:val="auto"/>
                <w:sz w:val="24"/>
                <w:szCs w:val="24"/>
                <w:highlight w:val="none"/>
                <w:u w:val="single"/>
                <w:lang w:val="en-US" w:eastAsia="zh-CN"/>
              </w:rPr>
              <w:t>，</w:t>
            </w:r>
            <w:r>
              <w:rPr>
                <w:rFonts w:hint="default" w:ascii="Times New Roman" w:hAnsi="Times New Roman" w:cs="Times New Roman"/>
                <w:bCs/>
                <w:color w:val="auto"/>
                <w:sz w:val="24"/>
                <w:szCs w:val="24"/>
                <w:highlight w:val="none"/>
                <w:u w:val="single"/>
                <w:lang w:val="en-US"/>
              </w:rPr>
              <w:t>须按危险废物管理有关规定送至有资质的单位进行处理。</w:t>
            </w:r>
          </w:p>
          <w:p>
            <w:pPr>
              <w:pStyle w:val="59"/>
              <w:autoSpaceDE/>
              <w:autoSpaceDN/>
              <w:ind w:left="44" w:leftChars="20" w:right="44" w:rightChars="20" w:firstLine="2409" w:firstLineChars="1000"/>
              <w:jc w:val="both"/>
              <w:rPr>
                <w:rFonts w:hint="default" w:ascii="Times New Roman" w:hAnsi="Times New Roman" w:eastAsia="宋体" w:cs="Times New Roman"/>
                <w:b/>
                <w:bCs/>
                <w:color w:val="auto"/>
                <w:sz w:val="24"/>
                <w:szCs w:val="24"/>
                <w:highlight w:val="none"/>
                <w:u w:val="single"/>
                <w:lang w:val="en-US"/>
              </w:rPr>
            </w:pPr>
            <w:r>
              <w:rPr>
                <w:rFonts w:hint="default" w:ascii="Times New Roman" w:hAnsi="Times New Roman" w:eastAsia="宋体" w:cs="Times New Roman"/>
                <w:b/>
                <w:bCs/>
                <w:color w:val="auto"/>
                <w:sz w:val="24"/>
                <w:szCs w:val="24"/>
                <w:highlight w:val="none"/>
                <w:u w:val="single"/>
                <w:lang w:val="en-US"/>
              </w:rPr>
              <w:t>表4-</w:t>
            </w:r>
            <w:r>
              <w:rPr>
                <w:rFonts w:hint="eastAsia" w:ascii="Times New Roman" w:hAnsi="Times New Roman" w:cs="Times New Roman"/>
                <w:b/>
                <w:bCs/>
                <w:color w:val="auto"/>
                <w:sz w:val="24"/>
                <w:szCs w:val="24"/>
                <w:highlight w:val="none"/>
                <w:u w:val="single"/>
                <w:lang w:val="en-US" w:eastAsia="zh-CN"/>
              </w:rPr>
              <w:t>8</w:t>
            </w:r>
            <w:r>
              <w:rPr>
                <w:rFonts w:hint="default" w:ascii="Times New Roman" w:hAnsi="Times New Roman" w:eastAsia="宋体" w:cs="Times New Roman"/>
                <w:b/>
                <w:bCs/>
                <w:color w:val="auto"/>
                <w:sz w:val="24"/>
                <w:szCs w:val="24"/>
                <w:highlight w:val="none"/>
                <w:u w:val="single"/>
                <w:lang w:val="en-US"/>
              </w:rPr>
              <w:t>危险废物汇总情况表</w:t>
            </w:r>
          </w:p>
          <w:tbl>
            <w:tblPr>
              <w:tblStyle w:val="25"/>
              <w:tblW w:w="7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684"/>
              <w:gridCol w:w="752"/>
              <w:gridCol w:w="1191"/>
              <w:gridCol w:w="840"/>
              <w:gridCol w:w="682"/>
              <w:gridCol w:w="585"/>
              <w:gridCol w:w="682"/>
              <w:gridCol w:w="52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4"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序号</w:t>
                  </w:r>
                </w:p>
              </w:tc>
              <w:tc>
                <w:tcPr>
                  <w:tcW w:w="684"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危险废物名称</w:t>
                  </w:r>
                </w:p>
              </w:tc>
              <w:tc>
                <w:tcPr>
                  <w:tcW w:w="752"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危险废物类别</w:t>
                  </w:r>
                </w:p>
              </w:tc>
              <w:tc>
                <w:tcPr>
                  <w:tcW w:w="1191"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危险废物代码</w:t>
                  </w:r>
                </w:p>
              </w:tc>
              <w:tc>
                <w:tcPr>
                  <w:tcW w:w="840"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产生量（t/a）</w:t>
                  </w:r>
                </w:p>
              </w:tc>
              <w:tc>
                <w:tcPr>
                  <w:tcW w:w="682"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产生工段及装置</w:t>
                  </w:r>
                </w:p>
              </w:tc>
              <w:tc>
                <w:tcPr>
                  <w:tcW w:w="585"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形态</w:t>
                  </w:r>
                </w:p>
              </w:tc>
              <w:tc>
                <w:tcPr>
                  <w:tcW w:w="682"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产废周期</w:t>
                  </w:r>
                </w:p>
              </w:tc>
              <w:tc>
                <w:tcPr>
                  <w:tcW w:w="524"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危险特性</w:t>
                  </w:r>
                </w:p>
              </w:tc>
              <w:tc>
                <w:tcPr>
                  <w:tcW w:w="1557" w:type="dxa"/>
                  <w:noWrap w:val="0"/>
                  <w:vAlign w:val="center"/>
                </w:tcPr>
                <w:p>
                  <w:pPr>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14"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1</w:t>
                  </w:r>
                </w:p>
              </w:tc>
              <w:tc>
                <w:tcPr>
                  <w:tcW w:w="684"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eastAsia"/>
                      <w:sz w:val="21"/>
                      <w:szCs w:val="21"/>
                      <w:u w:val="single"/>
                    </w:rPr>
                    <w:t>废活性炭</w:t>
                  </w:r>
                </w:p>
              </w:tc>
              <w:tc>
                <w:tcPr>
                  <w:tcW w:w="752"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HW49</w:t>
                  </w:r>
                </w:p>
              </w:tc>
              <w:tc>
                <w:tcPr>
                  <w:tcW w:w="1191"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900-041-49</w:t>
                  </w:r>
                </w:p>
              </w:tc>
              <w:tc>
                <w:tcPr>
                  <w:tcW w:w="840" w:type="dxa"/>
                  <w:noWrap w:val="0"/>
                  <w:vAlign w:val="center"/>
                </w:tcPr>
                <w:p>
                  <w:pPr>
                    <w:pStyle w:val="63"/>
                    <w:spacing w:before="240" w:after="120" w:line="240" w:lineRule="atLeast"/>
                    <w:rPr>
                      <w:rFonts w:hint="default" w:ascii="Times New Roman" w:hAnsi="Times New Roman" w:eastAsia="宋体" w:cs="Times New Roman"/>
                      <w:b w:val="0"/>
                      <w:color w:val="auto"/>
                      <w:sz w:val="21"/>
                      <w:szCs w:val="21"/>
                      <w:highlight w:val="none"/>
                      <w:u w:val="single"/>
                      <w:lang w:val="en-US" w:eastAsia="zh-CN"/>
                    </w:rPr>
                  </w:pPr>
                  <w:r>
                    <w:rPr>
                      <w:rFonts w:hint="eastAsia" w:ascii="Times New Roman" w:hAnsi="Times New Roman" w:cs="Times New Roman"/>
                      <w:b w:val="0"/>
                      <w:color w:val="auto"/>
                      <w:sz w:val="21"/>
                      <w:szCs w:val="21"/>
                      <w:highlight w:val="none"/>
                      <w:u w:val="single"/>
                      <w:lang w:val="en-US" w:eastAsia="zh-CN"/>
                    </w:rPr>
                    <w:t>1t/a</w:t>
                  </w:r>
                </w:p>
              </w:tc>
              <w:tc>
                <w:tcPr>
                  <w:tcW w:w="682" w:type="dxa"/>
                  <w:noWrap w:val="0"/>
                  <w:vAlign w:val="center"/>
                </w:tcPr>
                <w:p>
                  <w:pPr>
                    <w:spacing w:line="240" w:lineRule="atLeast"/>
                    <w:jc w:val="center"/>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废气处理</w:t>
                  </w:r>
                </w:p>
              </w:tc>
              <w:tc>
                <w:tcPr>
                  <w:tcW w:w="585"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固态</w:t>
                  </w:r>
                </w:p>
              </w:tc>
              <w:tc>
                <w:tcPr>
                  <w:tcW w:w="682"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w:t>
                  </w:r>
                </w:p>
              </w:tc>
              <w:tc>
                <w:tcPr>
                  <w:tcW w:w="524"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T</w:t>
                  </w:r>
                </w:p>
              </w:tc>
              <w:tc>
                <w:tcPr>
                  <w:tcW w:w="1557" w:type="dxa"/>
                  <w:vMerge w:val="restart"/>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bCs/>
                      <w:color w:val="auto"/>
                      <w:sz w:val="21"/>
                      <w:szCs w:val="21"/>
                      <w:highlight w:val="none"/>
                      <w:u w:val="single"/>
                    </w:rPr>
                    <w:t>经专门的收集桶收集后放置在危废暂存间中暂存，送至有资质的单位进行处理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14"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2</w:t>
                  </w:r>
                </w:p>
              </w:tc>
              <w:tc>
                <w:tcPr>
                  <w:tcW w:w="684"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废润滑油</w:t>
                  </w:r>
                </w:p>
              </w:tc>
              <w:tc>
                <w:tcPr>
                  <w:tcW w:w="752" w:type="dxa"/>
                  <w:noWrap w:val="0"/>
                  <w:vAlign w:val="center"/>
                </w:tcPr>
                <w:p>
                  <w:pPr>
                    <w:spacing w:line="240" w:lineRule="atLeast"/>
                    <w:jc w:val="center"/>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u w:val="single"/>
                    </w:rPr>
                    <w:t>HW08</w:t>
                  </w:r>
                </w:p>
              </w:tc>
              <w:tc>
                <w:tcPr>
                  <w:tcW w:w="1191"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900-214-08</w:t>
                  </w:r>
                </w:p>
              </w:tc>
              <w:tc>
                <w:tcPr>
                  <w:tcW w:w="840" w:type="dxa"/>
                  <w:noWrap w:val="0"/>
                  <w:vAlign w:val="center"/>
                </w:tcPr>
                <w:p>
                  <w:pPr>
                    <w:snapToGrid w:val="0"/>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0.2t/a</w:t>
                  </w:r>
                </w:p>
              </w:tc>
              <w:tc>
                <w:tcPr>
                  <w:tcW w:w="682"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维护</w:t>
                  </w:r>
                </w:p>
              </w:tc>
              <w:tc>
                <w:tcPr>
                  <w:tcW w:w="585"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液态</w:t>
                  </w:r>
                </w:p>
              </w:tc>
              <w:tc>
                <w:tcPr>
                  <w:tcW w:w="682"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w:t>
                  </w:r>
                </w:p>
              </w:tc>
              <w:tc>
                <w:tcPr>
                  <w:tcW w:w="524" w:type="dxa"/>
                  <w:noWrap w:val="0"/>
                  <w:vAlign w:val="center"/>
                </w:tcPr>
                <w:p>
                  <w:pPr>
                    <w:spacing w:line="240" w:lineRule="atLeast"/>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T</w:t>
                  </w:r>
                </w:p>
              </w:tc>
              <w:tc>
                <w:tcPr>
                  <w:tcW w:w="1557" w:type="dxa"/>
                  <w:vMerge w:val="continue"/>
                  <w:noWrap w:val="0"/>
                  <w:vAlign w:val="center"/>
                </w:tcPr>
                <w:p>
                  <w:pPr>
                    <w:spacing w:line="240" w:lineRule="atLeast"/>
                    <w:jc w:val="center"/>
                    <w:rPr>
                      <w:rFonts w:hint="default" w:ascii="Times New Roman" w:hAnsi="Times New Roman" w:cs="Times New Roman"/>
                      <w:color w:val="auto"/>
                      <w:sz w:val="21"/>
                      <w:szCs w:val="21"/>
                      <w:highlight w:val="none"/>
                      <w:u w:val="single"/>
                    </w:rPr>
                  </w:pPr>
                </w:p>
              </w:tc>
            </w:tr>
          </w:tbl>
          <w:p>
            <w:pPr>
              <w:pStyle w:val="59"/>
              <w:ind w:right="44" w:rightChars="20" w:firstLine="600" w:firstLineChars="25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本项目在厂房</w:t>
            </w:r>
            <w:r>
              <w:rPr>
                <w:rFonts w:hint="default" w:ascii="Times New Roman" w:hAnsi="Times New Roman" w:cs="Times New Roman"/>
                <w:color w:val="auto"/>
                <w:sz w:val="24"/>
                <w:szCs w:val="24"/>
                <w:highlight w:val="none"/>
                <w:u w:val="none"/>
                <w:lang w:val="en-US" w:eastAsia="zh-CN"/>
              </w:rPr>
              <w:t>西南</w:t>
            </w:r>
            <w:r>
              <w:rPr>
                <w:rFonts w:hint="default" w:ascii="Times New Roman" w:hAnsi="Times New Roman" w:cs="Times New Roman"/>
                <w:color w:val="auto"/>
                <w:sz w:val="24"/>
                <w:szCs w:val="24"/>
                <w:highlight w:val="none"/>
                <w:u w:val="none"/>
                <w:lang w:val="en-US"/>
              </w:rPr>
              <w:t>角处内设置一个</w:t>
            </w:r>
            <w:r>
              <w:rPr>
                <w:rFonts w:hint="eastAsia" w:ascii="Times New Roman" w:hAnsi="Times New Roman" w:cs="Times New Roman"/>
                <w:color w:val="auto"/>
                <w:sz w:val="24"/>
                <w:szCs w:val="24"/>
                <w:highlight w:val="none"/>
                <w:u w:val="none"/>
                <w:lang w:val="en-US" w:eastAsia="zh-CN"/>
              </w:rPr>
              <w:t>20</w:t>
            </w:r>
            <w:r>
              <w:rPr>
                <w:rFonts w:hint="default" w:ascii="Times New Roman" w:hAnsi="Times New Roman" w:cs="Times New Roman"/>
                <w:color w:val="auto"/>
                <w:sz w:val="24"/>
                <w:szCs w:val="24"/>
                <w:highlight w:val="none"/>
                <w:u w:val="none"/>
                <w:lang w:val="en-US"/>
              </w:rPr>
              <w:t>m</w:t>
            </w:r>
            <w:r>
              <w:rPr>
                <w:rFonts w:hint="default" w:ascii="Times New Roman" w:hAnsi="Times New Roman" w:cs="Times New Roman"/>
                <w:color w:val="auto"/>
                <w:sz w:val="24"/>
                <w:szCs w:val="24"/>
                <w:highlight w:val="none"/>
                <w:u w:val="none"/>
                <w:vertAlign w:val="superscript"/>
                <w:lang w:val="en-US"/>
              </w:rPr>
              <w:t>2</w:t>
            </w:r>
            <w:r>
              <w:rPr>
                <w:rFonts w:hint="default" w:ascii="Times New Roman" w:hAnsi="Times New Roman" w:cs="Times New Roman"/>
                <w:color w:val="auto"/>
                <w:sz w:val="24"/>
                <w:szCs w:val="24"/>
                <w:highlight w:val="none"/>
                <w:u w:val="none"/>
                <w:lang w:val="en-US"/>
              </w:rPr>
              <w:t>的危废暂存间，项目危废暂存间按照《危险废物贮存污染控制标准》（GB18597-2001）的相关规定进行建设，符合危废管理要求。因此，项目危险废物对周围环境及敏感点产生的影响较小。</w:t>
            </w:r>
          </w:p>
          <w:p>
            <w:pPr>
              <w:pStyle w:val="59"/>
              <w:ind w:right="44" w:rightChars="20" w:firstLine="600" w:firstLineChars="250"/>
              <w:jc w:val="both"/>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lang w:val="en-US"/>
              </w:rPr>
              <w:t>评价要求危险废物必须按照《危险废物贮存污染控制标准》（GB18597-2001）及2013修改单中的相关规定储存，建立危险废物管理台账，如实记录相关信息并及时向所在地环境保护主管部门报告。危废暂存容器的材质和衬里要与危废物不相容（不相互反应），在生产过程中制定严格的危废存储、运输和使用等规章制度。暂存间应严格按照《危险废物贮存污染控制标准》（GB18597-2001）建造专用的危险废物临时贮存场，对相应的临时贮存场所应建设基础防渗设施，并配备照明设施，暂存场所地面要做硬化和防渗处理，防渗层为至少1m厚的黏土层，并按《危险废物贮存污染控制标准》（GB18597-2001）要求设置危险废物标识。将危险废物转入专用容器，并粘贴危险废物标签，并做好相应的纪录。贮存危险废物必须采取符合国家环境保护标准的防护措施，并不得超过一年；确需延长期限的，必须报经原批准经营许可证的环境保护行政主管部门批准。禁止将危险废物混入非危险废物中贮存。将危废收集后，严格按照国家环保总局环发[1999]05号令颁布的《危险废物转移联单管理办法》定期交由具有资质的单位统一处置</w:t>
            </w:r>
            <w:r>
              <w:rPr>
                <w:rFonts w:hint="default" w:ascii="Times New Roman" w:hAnsi="Times New Roman" w:cs="Times New Roman"/>
                <w:color w:val="auto"/>
                <w:sz w:val="24"/>
                <w:szCs w:val="24"/>
                <w:highlight w:val="none"/>
                <w:u w:val="single"/>
                <w:lang w:val="en-US" w:eastAsia="zh-CN"/>
              </w:rPr>
              <w:t>。</w:t>
            </w:r>
          </w:p>
          <w:p>
            <w:pPr>
              <w:pStyle w:val="59"/>
              <w:autoSpaceDE/>
              <w:autoSpaceDN/>
              <w:ind w:right="44" w:rightChars="20" w:firstLine="600" w:firstLineChars="25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综上，经采取上述措施后，本项目固体废物能得到妥善的处置，对外界环境产生的影响可在接受的范围之内。</w:t>
            </w:r>
          </w:p>
          <w:p>
            <w:pPr>
              <w:pStyle w:val="59"/>
              <w:autoSpaceDE/>
              <w:autoSpaceDN/>
              <w:ind w:left="44" w:leftChars="20" w:right="44" w:rightChars="20" w:firstLine="422"/>
              <w:jc w:val="both"/>
              <w:rPr>
                <w:rFonts w:hint="default" w:ascii="Times New Roman" w:hAnsi="Times New Roman" w:cs="Times New Roman"/>
                <w:b/>
                <w:bCs/>
                <w:color w:val="auto"/>
                <w:sz w:val="24"/>
                <w:szCs w:val="24"/>
                <w:highlight w:val="none"/>
                <w:u w:val="none"/>
                <w:lang w:val="en-US"/>
              </w:rPr>
            </w:pPr>
            <w:r>
              <w:rPr>
                <w:rFonts w:hint="default" w:ascii="Times New Roman" w:hAnsi="Times New Roman" w:cs="Times New Roman"/>
                <w:b/>
                <w:bCs/>
                <w:color w:val="auto"/>
                <w:sz w:val="24"/>
                <w:szCs w:val="24"/>
                <w:highlight w:val="none"/>
                <w:u w:val="none"/>
                <w:lang w:val="en-US"/>
              </w:rPr>
              <w:t>5、土壤</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根据《环境影响评价技术导则——土壤环境》（HJ964-2018）中附录A对建设项目的分类，本项目属于“制造业””中的“其他”类，项目类别属于Ⅳ类项目。本项目占地面积为</w:t>
            </w:r>
            <w:r>
              <w:rPr>
                <w:rFonts w:hint="default" w:ascii="Times New Roman" w:hAnsi="Times New Roman" w:cs="Times New Roman"/>
                <w:color w:val="auto"/>
                <w:sz w:val="24"/>
                <w:szCs w:val="24"/>
                <w:highlight w:val="none"/>
                <w:u w:val="none"/>
                <w:lang w:val="en-US" w:eastAsia="zh-CN"/>
              </w:rPr>
              <w:t>1200</w:t>
            </w:r>
            <w:r>
              <w:rPr>
                <w:rFonts w:hint="default" w:ascii="Times New Roman" w:hAnsi="Times New Roman" w:cs="Times New Roman"/>
                <w:color w:val="auto"/>
                <w:sz w:val="24"/>
                <w:szCs w:val="24"/>
                <w:highlight w:val="none"/>
                <w:u w:val="none"/>
                <w:lang w:val="en-US"/>
              </w:rPr>
              <w:t>m</w:t>
            </w:r>
            <w:r>
              <w:rPr>
                <w:rFonts w:hint="default" w:ascii="Times New Roman" w:hAnsi="Times New Roman" w:cs="Times New Roman"/>
                <w:color w:val="auto"/>
                <w:sz w:val="24"/>
                <w:szCs w:val="24"/>
                <w:highlight w:val="none"/>
                <w:u w:val="none"/>
                <w:vertAlign w:val="superscript"/>
                <w:lang w:val="en-US"/>
              </w:rPr>
              <w:t>2</w:t>
            </w:r>
            <w:r>
              <w:rPr>
                <w:rFonts w:hint="default" w:ascii="Times New Roman" w:hAnsi="Times New Roman" w:cs="Times New Roman"/>
                <w:color w:val="auto"/>
                <w:sz w:val="24"/>
                <w:szCs w:val="24"/>
                <w:highlight w:val="none"/>
                <w:u w:val="none"/>
                <w:lang w:val="en-US"/>
              </w:rPr>
              <w:t>，占地规模为小型（≤5hm</w:t>
            </w:r>
            <w:r>
              <w:rPr>
                <w:rFonts w:hint="default" w:ascii="Times New Roman" w:hAnsi="Times New Roman" w:cs="Times New Roman"/>
                <w:color w:val="auto"/>
                <w:sz w:val="24"/>
                <w:szCs w:val="24"/>
                <w:highlight w:val="none"/>
                <w:u w:val="none"/>
                <w:vertAlign w:val="superscript"/>
                <w:lang w:val="en-US"/>
              </w:rPr>
              <w:t>2</w:t>
            </w:r>
            <w:r>
              <w:rPr>
                <w:rFonts w:hint="default" w:ascii="Times New Roman" w:hAnsi="Times New Roman" w:cs="Times New Roman"/>
                <w:color w:val="auto"/>
                <w:sz w:val="24"/>
                <w:szCs w:val="24"/>
                <w:highlight w:val="none"/>
                <w:u w:val="none"/>
                <w:lang w:val="en-US"/>
              </w:rPr>
              <w:t>），所在地周边土壤环境敏感程度为不敏感区。因此本项目现阶段可不开展土壤环境影响评价工作。</w:t>
            </w:r>
          </w:p>
          <w:p>
            <w:pPr>
              <w:pStyle w:val="59"/>
              <w:autoSpaceDE/>
              <w:autoSpaceDN/>
              <w:ind w:left="44" w:leftChars="20" w:right="44" w:rightChars="20" w:firstLine="422"/>
              <w:jc w:val="both"/>
              <w:rPr>
                <w:rFonts w:hint="default" w:ascii="Times New Roman" w:hAnsi="Times New Roman" w:cs="Times New Roman"/>
                <w:b/>
                <w:bCs/>
                <w:color w:val="auto"/>
                <w:sz w:val="24"/>
                <w:szCs w:val="24"/>
                <w:highlight w:val="none"/>
                <w:u w:val="none"/>
                <w:lang w:val="en-US"/>
              </w:rPr>
            </w:pPr>
            <w:r>
              <w:rPr>
                <w:rFonts w:hint="default" w:ascii="Times New Roman" w:hAnsi="Times New Roman" w:cs="Times New Roman"/>
                <w:b/>
                <w:bCs/>
                <w:color w:val="auto"/>
                <w:sz w:val="24"/>
                <w:szCs w:val="24"/>
                <w:highlight w:val="none"/>
                <w:u w:val="none"/>
                <w:lang w:val="en-US"/>
              </w:rPr>
              <w:t>6、地下水</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根据《环境影响评价技术导则——地下水》（HJ610-2016）中附录A对建设项目的分类，本项目</w:t>
            </w:r>
            <w:r>
              <w:rPr>
                <w:rFonts w:hint="default" w:ascii="Times New Roman" w:hAnsi="Times New Roman" w:cs="Times New Roman"/>
                <w:color w:val="auto"/>
                <w:sz w:val="24"/>
                <w:szCs w:val="24"/>
                <w:highlight w:val="none"/>
                <w:u w:val="none"/>
                <w:lang w:val="en-US" w:eastAsia="zh-CN"/>
              </w:rPr>
              <w:t>属于</w:t>
            </w:r>
            <w:r>
              <w:rPr>
                <w:rFonts w:hint="default" w:ascii="Times New Roman" w:hAnsi="Times New Roman" w:cs="Times New Roman"/>
                <w:color w:val="auto"/>
                <w:sz w:val="24"/>
                <w:szCs w:val="24"/>
                <w:highlight w:val="none"/>
                <w:u w:val="none"/>
                <w:lang w:val="en-US"/>
              </w:rPr>
              <w:t>“N轻工117工艺品制造”中的“报告表”类，为Ⅳ类项目，可不开展地下水环境影响评价。</w:t>
            </w:r>
          </w:p>
          <w:p>
            <w:pPr>
              <w:pStyle w:val="59"/>
              <w:autoSpaceDE/>
              <w:autoSpaceDN/>
              <w:ind w:left="44" w:leftChars="20" w:right="44" w:rightChars="20" w:firstLine="422"/>
              <w:jc w:val="both"/>
              <w:rPr>
                <w:rFonts w:hint="default" w:ascii="Times New Roman" w:hAnsi="Times New Roman" w:cs="Times New Roman"/>
                <w:b/>
                <w:bCs/>
                <w:color w:val="auto"/>
                <w:sz w:val="24"/>
                <w:szCs w:val="24"/>
                <w:highlight w:val="none"/>
                <w:u w:val="single"/>
                <w:lang w:val="en-US"/>
              </w:rPr>
            </w:pPr>
            <w:r>
              <w:rPr>
                <w:rFonts w:hint="default" w:ascii="Times New Roman" w:hAnsi="Times New Roman" w:cs="Times New Roman"/>
                <w:b/>
                <w:bCs/>
                <w:color w:val="auto"/>
                <w:sz w:val="24"/>
                <w:szCs w:val="24"/>
                <w:highlight w:val="none"/>
                <w:u w:val="single"/>
                <w:lang w:val="en-US"/>
              </w:rPr>
              <w:t>7、环境风险</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（1）危险物质数量与临界量比值（Q）</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计算所涉及的每种危险物质在厂界内的最大存在量与其在《建设项目环境风险评价技术导则》（HJ/T169-2018）附录B中对应临界量的比值Q。在不同厂区的同一种物质，按其在厂界内的最大存在量计算。对于长管线项目，按照两个截断室之间管段危险物质最大存在量计算。</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当只涉及一种危险物质时，计算该物质的总量与其临界量比值，即为Q；</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当存在多种危险物质时，则按下式计算物质总量与其临界量比值（Q）：</w:t>
            </w:r>
          </w:p>
          <w:p>
            <w:pPr>
              <w:pStyle w:val="59"/>
              <w:autoSpaceDE/>
              <w:autoSpaceDN/>
              <w:ind w:left="44" w:leftChars="20" w:right="44" w:rightChars="20" w:firstLine="0" w:firstLineChars="0"/>
              <w:jc w:val="center"/>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object>
                <v:shape id="_x0000_i1025" o:spt="75" type="#_x0000_t75" style="height:37.5pt;width:150.75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式中：q1，q2，…，qn——每种危险物质的最大存在总量，t；</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Q1，Q2，…，Qn——每种危险物质的临界量，t；</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当Q＜1时，该项目环境风险潜势Ⅰ。</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当Q≥1时，将Q值划分为：（1）1≤Q＜10；（2）10≤Q＜100；（3）Q≥100。</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根据本项目生产状况、产污排污情况、污染物危险程度、生产设备的使用情况、周围环境状况及环境保护目标要求，对可能存在的涉气及涉水等风险物质及危险因素进行分析，项目风险源辨识结果见表4-</w:t>
            </w:r>
            <w:r>
              <w:rPr>
                <w:rFonts w:hint="eastAsia" w:ascii="Times New Roman" w:hAnsi="Times New Roman" w:cs="Times New Roman"/>
                <w:color w:val="auto"/>
                <w:sz w:val="24"/>
                <w:szCs w:val="24"/>
                <w:highlight w:val="none"/>
                <w:u w:val="single"/>
                <w:lang w:val="en-US" w:eastAsia="zh-CN"/>
              </w:rPr>
              <w:t>9</w:t>
            </w:r>
            <w:r>
              <w:rPr>
                <w:rFonts w:hint="default" w:ascii="Times New Roman" w:hAnsi="Times New Roman" w:cs="Times New Roman"/>
                <w:color w:val="auto"/>
                <w:sz w:val="24"/>
                <w:szCs w:val="24"/>
                <w:highlight w:val="none"/>
                <w:u w:val="single"/>
                <w:lang w:val="en-US"/>
              </w:rPr>
              <w:t>。</w:t>
            </w:r>
          </w:p>
          <w:p>
            <w:pPr>
              <w:adjustRightInd w:val="0"/>
              <w:snapToGrid w:val="0"/>
              <w:jc w:val="center"/>
              <w:rPr>
                <w:rFonts w:hint="default"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u w:val="single"/>
              </w:rPr>
              <w:t>表</w:t>
            </w:r>
            <w:r>
              <w:rPr>
                <w:rFonts w:hint="default" w:ascii="Times New Roman" w:hAnsi="Times New Roman" w:cs="Times New Roman"/>
                <w:b/>
                <w:color w:val="auto"/>
                <w:sz w:val="24"/>
                <w:szCs w:val="24"/>
                <w:highlight w:val="none"/>
                <w:u w:val="single"/>
                <w:lang w:val="en-US"/>
              </w:rPr>
              <w:t>4-</w:t>
            </w:r>
            <w:r>
              <w:rPr>
                <w:rFonts w:hint="eastAsia" w:ascii="Times New Roman" w:hAnsi="Times New Roman" w:cs="Times New Roman"/>
                <w:b/>
                <w:color w:val="auto"/>
                <w:sz w:val="24"/>
                <w:szCs w:val="24"/>
                <w:highlight w:val="none"/>
                <w:u w:val="single"/>
                <w:lang w:val="en-US" w:eastAsia="zh-CN"/>
              </w:rPr>
              <w:t>9</w:t>
            </w:r>
            <w:r>
              <w:rPr>
                <w:rFonts w:hint="default" w:ascii="Times New Roman" w:hAnsi="Times New Roman" w:cs="Times New Roman"/>
                <w:b/>
                <w:color w:val="auto"/>
                <w:sz w:val="24"/>
                <w:szCs w:val="24"/>
                <w:highlight w:val="none"/>
                <w:u w:val="single"/>
              </w:rPr>
              <w:t>风险源辨识结果表</w:t>
            </w:r>
          </w:p>
          <w:tbl>
            <w:tblPr>
              <w:tblStyle w:val="25"/>
              <w:tblW w:w="778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1873"/>
              <w:gridCol w:w="1219"/>
              <w:gridCol w:w="1912"/>
              <w:gridCol w:w="157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206"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风险物质</w:t>
                  </w:r>
                </w:p>
              </w:tc>
              <w:tc>
                <w:tcPr>
                  <w:tcW w:w="1873"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rPr>
                    <w:t>最大储存量（</w:t>
                  </w:r>
                  <w:r>
                    <w:rPr>
                      <w:rFonts w:hint="default" w:ascii="Times New Roman" w:hAnsi="Times New Roman" w:cs="Times New Roman"/>
                      <w:color w:val="auto"/>
                      <w:sz w:val="21"/>
                      <w:szCs w:val="21"/>
                      <w:highlight w:val="none"/>
                      <w:u w:val="single"/>
                      <w:lang w:val="en-US"/>
                    </w:rPr>
                    <w:t>t</w:t>
                  </w:r>
                  <w:r>
                    <w:rPr>
                      <w:rFonts w:hint="default" w:ascii="Times New Roman" w:hAnsi="Times New Roman" w:cs="Times New Roman"/>
                      <w:color w:val="auto"/>
                      <w:sz w:val="21"/>
                      <w:szCs w:val="21"/>
                      <w:highlight w:val="none"/>
                      <w:u w:val="single"/>
                    </w:rPr>
                    <w:t>）</w:t>
                  </w:r>
                </w:p>
              </w:tc>
              <w:tc>
                <w:tcPr>
                  <w:tcW w:w="1219"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临界量（t）</w:t>
                  </w:r>
                </w:p>
              </w:tc>
              <w:tc>
                <w:tcPr>
                  <w:tcW w:w="1912"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是否为重大风险源</w:t>
                  </w:r>
                </w:p>
              </w:tc>
              <w:tc>
                <w:tcPr>
                  <w:tcW w:w="1571"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b/>
                      <w:color w:val="auto"/>
                      <w:sz w:val="21"/>
                      <w:szCs w:val="21"/>
                      <w:highlight w:val="none"/>
                      <w:u w:val="single"/>
                    </w:rPr>
                    <w:t>qi/Qi</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1206"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润滑油</w:t>
                  </w:r>
                </w:p>
              </w:tc>
              <w:tc>
                <w:tcPr>
                  <w:tcW w:w="1873"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0.1</w:t>
                  </w:r>
                </w:p>
              </w:tc>
              <w:tc>
                <w:tcPr>
                  <w:tcW w:w="1219"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50</w:t>
                  </w:r>
                  <w:r>
                    <w:rPr>
                      <w:rFonts w:hint="default" w:ascii="Times New Roman" w:hAnsi="Times New Roman" w:cs="Times New Roman"/>
                      <w:color w:val="auto"/>
                      <w:sz w:val="21"/>
                      <w:szCs w:val="21"/>
                      <w:highlight w:val="none"/>
                      <w:u w:val="single"/>
                    </w:rPr>
                    <w:t>00</w:t>
                  </w:r>
                </w:p>
              </w:tc>
              <w:tc>
                <w:tcPr>
                  <w:tcW w:w="1912"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否</w:t>
                  </w:r>
                </w:p>
              </w:tc>
              <w:tc>
                <w:tcPr>
                  <w:tcW w:w="1571"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0.000002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1206"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合计</w:t>
                  </w:r>
                </w:p>
              </w:tc>
              <w:tc>
                <w:tcPr>
                  <w:tcW w:w="1873"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w:t>
                  </w:r>
                </w:p>
              </w:tc>
              <w:tc>
                <w:tcPr>
                  <w:tcW w:w="1219"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w:t>
                  </w:r>
                </w:p>
              </w:tc>
              <w:tc>
                <w:tcPr>
                  <w:tcW w:w="1912"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w:t>
                  </w:r>
                </w:p>
              </w:tc>
              <w:tc>
                <w:tcPr>
                  <w:tcW w:w="1571" w:type="dxa"/>
                  <w:noWrap w:val="0"/>
                  <w:vAlign w:val="center"/>
                </w:tcPr>
                <w:p>
                  <w:pPr>
                    <w:autoSpaceDE/>
                    <w:autoSpaceDN/>
                    <w:snapToGrid w:val="0"/>
                    <w:jc w:val="center"/>
                    <w:rPr>
                      <w:rFonts w:hint="default" w:ascii="Times New Roman" w:hAnsi="Times New Roman" w:cs="Times New Roman"/>
                      <w:color w:val="auto"/>
                      <w:sz w:val="21"/>
                      <w:szCs w:val="21"/>
                      <w:highlight w:val="none"/>
                      <w:u w:val="single"/>
                      <w:lang w:val="en-US"/>
                    </w:rPr>
                  </w:pPr>
                  <w:r>
                    <w:rPr>
                      <w:rFonts w:hint="default" w:ascii="Times New Roman" w:hAnsi="Times New Roman" w:cs="Times New Roman"/>
                      <w:color w:val="auto"/>
                      <w:sz w:val="21"/>
                      <w:szCs w:val="21"/>
                      <w:highlight w:val="none"/>
                      <w:u w:val="single"/>
                      <w:lang w:val="en-US"/>
                    </w:rPr>
                    <w:t>0.020002</w:t>
                  </w:r>
                </w:p>
              </w:tc>
            </w:tr>
          </w:tbl>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因此本项目环境风险物质Q＜1，本项目环境风险潜势Ⅰ。</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（2）评价工作等级划分</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根据《建设项目环境风险评价技术导则》（HJ/T169-2018）中关于环境影响评价等级的规定，项目风险潜势为Ⅳ及以上，进行一级评价风险潜势为Ⅲ，进行二级评价；风险潜势为Ⅱ，进行三级评价；风险潜势为Ⅰ，可开展简单分析。应本项目环境风险潜势Ⅰ，固本项目环境风险评价仅需开展简单分析。</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（3）风险识别、风险事故影响分析</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A、废气事故排放环境风险分析</w:t>
            </w:r>
          </w:p>
          <w:p>
            <w:pPr>
              <w:pStyle w:val="59"/>
              <w:ind w:firstLine="420"/>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①风险源项的识别：项目有组织挥发性有机物经集气罩收集</w:t>
            </w:r>
            <w:r>
              <w:rPr>
                <w:rFonts w:hint="eastAsia" w:ascii="Times New Roman" w:hAnsi="Times New Roman" w:cs="Times New Roman"/>
                <w:color w:val="auto"/>
                <w:sz w:val="24"/>
                <w:szCs w:val="24"/>
                <w:highlight w:val="none"/>
                <w:u w:val="single"/>
                <w:lang w:val="en-US" w:eastAsia="zh-CN"/>
              </w:rPr>
              <w:t>+活性炭+20m(高于本栋四楼楼顶3m)排气筒</w:t>
            </w:r>
            <w:r>
              <w:rPr>
                <w:rFonts w:hint="default" w:ascii="Times New Roman" w:hAnsi="Times New Roman" w:cs="Times New Roman"/>
                <w:color w:val="auto"/>
                <w:sz w:val="24"/>
                <w:szCs w:val="24"/>
                <w:highlight w:val="none"/>
                <w:u w:val="single"/>
                <w:lang w:val="en-US"/>
              </w:rPr>
              <w:t>设备发生故障，导致VOCs废气事故排放。废气未经处理直接排放至大气会对大气环境造成污染。</w:t>
            </w:r>
          </w:p>
          <w:p>
            <w:pPr>
              <w:pStyle w:val="59"/>
              <w:ind w:firstLine="420"/>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②应急处理措施：当值班人员发现风机停转，废气无法排出后处理时时，应立即启动备用风机或者停止生产，通知车间启动应急处置程序，启动停产程序，在做好防护措施的前提下，及时对事故原因进行排查、抢修。</w:t>
            </w:r>
          </w:p>
          <w:p>
            <w:pPr>
              <w:pStyle w:val="59"/>
              <w:ind w:firstLine="420"/>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③风险防范措施：</w:t>
            </w:r>
          </w:p>
          <w:p>
            <w:pPr>
              <w:pStyle w:val="59"/>
              <w:autoSpaceDE/>
              <w:autoSpaceDN/>
              <w:ind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工程控制：规范操作，VOCs废气经集气罩收集</w:t>
            </w:r>
            <w:r>
              <w:rPr>
                <w:rFonts w:hint="eastAsia" w:ascii="Times New Roman" w:hAnsi="Times New Roman" w:cs="Times New Roman"/>
                <w:color w:val="auto"/>
                <w:sz w:val="24"/>
                <w:szCs w:val="24"/>
                <w:highlight w:val="none"/>
                <w:u w:val="single"/>
                <w:lang w:val="en-US" w:eastAsia="zh-CN"/>
              </w:rPr>
              <w:t>+活性炭吸附处理</w:t>
            </w:r>
            <w:r>
              <w:rPr>
                <w:rFonts w:hint="default" w:ascii="Times New Roman" w:hAnsi="Times New Roman" w:cs="Times New Roman"/>
                <w:color w:val="auto"/>
                <w:sz w:val="24"/>
                <w:szCs w:val="24"/>
                <w:highlight w:val="none"/>
                <w:u w:val="single"/>
                <w:lang w:val="en-US"/>
              </w:rPr>
              <w:t>达标后通过</w:t>
            </w:r>
            <w:r>
              <w:rPr>
                <w:rFonts w:hint="eastAsia" w:ascii="Times New Roman" w:hAnsi="Times New Roman" w:cs="Times New Roman"/>
                <w:color w:val="auto"/>
                <w:sz w:val="24"/>
                <w:szCs w:val="24"/>
                <w:highlight w:val="none"/>
                <w:u w:val="single"/>
                <w:lang w:val="en-US" w:eastAsia="zh-CN"/>
              </w:rPr>
              <w:t>20</w:t>
            </w:r>
            <w:r>
              <w:rPr>
                <w:rFonts w:hint="default" w:ascii="Times New Roman" w:hAnsi="Times New Roman" w:cs="Times New Roman"/>
                <w:color w:val="auto"/>
                <w:sz w:val="24"/>
                <w:szCs w:val="24"/>
                <w:highlight w:val="none"/>
                <w:u w:val="single"/>
                <w:lang w:val="en-US"/>
              </w:rPr>
              <w:t>m排气筒外排，注意定期对废气处理设施进行检查和设备维护，保证废气处理措施正常运转；</w:t>
            </w:r>
          </w:p>
          <w:p>
            <w:pPr>
              <w:pStyle w:val="59"/>
              <w:autoSpaceDE/>
              <w:autoSpaceDN/>
              <w:ind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制度控制：安排专人管理废气处理系统，同时建立废气处理台账管理；</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操作注意事项：操作人员必须经过专门培训，严格遵守操作规程。保证废气处理系统（集气罩收集+</w:t>
            </w:r>
            <w:r>
              <w:rPr>
                <w:rFonts w:hint="eastAsia" w:ascii="Times New Roman" w:hAnsi="Times New Roman" w:cs="Times New Roman"/>
                <w:color w:val="auto"/>
                <w:sz w:val="24"/>
                <w:szCs w:val="24"/>
                <w:highlight w:val="none"/>
                <w:u w:val="single"/>
                <w:lang w:val="en-US" w:eastAsia="zh-CN"/>
              </w:rPr>
              <w:t>活性炭吸附</w:t>
            </w:r>
            <w:r>
              <w:rPr>
                <w:rFonts w:hint="default" w:ascii="Times New Roman" w:hAnsi="Times New Roman" w:cs="Times New Roman"/>
                <w:color w:val="auto"/>
                <w:sz w:val="24"/>
                <w:szCs w:val="24"/>
                <w:highlight w:val="none"/>
                <w:u w:val="single"/>
                <w:lang w:val="en-US"/>
              </w:rPr>
              <w:t>）措施的处理效果。</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B、油漆泄漏引发的泄露事故分析</w:t>
            </w:r>
          </w:p>
          <w:p>
            <w:pPr>
              <w:pStyle w:val="59"/>
              <w:autoSpaceDE/>
              <w:autoSpaceDN/>
              <w:ind w:left="44" w:leftChars="20" w:right="44" w:rightChars="20" w:firstLine="420"/>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①风险源项的识别：项目油漆储存和使用不当引起的泄漏，泄漏使得其含有的特殊气味污染空气。</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②应急处理措施：当发生事故时，工作人员应立即停止工作，防止继续泄漏。工作人员应对泄漏区进行警戒，杜绝烟火，控制人员进出。迅速集中铁铲、吸油布等，配置到事故区域，随时消灭事故。</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③风险防范措施：</w:t>
            </w:r>
          </w:p>
          <w:p>
            <w:pPr>
              <w:pStyle w:val="59"/>
              <w:ind w:left="44" w:leftChars="20" w:right="44" w:rightChars="20" w:firstLine="420"/>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生产车间：加强容器、管道的安全监控，按规定进行定期检验；对车间内合理布局，严格地把生产区和储存区分开。</w:t>
            </w:r>
          </w:p>
          <w:p>
            <w:pPr>
              <w:pStyle w:val="59"/>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制度管理：组织厂内人员进行安全培训；给作业人员配备劳动防护用品并督促其正确佩戴使用；及时清理地面泄露的油漆，形成制度由专人负责实施；强化企业安全生产管理，建立完善的安全生产管理网络。</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C、润滑油泄漏引发的泄露事故分析</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①风险源项的识别：项目润滑油储存和使用不当引起的泄漏，泄漏使得其含有的特殊气味污染空气。</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②应急处理措施：当车间工作人员发现油类物质泄漏，应立即报告车间负责人并进行应急处理；当发生油类物质泄漏，利用托盘收集，托盘收集后直接倒入备用桶存放，可重新利用。</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③风险防范措施：</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在润滑油桶下面设置托盘，当发生油类物质泄漏，托盘收集后直接倒入备用桶重新利用。润滑油使用过程中发生滴漏应及时采用吸油抹布进行清理。</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6、环境风险预测评价小结</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none"/>
                <w:lang w:val="en-US"/>
              </w:rPr>
            </w:pPr>
            <w:r>
              <w:rPr>
                <w:rFonts w:hint="default" w:ascii="Times New Roman" w:hAnsi="Times New Roman" w:cs="Times New Roman"/>
                <w:color w:val="auto"/>
                <w:sz w:val="24"/>
                <w:szCs w:val="24"/>
                <w:highlight w:val="none"/>
                <w:u w:val="none"/>
                <w:lang w:val="en-US"/>
              </w:rPr>
              <w:t>本项目环境风险潜势为Ⅰ，工作等级为简单分析。项目的主要环境风险因素是项目环境风险主要为废气事故排放对大气环境的污染。建设单位应采用严格的安全防范体系，设立一套完整的管理规程、作业规章制度，加强应急演练，将环境风险降至最低；大气污染物防护措施下并不会造成严重环境影响，主要是对项目内部造成一定的经济、环境影响。综上所述，项目环境风险管理措施有效、可靠，风险处于可接受的水平。</w:t>
            </w:r>
          </w:p>
          <w:p>
            <w:pPr>
              <w:pStyle w:val="11"/>
              <w:jc w:val="center"/>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b/>
                <w:bCs/>
                <w:color w:val="auto"/>
                <w:sz w:val="24"/>
                <w:szCs w:val="24"/>
                <w:highlight w:val="none"/>
                <w:u w:val="none"/>
              </w:rPr>
              <w:t>表4-</w:t>
            </w:r>
            <w:r>
              <w:rPr>
                <w:rFonts w:hint="eastAsia" w:ascii="Times New Roman" w:hAnsi="Times New Roman" w:eastAsia="宋体" w:cs="Times New Roman"/>
                <w:b/>
                <w:bCs/>
                <w:color w:val="auto"/>
                <w:sz w:val="24"/>
                <w:szCs w:val="24"/>
                <w:highlight w:val="none"/>
                <w:u w:val="none"/>
                <w:lang w:val="en-US" w:eastAsia="zh-CN"/>
              </w:rPr>
              <w:t>10</w:t>
            </w:r>
            <w:r>
              <w:rPr>
                <w:rFonts w:hint="default" w:ascii="Times New Roman" w:hAnsi="Times New Roman" w:eastAsia="宋体" w:cs="Times New Roman"/>
                <w:b/>
                <w:bCs/>
                <w:color w:val="auto"/>
                <w:sz w:val="24"/>
                <w:szCs w:val="24"/>
                <w:highlight w:val="none"/>
                <w:u w:val="none"/>
              </w:rPr>
              <w:t>建设项目简单分析内容表</w:t>
            </w:r>
          </w:p>
          <w:tbl>
            <w:tblPr>
              <w:tblStyle w:val="25"/>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851"/>
              <w:gridCol w:w="2127"/>
              <w:gridCol w:w="1136"/>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建设项目名称</w:t>
                  </w:r>
                </w:p>
              </w:tc>
              <w:tc>
                <w:tcPr>
                  <w:tcW w:w="6508"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cs="Times New Roman"/>
                      <w:color w:val="auto"/>
                      <w:sz w:val="21"/>
                      <w:szCs w:val="21"/>
                      <w:highlight w:val="none"/>
                      <w:u w:val="none"/>
                      <w:lang w:eastAsia="zh-CN"/>
                    </w:rPr>
                    <w:t>湖南丰盛塑胶制品有限公司</w:t>
                  </w:r>
                  <w:r>
                    <w:rPr>
                      <w:rFonts w:hint="default" w:ascii="Times New Roman" w:hAnsi="Times New Roman" w:cs="Times New Roman"/>
                      <w:color w:val="auto"/>
                      <w:sz w:val="21"/>
                      <w:szCs w:val="21"/>
                      <w:highlight w:val="none"/>
                      <w:u w:val="none"/>
                      <w:lang w:val="en-US" w:eastAsia="zh-CN"/>
                    </w:rPr>
                    <w:t>湖南丰盛塑胶制品有限公司年产2000万件塑胶工艺品生产项目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9"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建设地点</w:t>
                  </w:r>
                </w:p>
              </w:tc>
              <w:tc>
                <w:tcPr>
                  <w:tcW w:w="851"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（湖南）省</w:t>
                  </w:r>
                </w:p>
              </w:tc>
              <w:tc>
                <w:tcPr>
                  <w:tcW w:w="2127"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w:t>
                  </w:r>
                  <w:r>
                    <w:rPr>
                      <w:rFonts w:hint="default" w:ascii="Times New Roman" w:hAnsi="Times New Roman" w:cs="Times New Roman"/>
                      <w:color w:val="auto"/>
                      <w:sz w:val="21"/>
                      <w:szCs w:val="21"/>
                      <w:highlight w:val="none"/>
                      <w:u w:val="none"/>
                      <w:lang w:eastAsia="zh-CN"/>
                    </w:rPr>
                    <w:t>永州</w:t>
                  </w:r>
                  <w:r>
                    <w:rPr>
                      <w:rFonts w:hint="default" w:ascii="Times New Roman" w:hAnsi="Times New Roman" w:cs="Times New Roman"/>
                      <w:color w:val="auto"/>
                      <w:sz w:val="21"/>
                      <w:szCs w:val="21"/>
                      <w:highlight w:val="none"/>
                      <w:u w:val="none"/>
                    </w:rPr>
                    <w:t>）市</w:t>
                  </w:r>
                </w:p>
              </w:tc>
              <w:tc>
                <w:tcPr>
                  <w:tcW w:w="1136" w:type="dxa"/>
                  <w:noWrap w:val="0"/>
                  <w:vAlign w:val="center"/>
                </w:tcPr>
                <w:p>
                  <w:pPr>
                    <w:adjustRightInd w:val="0"/>
                    <w:snapToGrid w:val="0"/>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rPr>
                    <w:t>（</w:t>
                  </w:r>
                  <w:r>
                    <w:rPr>
                      <w:rFonts w:hint="eastAsia" w:ascii="Times New Roman" w:hAnsi="Times New Roman" w:cs="Times New Roman"/>
                      <w:color w:val="auto"/>
                      <w:sz w:val="21"/>
                      <w:szCs w:val="21"/>
                      <w:highlight w:val="none"/>
                      <w:u w:val="none"/>
                      <w:lang w:val="en-US" w:eastAsia="zh-CN"/>
                    </w:rPr>
                    <w:t>双牌</w:t>
                  </w:r>
                  <w:r>
                    <w:rPr>
                      <w:rFonts w:hint="default" w:ascii="Times New Roman" w:hAnsi="Times New Roman" w:cs="Times New Roman"/>
                      <w:color w:val="auto"/>
                      <w:sz w:val="21"/>
                      <w:szCs w:val="21"/>
                      <w:highlight w:val="none"/>
                      <w:u w:val="none"/>
                      <w:lang w:val="en-US"/>
                    </w:rPr>
                    <w:t>）区/县</w:t>
                  </w:r>
                </w:p>
              </w:tc>
              <w:tc>
                <w:tcPr>
                  <w:tcW w:w="2394" w:type="dxa"/>
                  <w:noWrap w:val="0"/>
                  <w:vAlign w:val="center"/>
                </w:tcPr>
                <w:p>
                  <w:pPr>
                    <w:adjustRightInd w:val="0"/>
                    <w:snapToGrid w:val="0"/>
                    <w:jc w:val="center"/>
                    <w:rPr>
                      <w:rFonts w:hint="default" w:ascii="Times New Roman" w:hAnsi="Times New Roman" w:cs="Times New Roman"/>
                      <w:color w:val="auto"/>
                      <w:sz w:val="21"/>
                      <w:szCs w:val="21"/>
                      <w:highlight w:val="none"/>
                      <w:u w:val="none"/>
                      <w:lang w:val="en-US"/>
                    </w:rPr>
                  </w:pPr>
                  <w:r>
                    <w:rPr>
                      <w:rFonts w:hint="default" w:ascii="Times New Roman" w:hAnsi="Times New Roman" w:cs="Times New Roman"/>
                      <w:color w:val="auto"/>
                      <w:sz w:val="21"/>
                      <w:szCs w:val="21"/>
                      <w:highlight w:val="none"/>
                      <w:u w:val="none"/>
                      <w:lang w:val="en-US" w:eastAsia="zh-CN"/>
                    </w:rPr>
                    <w:t>双牌工业集中区创新创业园6栋（1-4层）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地理坐标</w:t>
                  </w:r>
                </w:p>
              </w:tc>
              <w:tc>
                <w:tcPr>
                  <w:tcW w:w="851"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经度</w:t>
                  </w:r>
                </w:p>
              </w:tc>
              <w:tc>
                <w:tcPr>
                  <w:tcW w:w="2127" w:type="dxa"/>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cs="Times New Roman"/>
                      <w:color w:val="auto"/>
                      <w:sz w:val="21"/>
                      <w:szCs w:val="21"/>
                      <w:highlight w:val="none"/>
                      <w:u w:val="none"/>
                      <w:lang w:eastAsia="zh-CN"/>
                    </w:rPr>
                    <w:t>111.6601</w:t>
                  </w:r>
                </w:p>
              </w:tc>
              <w:tc>
                <w:tcPr>
                  <w:tcW w:w="1136"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纬度</w:t>
                  </w:r>
                </w:p>
              </w:tc>
              <w:tc>
                <w:tcPr>
                  <w:tcW w:w="2394" w:type="dxa"/>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cs="Times New Roman"/>
                      <w:color w:val="auto"/>
                      <w:sz w:val="21"/>
                      <w:szCs w:val="21"/>
                      <w:highlight w:val="none"/>
                      <w:u w:val="none"/>
                      <w:lang w:eastAsia="zh-CN"/>
                    </w:rPr>
                    <w:t>26.0317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主要危险物质及分布</w:t>
                  </w:r>
                </w:p>
              </w:tc>
              <w:tc>
                <w:tcPr>
                  <w:tcW w:w="6508" w:type="dxa"/>
                  <w:gridSpan w:val="4"/>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原料区：油漆、润滑油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环境影响途径及危害后果</w:t>
                  </w:r>
                </w:p>
              </w:tc>
              <w:tc>
                <w:tcPr>
                  <w:tcW w:w="6508" w:type="dxa"/>
                  <w:gridSpan w:val="4"/>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lang w:val="en-US"/>
                    </w:rPr>
                    <w:t>废气事故排放</w:t>
                  </w:r>
                  <w:r>
                    <w:rPr>
                      <w:rFonts w:hint="default" w:ascii="Times New Roman" w:hAnsi="Times New Roman" w:cs="Times New Roman"/>
                      <w:color w:val="auto"/>
                      <w:sz w:val="21"/>
                      <w:szCs w:val="21"/>
                      <w:highlight w:val="none"/>
                      <w:u w:val="none"/>
                    </w:rPr>
                    <w:t>污染环境空气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389" w:type="dxa"/>
                  <w:noWrap w:val="0"/>
                  <w:vAlign w:val="center"/>
                </w:tcPr>
                <w:p>
                  <w:pPr>
                    <w:adjustRightInd w:val="0"/>
                    <w:snapToGrid w:val="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风险防范措施要求</w:t>
                  </w:r>
                </w:p>
              </w:tc>
              <w:tc>
                <w:tcPr>
                  <w:tcW w:w="6508" w:type="dxa"/>
                  <w:gridSpan w:val="4"/>
                  <w:noWrap w:val="0"/>
                  <w:vAlign w:val="center"/>
                </w:tcPr>
                <w:p>
                  <w:pPr>
                    <w:adjustRightInd w:val="0"/>
                    <w:snapToGrid w:val="0"/>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加强环保设备的维修、保养，按规定进行定期检验；配备备用风机、环保物资</w:t>
                  </w:r>
                  <w:r>
                    <w:rPr>
                      <w:rFonts w:hint="eastAsia" w:ascii="Times New Roman" w:hAnsi="Times New Roman" w:cs="Times New Roman"/>
                      <w:color w:val="auto"/>
                      <w:sz w:val="21"/>
                      <w:szCs w:val="21"/>
                      <w:highlight w:val="none"/>
                      <w:u w:val="none"/>
                      <w:lang w:val="en-US" w:eastAsia="zh-CN"/>
                    </w:rPr>
                    <w:t>；编制突发环境事件应急预案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7" w:type="dxa"/>
                  <w:gridSpan w:val="5"/>
                  <w:noWrap w:val="0"/>
                  <w:vAlign w:val="center"/>
                </w:tcPr>
                <w:p>
                  <w:pPr>
                    <w:adjustRightInd w:val="0"/>
                    <w:snapToGrid w:val="0"/>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填表说明（列出项目相关信息及评价说明）：</w:t>
                  </w:r>
                </w:p>
                <w:p>
                  <w:pPr>
                    <w:adjustRightInd w:val="0"/>
                    <w:snapToGrid w:val="0"/>
                    <w:ind w:firstLine="420" w:firstLineChars="200"/>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本项目Q=</w:t>
                  </w:r>
                  <w:r>
                    <w:rPr>
                      <w:rFonts w:hint="default" w:ascii="Times New Roman" w:hAnsi="Times New Roman" w:cs="Times New Roman"/>
                      <w:color w:val="auto"/>
                      <w:sz w:val="21"/>
                      <w:szCs w:val="21"/>
                      <w:highlight w:val="none"/>
                      <w:u w:val="none"/>
                      <w:lang w:val="en-US"/>
                    </w:rPr>
                    <w:t>0.020002</w:t>
                  </w:r>
                  <w:r>
                    <w:rPr>
                      <w:rFonts w:hint="default" w:ascii="Times New Roman" w:hAnsi="Times New Roman" w:cs="Times New Roman"/>
                      <w:color w:val="auto"/>
                      <w:sz w:val="21"/>
                      <w:szCs w:val="21"/>
                      <w:highlight w:val="none"/>
                      <w:u w:val="none"/>
                    </w:rPr>
                    <w:t>＜1，因此该项目环境风险潜势为Ⅰ，根据《建设项目环境风险评价技术导则》（HJ169-2018）中的有关规定，确定本项目风险评价工作等级为简单分析。</w:t>
                  </w:r>
                </w:p>
              </w:tc>
            </w:tr>
          </w:tbl>
          <w:p>
            <w:pPr>
              <w:pStyle w:val="51"/>
              <w:rPr>
                <w:rFonts w:hint="default" w:ascii="Times New Roman" w:hAnsi="Times New Roman" w:cs="Times New Roman"/>
                <w:color w:val="auto"/>
                <w:sz w:val="21"/>
                <w:szCs w:val="21"/>
                <w:highlight w:val="none"/>
                <w:u w:val="none"/>
              </w:rPr>
            </w:pPr>
          </w:p>
          <w:p>
            <w:pPr>
              <w:pStyle w:val="59"/>
              <w:autoSpaceDE/>
              <w:autoSpaceDN/>
              <w:ind w:left="44" w:leftChars="20" w:right="44" w:rightChars="20" w:firstLine="422"/>
              <w:jc w:val="both"/>
              <w:rPr>
                <w:rFonts w:hint="default" w:ascii="Times New Roman" w:hAnsi="Times New Roman" w:cs="Times New Roman"/>
                <w:b/>
                <w:color w:val="auto"/>
                <w:sz w:val="24"/>
                <w:szCs w:val="24"/>
                <w:highlight w:val="none"/>
                <w:u w:val="none"/>
                <w:lang w:val="en-US"/>
              </w:rPr>
            </w:pPr>
            <w:r>
              <w:rPr>
                <w:rFonts w:hint="default" w:ascii="Times New Roman" w:hAnsi="Times New Roman" w:cs="Times New Roman"/>
                <w:b/>
                <w:color w:val="auto"/>
                <w:sz w:val="24"/>
                <w:szCs w:val="24"/>
                <w:highlight w:val="none"/>
                <w:u w:val="none"/>
                <w:lang w:val="en-US"/>
              </w:rPr>
              <w:t>8、环保投资估算</w:t>
            </w:r>
          </w:p>
          <w:p>
            <w:pPr>
              <w:pStyle w:val="59"/>
              <w:autoSpaceDE/>
              <w:autoSpaceDN/>
              <w:ind w:left="44" w:leftChars="20" w:right="44" w:rightChars="20" w:firstLine="420"/>
              <w:jc w:val="both"/>
              <w:rPr>
                <w:rFonts w:hint="default" w:ascii="Times New Roman" w:hAnsi="Times New Roman" w:cs="Times New Roman"/>
                <w:color w:val="auto"/>
                <w:sz w:val="24"/>
                <w:szCs w:val="24"/>
                <w:highlight w:val="none"/>
                <w:u w:val="single"/>
                <w:lang w:val="en-US"/>
              </w:rPr>
            </w:pPr>
            <w:r>
              <w:rPr>
                <w:rFonts w:hint="default" w:ascii="Times New Roman" w:hAnsi="Times New Roman" w:cs="Times New Roman"/>
                <w:color w:val="auto"/>
                <w:sz w:val="24"/>
                <w:szCs w:val="24"/>
                <w:highlight w:val="none"/>
                <w:u w:val="single"/>
                <w:lang w:val="en-US"/>
              </w:rPr>
              <w:t>该工程投资估算为</w:t>
            </w:r>
            <w:r>
              <w:rPr>
                <w:rFonts w:hint="default" w:ascii="Times New Roman" w:hAnsi="Times New Roman" w:cs="Times New Roman"/>
                <w:color w:val="auto"/>
                <w:sz w:val="24"/>
                <w:szCs w:val="24"/>
                <w:highlight w:val="none"/>
                <w:u w:val="single"/>
                <w:lang w:val="en-US" w:eastAsia="zh-CN"/>
              </w:rPr>
              <w:t>2000</w:t>
            </w:r>
            <w:r>
              <w:rPr>
                <w:rFonts w:hint="default" w:ascii="Times New Roman" w:hAnsi="Times New Roman" w:cs="Times New Roman"/>
                <w:color w:val="auto"/>
                <w:sz w:val="24"/>
                <w:szCs w:val="24"/>
                <w:highlight w:val="none"/>
                <w:u w:val="single"/>
                <w:lang w:val="en-US"/>
              </w:rPr>
              <w:t>万元，其中环保投资</w:t>
            </w:r>
            <w:r>
              <w:rPr>
                <w:rFonts w:hint="default" w:ascii="Times New Roman" w:hAnsi="Times New Roman" w:cs="Times New Roman"/>
                <w:color w:val="auto"/>
                <w:sz w:val="24"/>
                <w:szCs w:val="24"/>
                <w:highlight w:val="none"/>
                <w:u w:val="single"/>
                <w:lang w:val="en-US" w:eastAsia="zh-CN"/>
              </w:rPr>
              <w:t>3</w:t>
            </w:r>
            <w:r>
              <w:rPr>
                <w:rFonts w:hint="eastAsia" w:ascii="Times New Roman" w:hAnsi="Times New Roman" w:cs="Times New Roman"/>
                <w:color w:val="auto"/>
                <w:sz w:val="24"/>
                <w:szCs w:val="24"/>
                <w:highlight w:val="none"/>
                <w:u w:val="single"/>
                <w:lang w:val="en-US" w:eastAsia="zh-CN"/>
              </w:rPr>
              <w:t>6</w:t>
            </w:r>
            <w:r>
              <w:rPr>
                <w:rFonts w:hint="default" w:ascii="Times New Roman" w:hAnsi="Times New Roman" w:cs="Times New Roman"/>
                <w:color w:val="auto"/>
                <w:sz w:val="24"/>
                <w:szCs w:val="24"/>
                <w:highlight w:val="none"/>
                <w:u w:val="single"/>
                <w:lang w:val="en-US"/>
              </w:rPr>
              <w:t>万元，占工程总投资的</w:t>
            </w:r>
            <w:r>
              <w:rPr>
                <w:rFonts w:hint="eastAsia" w:ascii="Times New Roman" w:hAnsi="Times New Roman" w:cs="Times New Roman"/>
                <w:color w:val="auto"/>
                <w:sz w:val="24"/>
                <w:szCs w:val="24"/>
                <w:highlight w:val="none"/>
                <w:u w:val="single"/>
                <w:lang w:val="en-US" w:eastAsia="zh-CN"/>
              </w:rPr>
              <w:t>1.8</w:t>
            </w:r>
            <w:r>
              <w:rPr>
                <w:rFonts w:hint="default" w:ascii="Times New Roman" w:hAnsi="Times New Roman" w:cs="Times New Roman"/>
                <w:color w:val="auto"/>
                <w:sz w:val="24"/>
                <w:szCs w:val="24"/>
                <w:highlight w:val="none"/>
                <w:u w:val="single"/>
                <w:lang w:val="en-US"/>
              </w:rPr>
              <w:t>%，环保建设内容如表4-</w:t>
            </w:r>
            <w:r>
              <w:rPr>
                <w:rFonts w:hint="eastAsia" w:ascii="Times New Roman" w:hAnsi="Times New Roman" w:cs="Times New Roman"/>
                <w:color w:val="auto"/>
                <w:sz w:val="24"/>
                <w:szCs w:val="24"/>
                <w:highlight w:val="none"/>
                <w:u w:val="single"/>
                <w:lang w:val="en-US" w:eastAsia="zh-CN"/>
              </w:rPr>
              <w:t>11</w:t>
            </w:r>
            <w:r>
              <w:rPr>
                <w:rFonts w:hint="default" w:ascii="Times New Roman" w:hAnsi="Times New Roman" w:cs="Times New Roman"/>
                <w:color w:val="auto"/>
                <w:sz w:val="24"/>
                <w:szCs w:val="24"/>
                <w:highlight w:val="none"/>
                <w:u w:val="single"/>
                <w:lang w:val="en-US"/>
              </w:rPr>
              <w:t>所示。</w:t>
            </w:r>
          </w:p>
          <w:p>
            <w:pPr>
              <w:adjustRightInd w:val="0"/>
              <w:snapToGrid w:val="0"/>
              <w:ind w:firstLine="482"/>
              <w:jc w:val="center"/>
              <w:rPr>
                <w:rFonts w:hint="default"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u w:val="single"/>
              </w:rPr>
              <w:t>表4-</w:t>
            </w:r>
            <w:r>
              <w:rPr>
                <w:rFonts w:hint="eastAsia" w:ascii="Times New Roman" w:hAnsi="Times New Roman" w:cs="Times New Roman"/>
                <w:b/>
                <w:color w:val="auto"/>
                <w:sz w:val="24"/>
                <w:szCs w:val="24"/>
                <w:highlight w:val="none"/>
                <w:u w:val="single"/>
                <w:lang w:val="en-US" w:eastAsia="zh-CN"/>
              </w:rPr>
              <w:t>11</w:t>
            </w:r>
            <w:r>
              <w:rPr>
                <w:rFonts w:hint="default" w:ascii="Times New Roman" w:hAnsi="Times New Roman" w:cs="Times New Roman"/>
                <w:b/>
                <w:color w:val="auto"/>
                <w:sz w:val="24"/>
                <w:szCs w:val="24"/>
                <w:highlight w:val="none"/>
                <w:u w:val="single"/>
              </w:rPr>
              <w:t>项目环保投资估算表</w:t>
            </w:r>
          </w:p>
          <w:tbl>
            <w:tblPr>
              <w:tblStyle w:val="25"/>
              <w:tblW w:w="80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3"/>
              <w:gridCol w:w="2188"/>
              <w:gridCol w:w="3767"/>
              <w:gridCol w:w="9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3" w:type="dxa"/>
                  <w:noWrap w:val="0"/>
                  <w:vAlign w:val="center"/>
                </w:tcPr>
                <w:p>
                  <w:pPr>
                    <w:pStyle w:val="15"/>
                    <w:adjustRightInd w:val="0"/>
                    <w:snapToGrid w:val="0"/>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类别</w:t>
                  </w:r>
                </w:p>
              </w:tc>
              <w:tc>
                <w:tcPr>
                  <w:tcW w:w="2188" w:type="dxa"/>
                  <w:noWrap w:val="0"/>
                  <w:vAlign w:val="center"/>
                </w:tcPr>
                <w:p>
                  <w:pPr>
                    <w:pStyle w:val="15"/>
                    <w:adjustRightInd w:val="0"/>
                    <w:snapToGrid w:val="0"/>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污染物</w:t>
                  </w:r>
                </w:p>
              </w:tc>
              <w:tc>
                <w:tcPr>
                  <w:tcW w:w="3767" w:type="dxa"/>
                  <w:noWrap w:val="0"/>
                  <w:vAlign w:val="center"/>
                </w:tcPr>
                <w:p>
                  <w:pPr>
                    <w:pStyle w:val="15"/>
                    <w:adjustRightInd w:val="0"/>
                    <w:snapToGrid w:val="0"/>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环保措施</w:t>
                  </w:r>
                </w:p>
              </w:tc>
              <w:tc>
                <w:tcPr>
                  <w:tcW w:w="936" w:type="dxa"/>
                  <w:noWrap w:val="0"/>
                  <w:vAlign w:val="center"/>
                </w:tcPr>
                <w:p>
                  <w:pPr>
                    <w:pStyle w:val="15"/>
                    <w:adjustRightInd w:val="0"/>
                    <w:snapToGrid w:val="0"/>
                    <w:jc w:val="center"/>
                    <w:rPr>
                      <w:rFonts w:hint="default" w:ascii="Times New Roman" w:hAnsi="Times New Roman" w:eastAsia="宋体" w:cs="Times New Roman"/>
                      <w:color w:val="auto"/>
                      <w:highlight w:val="none"/>
                      <w:u w:val="single"/>
                      <w:lang w:eastAsia="zh-CN"/>
                    </w:rPr>
                  </w:pPr>
                  <w:r>
                    <w:rPr>
                      <w:rFonts w:hint="default" w:ascii="Times New Roman" w:hAnsi="Times New Roman" w:cs="Times New Roman"/>
                      <w:color w:val="auto"/>
                      <w:highlight w:val="none"/>
                      <w:u w:val="single"/>
                    </w:rPr>
                    <w:t>投资</w:t>
                  </w:r>
                  <w:r>
                    <w:rPr>
                      <w:rFonts w:hint="default" w:ascii="Times New Roman" w:hAnsi="Times New Roman" w:cs="Times New Roman"/>
                      <w:color w:val="auto"/>
                      <w:highlight w:val="none"/>
                      <w:u w:val="single"/>
                      <w:lang w:eastAsia="zh-CN"/>
                    </w:rPr>
                    <w:t>（万）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3" w:type="dxa"/>
                  <w:vMerge w:val="restart"/>
                  <w:noWrap w:val="0"/>
                  <w:vAlign w:val="center"/>
                </w:tcPr>
                <w:p>
                  <w:pPr>
                    <w:pStyle w:val="18"/>
                    <w:adjustRightIn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固体废物</w:t>
                  </w:r>
                </w:p>
              </w:tc>
              <w:tc>
                <w:tcPr>
                  <w:tcW w:w="2188" w:type="dxa"/>
                  <w:noWrap w:val="0"/>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生活垃圾</w:t>
                  </w:r>
                </w:p>
              </w:tc>
              <w:tc>
                <w:tcPr>
                  <w:tcW w:w="3767" w:type="dxa"/>
                  <w:noWrap w:val="0"/>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固体废物临时贮存、处置设施</w:t>
                  </w:r>
                </w:p>
              </w:tc>
              <w:tc>
                <w:tcPr>
                  <w:tcW w:w="936" w:type="dxa"/>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u w:val="single"/>
                      <w:lang w:eastAsia="zh-CN"/>
                    </w:rPr>
                  </w:pPr>
                  <w:r>
                    <w:rPr>
                      <w:rFonts w:hint="eastAsia" w:ascii="Times New Roman" w:hAnsi="Times New Roman" w:cs="Times New Roman"/>
                      <w:color w:val="auto"/>
                      <w:sz w:val="21"/>
                      <w:szCs w:val="21"/>
                      <w:highlight w:val="none"/>
                      <w:u w:val="singl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3" w:type="dxa"/>
                  <w:vMerge w:val="continue"/>
                  <w:noWrap w:val="0"/>
                  <w:vAlign w:val="center"/>
                </w:tcPr>
                <w:p>
                  <w:pPr>
                    <w:pStyle w:val="18"/>
                    <w:adjustRightInd w:val="0"/>
                    <w:jc w:val="center"/>
                    <w:rPr>
                      <w:rFonts w:hint="default" w:ascii="Times New Roman" w:hAnsi="Times New Roman" w:cs="Times New Roman"/>
                      <w:color w:val="auto"/>
                      <w:sz w:val="21"/>
                      <w:szCs w:val="21"/>
                      <w:highlight w:val="none"/>
                      <w:u w:val="single"/>
                    </w:rPr>
                  </w:pPr>
                </w:p>
              </w:tc>
              <w:tc>
                <w:tcPr>
                  <w:tcW w:w="2188" w:type="dxa"/>
                  <w:noWrap w:val="0"/>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危险废物</w:t>
                  </w:r>
                </w:p>
              </w:tc>
              <w:tc>
                <w:tcPr>
                  <w:tcW w:w="3767" w:type="dxa"/>
                  <w:noWrap w:val="0"/>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bCs/>
                      <w:color w:val="auto"/>
                      <w:sz w:val="21"/>
                      <w:szCs w:val="21"/>
                      <w:highlight w:val="none"/>
                      <w:u w:val="single"/>
                    </w:rPr>
                    <w:t>收集桶、收集容器、危废处理</w:t>
                  </w:r>
                </w:p>
              </w:tc>
              <w:tc>
                <w:tcPr>
                  <w:tcW w:w="936" w:type="dxa"/>
                  <w:vMerge w:val="continue"/>
                  <w:noWrap w:val="0"/>
                  <w:vAlign w:val="center"/>
                </w:tcPr>
                <w:p>
                  <w:pPr>
                    <w:adjustRightInd w:val="0"/>
                    <w:snapToGrid w:val="0"/>
                    <w:jc w:val="center"/>
                    <w:rPr>
                      <w:rFonts w:hint="default" w:ascii="Times New Roman" w:hAnsi="Times New Roman" w:cs="Times New Roman"/>
                      <w:color w:val="auto"/>
                      <w:sz w:val="21"/>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jc w:val="center"/>
              </w:trPr>
              <w:tc>
                <w:tcPr>
                  <w:tcW w:w="1113" w:type="dxa"/>
                  <w:noWrap w:val="0"/>
                  <w:vAlign w:val="center"/>
                </w:tcPr>
                <w:p>
                  <w:pPr>
                    <w:pStyle w:val="18"/>
                    <w:adjustRightIn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废气</w:t>
                  </w:r>
                </w:p>
              </w:tc>
              <w:tc>
                <w:tcPr>
                  <w:tcW w:w="2188" w:type="dxa"/>
                  <w:noWrap w:val="0"/>
                  <w:vAlign w:val="center"/>
                </w:tcPr>
                <w:p>
                  <w:pPr>
                    <w:adjustRightInd w:val="0"/>
                    <w:snapToGrid w:val="0"/>
                    <w:jc w:val="center"/>
                    <w:rPr>
                      <w:rFonts w:hint="default" w:ascii="Times New Roman" w:hAnsi="Times New Roman" w:cs="Times New Roman"/>
                      <w:color w:val="auto"/>
                      <w:sz w:val="21"/>
                      <w:szCs w:val="21"/>
                      <w:highlight w:val="none"/>
                      <w:u w:val="single"/>
                    </w:rPr>
                  </w:pPr>
                  <w:ins w:id="17" w:author="呼呼" w:date="2023-01-18T10:37:55Z">
                    <w:r>
                      <w:rPr>
                        <w:rFonts w:hint="eastAsia" w:ascii="Times New Roman" w:hAnsi="Times New Roman" w:cs="Times New Roman"/>
                        <w:color w:val="auto"/>
                        <w:sz w:val="21"/>
                        <w:szCs w:val="21"/>
                        <w:highlight w:val="none"/>
                        <w:u w:val="single"/>
                        <w:lang w:val="en-US" w:eastAsia="zh-CN"/>
                      </w:rPr>
                      <w:t>染色、喷漆</w:t>
                    </w:r>
                  </w:ins>
                  <w:r>
                    <w:rPr>
                      <w:rFonts w:hint="default" w:ascii="Times New Roman" w:hAnsi="Times New Roman" w:cs="Times New Roman"/>
                      <w:color w:val="auto"/>
                      <w:sz w:val="21"/>
                      <w:szCs w:val="21"/>
                      <w:highlight w:val="none"/>
                      <w:u w:val="single"/>
                      <w:lang w:val="en-US"/>
                    </w:rPr>
                    <w:t>、移印</w:t>
                  </w:r>
                  <w:r>
                    <w:rPr>
                      <w:rFonts w:hint="eastAsia" w:ascii="Times New Roman" w:hAnsi="Times New Roman" w:cs="Times New Roman"/>
                      <w:color w:val="auto"/>
                      <w:sz w:val="21"/>
                      <w:szCs w:val="21"/>
                      <w:highlight w:val="none"/>
                      <w:u w:val="single"/>
                      <w:lang w:val="en-US" w:eastAsia="zh-CN"/>
                    </w:rPr>
                    <w:t>、注塑</w:t>
                  </w:r>
                  <w:r>
                    <w:rPr>
                      <w:rFonts w:hint="default" w:ascii="Times New Roman" w:hAnsi="Times New Roman" w:cs="Times New Roman"/>
                      <w:color w:val="auto"/>
                      <w:sz w:val="21"/>
                      <w:szCs w:val="21"/>
                      <w:highlight w:val="none"/>
                      <w:u w:val="single"/>
                      <w:lang w:val="en-US"/>
                    </w:rPr>
                    <w:t>工序</w:t>
                  </w:r>
                </w:p>
              </w:tc>
              <w:tc>
                <w:tcPr>
                  <w:tcW w:w="3767" w:type="dxa"/>
                  <w:noWrap w:val="0"/>
                  <w:vAlign w:val="center"/>
                </w:tcPr>
                <w:p>
                  <w:pPr>
                    <w:snapToGrid w:val="0"/>
                    <w:spacing w:line="240" w:lineRule="atLeast"/>
                    <w:jc w:val="center"/>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u w:val="single"/>
                      <w:lang w:val="en-US"/>
                    </w:rPr>
                    <w:t>“</w:t>
                  </w:r>
                  <w:r>
                    <w:rPr>
                      <w:rFonts w:hint="eastAsia" w:ascii="Times New Roman" w:hAnsi="Times New Roman" w:cs="Times New Roman"/>
                      <w:color w:val="auto"/>
                      <w:sz w:val="21"/>
                      <w:szCs w:val="21"/>
                      <w:highlight w:val="none"/>
                      <w:u w:val="single"/>
                      <w:lang w:val="en-US" w:eastAsia="zh-CN"/>
                    </w:rPr>
                    <w:t>集气罩+活性炭吸附装置</w:t>
                  </w:r>
                  <w:r>
                    <w:rPr>
                      <w:rFonts w:hint="default" w:ascii="Times New Roman" w:hAnsi="Times New Roman" w:cs="Times New Roman"/>
                      <w:color w:val="auto"/>
                      <w:sz w:val="21"/>
                      <w:szCs w:val="21"/>
                      <w:highlight w:val="none"/>
                      <w:u w:val="single"/>
                      <w:lang w:val="en-US"/>
                    </w:rPr>
                    <w:t>”+</w:t>
                  </w:r>
                  <w:r>
                    <w:rPr>
                      <w:rFonts w:hint="eastAsia" w:ascii="Times New Roman" w:hAnsi="Times New Roman" w:cs="Times New Roman"/>
                      <w:color w:val="auto"/>
                      <w:sz w:val="21"/>
                      <w:szCs w:val="21"/>
                      <w:highlight w:val="none"/>
                      <w:u w:val="single"/>
                      <w:lang w:val="en-US" w:eastAsia="zh-CN"/>
                    </w:rPr>
                    <w:t>20m排气</w:t>
                  </w:r>
                  <w:r>
                    <w:rPr>
                      <w:rFonts w:hint="default" w:ascii="Times New Roman" w:hAnsi="Times New Roman" w:cs="Times New Roman"/>
                      <w:color w:val="auto"/>
                      <w:sz w:val="21"/>
                      <w:szCs w:val="21"/>
                      <w:highlight w:val="none"/>
                      <w:u w:val="single"/>
                      <w:lang w:val="en-US"/>
                    </w:rPr>
                    <w:t>筒</w:t>
                  </w:r>
                </w:p>
              </w:tc>
              <w:tc>
                <w:tcPr>
                  <w:tcW w:w="936" w:type="dxa"/>
                  <w:noWrap w:val="0"/>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3" w:type="dxa"/>
                  <w:noWrap w:val="0"/>
                  <w:vAlign w:val="center"/>
                </w:tcPr>
                <w:p>
                  <w:pPr>
                    <w:pStyle w:val="18"/>
                    <w:adjustRightIn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废水</w:t>
                  </w:r>
                </w:p>
              </w:tc>
              <w:tc>
                <w:tcPr>
                  <w:tcW w:w="2188" w:type="dxa"/>
                  <w:noWrap w:val="0"/>
                  <w:vAlign w:val="center"/>
                </w:tcPr>
                <w:p>
                  <w:pPr>
                    <w:spacing w:line="240" w:lineRule="atLeast"/>
                    <w:jc w:val="center"/>
                    <w:rPr>
                      <w:rFonts w:hint="default" w:ascii="Times New Roman" w:hAnsi="Times New Roman" w:cs="Times New Roman"/>
                      <w:color w:val="auto"/>
                      <w:sz w:val="21"/>
                      <w:szCs w:val="21"/>
                      <w:highlight w:val="none"/>
                      <w:u w:val="single"/>
                      <w:lang w:val="de-DE"/>
                    </w:rPr>
                  </w:pPr>
                  <w:r>
                    <w:rPr>
                      <w:rFonts w:hint="default" w:ascii="Times New Roman" w:hAnsi="Times New Roman" w:cs="Times New Roman"/>
                      <w:color w:val="auto"/>
                      <w:sz w:val="21"/>
                      <w:szCs w:val="21"/>
                      <w:highlight w:val="none"/>
                      <w:u w:val="single"/>
                      <w:lang w:val="en-US"/>
                    </w:rPr>
                    <w:t>办公生活废水</w:t>
                  </w:r>
                </w:p>
              </w:tc>
              <w:tc>
                <w:tcPr>
                  <w:tcW w:w="3767" w:type="dxa"/>
                  <w:noWrap w:val="0"/>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bCs/>
                      <w:color w:val="auto"/>
                      <w:sz w:val="21"/>
                      <w:szCs w:val="21"/>
                      <w:highlight w:val="none"/>
                      <w:u w:val="single"/>
                      <w:lang w:val="en-US"/>
                    </w:rPr>
                    <w:t>化粪池</w:t>
                  </w:r>
                </w:p>
              </w:tc>
              <w:tc>
                <w:tcPr>
                  <w:tcW w:w="936" w:type="dxa"/>
                  <w:noWrap w:val="0"/>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依托现有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3" w:type="dxa"/>
                  <w:noWrap w:val="0"/>
                  <w:vAlign w:val="center"/>
                </w:tcPr>
                <w:p>
                  <w:pPr>
                    <w:pStyle w:val="18"/>
                    <w:adjustRightIn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噪声</w:t>
                  </w:r>
                </w:p>
              </w:tc>
              <w:tc>
                <w:tcPr>
                  <w:tcW w:w="2188" w:type="dxa"/>
                  <w:noWrap w:val="0"/>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机械噪声</w:t>
                  </w:r>
                </w:p>
              </w:tc>
              <w:tc>
                <w:tcPr>
                  <w:tcW w:w="3767" w:type="dxa"/>
                  <w:noWrap w:val="0"/>
                  <w:vAlign w:val="center"/>
                </w:tcPr>
                <w:p>
                  <w:pPr>
                    <w:adjustRightInd w:val="0"/>
                    <w:snapToGrid w:val="0"/>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设备减振、隔声，封闭车间</w:t>
                  </w:r>
                </w:p>
              </w:tc>
              <w:tc>
                <w:tcPr>
                  <w:tcW w:w="936" w:type="dxa"/>
                  <w:noWrap w:val="0"/>
                  <w:vAlign w:val="center"/>
                </w:tcPr>
                <w:p>
                  <w:pPr>
                    <w:adjustRightInd w:val="0"/>
                    <w:snapToGrid w:val="0"/>
                    <w:jc w:val="center"/>
                    <w:rPr>
                      <w:rFonts w:hint="default" w:ascii="Times New Roman" w:hAnsi="Times New Roman" w:eastAsia="宋体" w:cs="Times New Roman"/>
                      <w:color w:val="auto"/>
                      <w:sz w:val="21"/>
                      <w:szCs w:val="21"/>
                      <w:highlight w:val="none"/>
                      <w:u w:val="single"/>
                      <w:lang w:eastAsia="zh-CN"/>
                    </w:rPr>
                  </w:pPr>
                  <w:r>
                    <w:rPr>
                      <w:rFonts w:hint="eastAsia" w:ascii="Times New Roman" w:hAnsi="Times New Roman" w:cs="Times New Roman"/>
                      <w:color w:val="auto"/>
                      <w:sz w:val="21"/>
                      <w:szCs w:val="21"/>
                      <w:highlight w:val="none"/>
                      <w:u w:val="singl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3" w:type="dxa"/>
                  <w:noWrap w:val="0"/>
                  <w:vAlign w:val="center"/>
                </w:tcPr>
                <w:p>
                  <w:pPr>
                    <w:pStyle w:val="18"/>
                    <w:adjustRightInd w:val="0"/>
                    <w:jc w:val="center"/>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风险</w:t>
                  </w:r>
                </w:p>
              </w:tc>
              <w:tc>
                <w:tcPr>
                  <w:tcW w:w="2188" w:type="dxa"/>
                  <w:noWrap w:val="0"/>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油品泄漏</w:t>
                  </w:r>
                </w:p>
              </w:tc>
              <w:tc>
                <w:tcPr>
                  <w:tcW w:w="3767" w:type="dxa"/>
                  <w:noWrap w:val="0"/>
                  <w:vAlign w:val="center"/>
                </w:tcPr>
                <w:p>
                  <w:pPr>
                    <w:adjustRightInd w:val="0"/>
                    <w:snapToGrid w:val="0"/>
                    <w:jc w:val="center"/>
                    <w:rPr>
                      <w:rFonts w:hint="default" w:ascii="Times New Roman" w:hAnsi="Times New Roman" w:eastAsia="宋体" w:cs="Times New Roman"/>
                      <w:bCs/>
                      <w:color w:val="auto"/>
                      <w:sz w:val="21"/>
                      <w:szCs w:val="21"/>
                      <w:highlight w:val="none"/>
                      <w:u w:val="single"/>
                      <w:lang w:val="en-US" w:eastAsia="zh-CN"/>
                    </w:rPr>
                  </w:pPr>
                  <w:r>
                    <w:rPr>
                      <w:rFonts w:hint="eastAsia" w:ascii="Times New Roman" w:hAnsi="Times New Roman" w:cs="Times New Roman"/>
                      <w:bCs/>
                      <w:color w:val="auto"/>
                      <w:sz w:val="21"/>
                      <w:szCs w:val="21"/>
                      <w:highlight w:val="none"/>
                      <w:u w:val="single"/>
                      <w:lang w:val="en-US" w:eastAsia="zh-CN"/>
                    </w:rPr>
                    <w:t>应急池5m</w:t>
                  </w:r>
                  <w:r>
                    <w:rPr>
                      <w:rFonts w:hint="eastAsia" w:ascii="Times New Roman" w:hAnsi="Times New Roman" w:cs="Times New Roman"/>
                      <w:bCs/>
                      <w:color w:val="auto"/>
                      <w:sz w:val="21"/>
                      <w:szCs w:val="21"/>
                      <w:highlight w:val="none"/>
                      <w:u w:val="single"/>
                      <w:vertAlign w:val="superscript"/>
                      <w:lang w:val="en-US" w:eastAsia="zh-CN"/>
                    </w:rPr>
                    <w:t>3</w:t>
                  </w:r>
                </w:p>
              </w:tc>
              <w:tc>
                <w:tcPr>
                  <w:tcW w:w="936" w:type="dxa"/>
                  <w:noWrap w:val="0"/>
                  <w:vAlign w:val="center"/>
                </w:tcPr>
                <w:p>
                  <w:pPr>
                    <w:adjustRightInd w:val="0"/>
                    <w:snapToGrid w:val="0"/>
                    <w:jc w:val="center"/>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68" w:type="dxa"/>
                  <w:gridSpan w:val="3"/>
                  <w:noWrap w:val="0"/>
                  <w:vAlign w:val="center"/>
                </w:tcPr>
                <w:p>
                  <w:pPr>
                    <w:adjustRightInd w:val="0"/>
                    <w:snapToGrid w:val="0"/>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color w:val="auto"/>
                      <w:sz w:val="21"/>
                      <w:szCs w:val="21"/>
                      <w:highlight w:val="none"/>
                      <w:u w:val="single"/>
                    </w:rPr>
                    <w:t>总计</w:t>
                  </w:r>
                </w:p>
              </w:tc>
              <w:tc>
                <w:tcPr>
                  <w:tcW w:w="936" w:type="dxa"/>
                  <w:noWrap w:val="0"/>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36</w:t>
                  </w:r>
                </w:p>
              </w:tc>
            </w:tr>
          </w:tbl>
          <w:p>
            <w:pPr>
              <w:pStyle w:val="51"/>
              <w:rPr>
                <w:rFonts w:hint="default" w:ascii="Times New Roman" w:hAnsi="Times New Roman" w:cs="Times New Roman"/>
                <w:color w:val="auto"/>
                <w:sz w:val="21"/>
                <w:szCs w:val="21"/>
                <w:highlight w:val="none"/>
                <w:u w:val="none"/>
                <w:lang w:val="en-US"/>
              </w:rPr>
            </w:pPr>
          </w:p>
          <w:p>
            <w:pPr>
              <w:pStyle w:val="51"/>
              <w:rPr>
                <w:rFonts w:hint="default" w:ascii="Times New Roman" w:hAnsi="Times New Roman" w:cs="Times New Roman"/>
                <w:color w:val="auto"/>
                <w:sz w:val="21"/>
                <w:szCs w:val="21"/>
                <w:highlight w:val="none"/>
                <w:u w:val="none"/>
                <w:lang w:val="en-US"/>
              </w:rPr>
            </w:pPr>
          </w:p>
          <w:p>
            <w:pPr>
              <w:pStyle w:val="51"/>
              <w:rPr>
                <w:rFonts w:hint="default" w:ascii="Times New Roman" w:hAnsi="Times New Roman" w:cs="Times New Roman"/>
                <w:color w:val="auto"/>
                <w:sz w:val="21"/>
                <w:szCs w:val="21"/>
                <w:highlight w:val="none"/>
                <w:u w:val="none"/>
                <w:lang w:val="en-US"/>
              </w:rPr>
            </w:pPr>
          </w:p>
          <w:p>
            <w:pPr>
              <w:pStyle w:val="51"/>
              <w:rPr>
                <w:rFonts w:hint="default" w:ascii="Times New Roman" w:hAnsi="Times New Roman" w:cs="Times New Roman"/>
                <w:color w:val="auto"/>
                <w:sz w:val="21"/>
                <w:szCs w:val="21"/>
                <w:highlight w:val="none"/>
                <w:u w:val="single"/>
                <w:lang w:val="en-US"/>
              </w:rPr>
            </w:pPr>
          </w:p>
        </w:tc>
      </w:tr>
    </w:tbl>
    <w:p>
      <w:pPr>
        <w:rPr>
          <w:sz w:val="21"/>
        </w:rPr>
        <w:sectPr>
          <w:pgSz w:w="11910" w:h="16850"/>
          <w:pgMar w:top="1600" w:right="1320" w:bottom="1000" w:left="1340" w:header="0" w:footer="817" w:gutter="0"/>
          <w:pgNumType w:fmt="numberInDash"/>
          <w:cols w:space="720" w:num="1"/>
        </w:sectPr>
      </w:pPr>
    </w:p>
    <w:p>
      <w:pPr>
        <w:pStyle w:val="11"/>
        <w:spacing w:before="8"/>
        <w:rPr>
          <w:sz w:val="25"/>
        </w:rPr>
      </w:pPr>
    </w:p>
    <w:p>
      <w:pPr>
        <w:pStyle w:val="11"/>
        <w:spacing w:before="58"/>
        <w:ind w:left="635" w:right="653"/>
        <w:jc w:val="center"/>
        <w:outlineLvl w:val="0"/>
        <w:rPr>
          <w:u w:val="single"/>
        </w:rPr>
      </w:pPr>
      <w:r>
        <w:rPr>
          <w:u w:val="single"/>
        </w:rPr>
        <mc:AlternateContent>
          <mc:Choice Requires="wps">
            <w:drawing>
              <wp:anchor distT="0" distB="0" distL="114300" distR="114300" simplePos="0" relativeHeight="251659264" behindDoc="1" locked="0" layoutInCell="1" allowOverlap="1">
                <wp:simplePos x="0" y="0"/>
                <wp:positionH relativeFrom="page">
                  <wp:posOffset>991870</wp:posOffset>
                </wp:positionH>
                <wp:positionV relativeFrom="paragraph">
                  <wp:posOffset>470535</wp:posOffset>
                </wp:positionV>
                <wp:extent cx="1119505" cy="345440"/>
                <wp:effectExtent l="1270" t="4445" r="3175" b="12065"/>
                <wp:wrapNone/>
                <wp:docPr id="1" name="直线 2"/>
                <wp:cNvGraphicFramePr/>
                <a:graphic xmlns:a="http://schemas.openxmlformats.org/drawingml/2006/main">
                  <a:graphicData uri="http://schemas.microsoft.com/office/word/2010/wordprocessingShape">
                    <wps:wsp>
                      <wps:cNvCnPr/>
                      <wps:spPr>
                        <a:xfrm>
                          <a:off x="0" y="0"/>
                          <a:ext cx="1119505" cy="345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8.1pt;margin-top:37.05pt;height:27.2pt;width:88.15pt;mso-position-horizontal-relative:page;z-index:-251657216;mso-width-relative:page;mso-height-relative:page;" filled="f" stroked="t" coordsize="21600,21600" o:gfxdata="UEsDBAoAAAAAAIdO4kAAAAAAAAAAAAAAAAAEAAAAZHJzL1BLAwQUAAAACACHTuJAe3CYZtkAAAAK&#10;AQAADwAAAGRycy9kb3ducmV2LnhtbE2PQU+DQBCF7038D5sx8dYuUGlXZOlBo0kPxtg2nrcwAsLO&#10;EnZb2n/veNLjy/vy5pt8c7G9OOPoW0ca4kUEAql0VUu1hsP+Za5A+GCoMr0j1HBFD5viZpabrHIT&#10;feB5F2rBI+Qzo6EJYcik9GWD1viFG5C4+3KjNYHjWMtqNBOP214mUbSS1rTEFxoz4FODZbc7WQ1v&#10;Sj679+6zvH5P+1eltt3DenvQ+u42jh5BBLyEPxh+9VkdCnY6uhNVXvSc01XCqIb1fQyCgeUySUEc&#10;uUlUCrLI5f8Xih9QSwMEFAAAAAgAh07iQJVHi23uAQAA4AMAAA4AAABkcnMvZTJvRG9jLnhtbK1T&#10;zY7TMBC+I/EOlu80SWkrNmq6hy3LBcFKLA8wdZzEkv/kcZv2WXgNTlx4nH0Nxk7pwnLpgRycsWf8&#10;zXzfjNe3R6PZQQZUzja8mpWcSStcq2zf8K+P92/ecYYRbAvaWdnwk0R+u3n9aj36Ws7d4HQrAyMQ&#10;i/XoGz7E6OuiQDFIAzhzXlpydi4YiLQNfdEGGAnd6GJelqtidKH1wQmJSKfbycnPiOEaQNd1Ssit&#10;E3sjbZxQg9QQiRIOyiPf5Gq7Tor4uetQRqYbTkxjXikJ2bu0Fps11H0APyhxLgGuKeEFJwPKUtIL&#10;1BYisH1Q/0AZJYJD18WZcKaYiGRFiEVVvtDmywBeZi4kNfqL6Pj/YMWnw0NgqqVJ4MyCoYY/ffv+&#10;9OMnmydtRo81hdzZh3DeoX8IieixCyb9iQI7Zj1PFz3lMTJBh1VV3SzLJWeCfG8Xy8UiC1483/YB&#10;4wfpDEtGw7WyiS/UcPiIkTJS6O+QdKwtGxu+Km9WhAk0fB01nUzjiQDaPt9Fp1V7r7RONzD0uzsd&#10;2AHSAOQv8SLcv8JSki3gMMVl1zQag4T2vW1ZPHmSxtKL4KkEI1vOtKQHlCwChDqC0tdEUmptqYIk&#10;7SRmsnauPVEj9j6ofiAlqlxl8lDjc73nIU2T9ec+Iz0/zM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3CYZtkAAAAKAQAADwAAAAAAAAABACAAAAAiAAAAZHJzL2Rvd25yZXYueG1sUEsBAhQAFAAA&#10;AAgAh07iQJVHi23uAQAA4AMAAA4AAAAAAAAAAQAgAAAAKAEAAGRycy9lMm9Eb2MueG1sUEsFBgAA&#10;AAAGAAYAWQEAAIgFAAAAAA==&#10;">
                <v:fill on="f" focussize="0,0"/>
                <v:stroke weight="0.48pt" color="#000000" joinstyle="round"/>
                <v:imagedata o:title=""/>
                <o:lock v:ext="edit" aspectratio="f"/>
              </v:line>
            </w:pict>
          </mc:Fallback>
        </mc:AlternateContent>
      </w:r>
      <w:r>
        <w:rPr>
          <w:u w:val="single"/>
        </w:rPr>
        <w:t>五、环境保护措施监督检查清单</w:t>
      </w:r>
    </w:p>
    <w:p>
      <w:pPr>
        <w:pStyle w:val="11"/>
        <w:spacing w:before="11" w:after="1"/>
        <w:rPr>
          <w:sz w:val="21"/>
          <w:u w:val="single"/>
        </w:rPr>
      </w:pPr>
    </w:p>
    <w:tbl>
      <w:tblPr>
        <w:tblStyle w:val="25"/>
        <w:tblW w:w="88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05"/>
        <w:gridCol w:w="1950"/>
        <w:gridCol w:w="1835"/>
        <w:gridCol w:w="1754"/>
        <w:gridCol w:w="17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1505" w:type="dxa"/>
            <w:tcBorders>
              <w:bottom w:val="single" w:color="000000" w:sz="4" w:space="0"/>
              <w:right w:val="single" w:color="000000" w:sz="4" w:space="0"/>
            </w:tcBorders>
            <w:noWrap w:val="0"/>
            <w:vAlign w:val="top"/>
          </w:tcPr>
          <w:p>
            <w:pPr>
              <w:pStyle w:val="51"/>
              <w:spacing w:before="3"/>
              <w:ind w:left="947"/>
              <w:rPr>
                <w:rFonts w:hint="eastAsia" w:ascii="Times New Roman" w:hAnsi="Times New Roman" w:eastAsia="宋体" w:cs="Times New Roman"/>
                <w:sz w:val="21"/>
                <w:szCs w:val="21"/>
                <w:u w:val="single"/>
                <w:lang w:eastAsia="zh-CN"/>
              </w:rPr>
            </w:pPr>
            <w:r>
              <w:rPr>
                <w:rFonts w:hint="default" w:ascii="Times New Roman" w:hAnsi="Times New Roman" w:cs="Times New Roman"/>
                <w:sz w:val="21"/>
                <w:szCs w:val="21"/>
                <w:u w:val="single"/>
              </w:rPr>
              <w:t>内容</w:t>
            </w:r>
          </w:p>
          <w:p>
            <w:pPr>
              <w:pStyle w:val="51"/>
              <w:spacing w:before="2" w:line="250" w:lineRule="exact"/>
              <w:ind w:left="107"/>
              <w:rPr>
                <w:rFonts w:hint="eastAsia" w:ascii="Times New Roman" w:hAnsi="Times New Roman" w:eastAsia="宋体" w:cs="Times New Roman"/>
                <w:sz w:val="21"/>
                <w:szCs w:val="21"/>
                <w:u w:val="single"/>
                <w:lang w:eastAsia="zh-CN"/>
              </w:rPr>
            </w:pPr>
            <w:r>
              <w:rPr>
                <w:rFonts w:hint="default" w:ascii="Times New Roman" w:hAnsi="Times New Roman" w:cs="Times New Roman"/>
                <w:sz w:val="21"/>
                <w:szCs w:val="21"/>
                <w:u w:val="single"/>
              </w:rPr>
              <w:t>要素</w:t>
            </w:r>
          </w:p>
        </w:tc>
        <w:tc>
          <w:tcPr>
            <w:tcW w:w="1950" w:type="dxa"/>
            <w:tcBorders>
              <w:left w:val="single" w:color="000000" w:sz="4" w:space="0"/>
              <w:bottom w:val="single" w:color="000000" w:sz="4" w:space="0"/>
              <w:right w:val="single" w:color="000000" w:sz="4" w:space="0"/>
            </w:tcBorders>
            <w:noWrap w:val="0"/>
            <w:vAlign w:val="top"/>
          </w:tcPr>
          <w:p>
            <w:pPr>
              <w:pStyle w:val="51"/>
              <w:spacing w:before="2" w:line="270" w:lineRule="atLeast"/>
              <w:ind w:left="252" w:right="71" w:hanging="53"/>
              <w:rPr>
                <w:rFonts w:hint="eastAsia" w:ascii="Times New Roman" w:hAnsi="Times New Roman" w:eastAsia="宋体" w:cs="Times New Roman"/>
                <w:sz w:val="21"/>
                <w:szCs w:val="21"/>
                <w:u w:val="single"/>
                <w:lang w:eastAsia="zh-CN"/>
              </w:rPr>
            </w:pPr>
            <w:r>
              <w:rPr>
                <w:rFonts w:hint="default" w:ascii="Times New Roman" w:hAnsi="Times New Roman" w:cs="Times New Roman"/>
                <w:sz w:val="21"/>
                <w:szCs w:val="21"/>
                <w:u w:val="single"/>
              </w:rPr>
              <w:t>排放口(编号、名称)/污染源</w:t>
            </w:r>
          </w:p>
        </w:tc>
        <w:tc>
          <w:tcPr>
            <w:tcW w:w="1835" w:type="dxa"/>
            <w:tcBorders>
              <w:left w:val="single" w:color="000000" w:sz="4" w:space="0"/>
              <w:bottom w:val="single" w:color="000000" w:sz="4" w:space="0"/>
              <w:right w:val="single" w:color="000000" w:sz="4" w:space="0"/>
            </w:tcBorders>
            <w:noWrap w:val="0"/>
            <w:vAlign w:val="center"/>
          </w:tcPr>
          <w:p>
            <w:pPr>
              <w:pStyle w:val="5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污染物项目</w:t>
            </w:r>
          </w:p>
        </w:tc>
        <w:tc>
          <w:tcPr>
            <w:tcW w:w="1754" w:type="dxa"/>
            <w:tcBorders>
              <w:left w:val="single" w:color="000000" w:sz="4" w:space="0"/>
              <w:bottom w:val="single" w:color="000000" w:sz="4" w:space="0"/>
              <w:right w:val="single" w:color="000000" w:sz="4" w:space="0"/>
            </w:tcBorders>
            <w:noWrap w:val="0"/>
            <w:vAlign w:val="center"/>
          </w:tcPr>
          <w:p>
            <w:pPr>
              <w:pStyle w:val="5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环境保护措施</w:t>
            </w:r>
          </w:p>
        </w:tc>
        <w:tc>
          <w:tcPr>
            <w:tcW w:w="1757" w:type="dxa"/>
            <w:tcBorders>
              <w:left w:val="single" w:color="000000" w:sz="4" w:space="0"/>
              <w:bottom w:val="single" w:color="000000" w:sz="4" w:space="0"/>
            </w:tcBorders>
            <w:noWrap w:val="0"/>
            <w:vAlign w:val="center"/>
          </w:tcPr>
          <w:p>
            <w:pPr>
              <w:pStyle w:val="5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执行标准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1505" w:type="dxa"/>
            <w:vMerge w:val="restart"/>
            <w:tcBorders>
              <w:top w:val="single" w:color="000000" w:sz="4" w:space="0"/>
              <w:right w:val="single" w:color="000000" w:sz="4" w:space="0"/>
            </w:tcBorders>
            <w:noWrap w:val="0"/>
            <w:vAlign w:val="center"/>
          </w:tcPr>
          <w:p>
            <w:pPr>
              <w:pStyle w:val="5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大气环境</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ins w:id="18" w:author="呼呼" w:date="2023-01-18T10:37:56Z">
              <w:r>
                <w:rPr>
                  <w:rFonts w:hint="eastAsia" w:ascii="Times New Roman" w:hAnsi="Times New Roman" w:cs="Times New Roman"/>
                  <w:sz w:val="21"/>
                  <w:szCs w:val="21"/>
                  <w:u w:val="single"/>
                  <w:lang w:val="en-US" w:eastAsia="zh-CN"/>
                </w:rPr>
                <w:t>染色、喷漆</w:t>
              </w:r>
            </w:ins>
            <w:r>
              <w:rPr>
                <w:rFonts w:hint="default" w:ascii="Times New Roman" w:hAnsi="Times New Roman" w:cs="Times New Roman"/>
                <w:sz w:val="21"/>
                <w:szCs w:val="21"/>
                <w:u w:val="single"/>
                <w:lang w:val="en-US"/>
              </w:rPr>
              <w:t>、移印</w:t>
            </w:r>
            <w:r>
              <w:rPr>
                <w:rFonts w:hint="eastAsia" w:ascii="Times New Roman" w:hAnsi="Times New Roman" w:cs="Times New Roman"/>
                <w:sz w:val="21"/>
                <w:szCs w:val="21"/>
                <w:u w:val="single"/>
                <w:lang w:val="en-US" w:eastAsia="zh-CN"/>
              </w:rPr>
              <w:t>、</w:t>
            </w:r>
            <w:bookmarkStart w:id="17" w:name="_GoBack"/>
            <w:bookmarkEnd w:id="17"/>
            <w:r>
              <w:rPr>
                <w:rFonts w:hint="eastAsia" w:ascii="Times New Roman" w:hAnsi="Times New Roman" w:cs="Times New Roman"/>
                <w:sz w:val="21"/>
                <w:szCs w:val="21"/>
                <w:u w:val="single"/>
                <w:lang w:val="en-US" w:eastAsia="zh-CN"/>
              </w:rPr>
              <w:t>注塑</w:t>
            </w:r>
            <w:r>
              <w:rPr>
                <w:rFonts w:hint="default" w:ascii="Times New Roman" w:hAnsi="Times New Roman" w:cs="Times New Roman"/>
                <w:sz w:val="21"/>
                <w:szCs w:val="21"/>
                <w:u w:val="single"/>
                <w:lang w:val="en-US"/>
              </w:rPr>
              <w:t>工序</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bidi="ar"/>
              </w:rPr>
              <w:t>VOCs</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w:t>
            </w:r>
            <w:r>
              <w:rPr>
                <w:rFonts w:hint="eastAsia" w:ascii="Times New Roman" w:hAnsi="Times New Roman" w:cs="Times New Roman"/>
                <w:sz w:val="21"/>
                <w:szCs w:val="21"/>
                <w:u w:val="single"/>
                <w:lang w:val="en-US" w:eastAsia="zh-CN"/>
              </w:rPr>
              <w:t>集气罩+活性炭吸附装置</w:t>
            </w:r>
            <w:r>
              <w:rPr>
                <w:rFonts w:hint="default" w:ascii="Times New Roman" w:hAnsi="Times New Roman" w:cs="Times New Roman"/>
                <w:sz w:val="21"/>
                <w:szCs w:val="21"/>
                <w:u w:val="single"/>
                <w:lang w:val="en-US"/>
              </w:rPr>
              <w:t>”+</w:t>
            </w:r>
            <w:r>
              <w:rPr>
                <w:rFonts w:hint="eastAsia" w:ascii="Times New Roman" w:hAnsi="Times New Roman" w:cs="Times New Roman"/>
                <w:sz w:val="21"/>
                <w:szCs w:val="21"/>
                <w:u w:val="single"/>
                <w:lang w:val="en-US" w:eastAsia="zh-CN"/>
              </w:rPr>
              <w:t>20m(高于本栋四楼楼顶3m)</w:t>
            </w:r>
            <w:r>
              <w:rPr>
                <w:rFonts w:hint="default" w:ascii="Times New Roman" w:hAnsi="Times New Roman" w:cs="Times New Roman"/>
                <w:sz w:val="21"/>
                <w:szCs w:val="21"/>
                <w:u w:val="single"/>
                <w:lang w:val="en-US"/>
              </w:rPr>
              <w:t>排气筒</w:t>
            </w:r>
          </w:p>
        </w:tc>
        <w:tc>
          <w:tcPr>
            <w:tcW w:w="1757" w:type="dxa"/>
            <w:tcBorders>
              <w:top w:val="single" w:color="000000" w:sz="4" w:space="0"/>
              <w:left w:val="single" w:color="000000" w:sz="4" w:space="0"/>
              <w:bottom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《家具制造行业挥发性有机物排放标准》（DB43/1355-2017）表1最高允许排放限值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505" w:type="dxa"/>
            <w:vMerge w:val="continue"/>
            <w:tcBorders>
              <w:right w:val="single" w:color="000000" w:sz="4" w:space="0"/>
            </w:tcBorders>
            <w:noWrap w:val="0"/>
            <w:vAlign w:val="center"/>
          </w:tcPr>
          <w:p>
            <w:pPr>
              <w:jc w:val="center"/>
              <w:rPr>
                <w:rFonts w:hint="default" w:ascii="Times New Roman" w:hAnsi="Times New Roman" w:cs="Times New Roman"/>
                <w:sz w:val="21"/>
                <w:szCs w:val="21"/>
                <w:u w:val="singl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生产车间</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无组织</w:t>
            </w:r>
            <w:r>
              <w:rPr>
                <w:rFonts w:hint="default" w:ascii="Times New Roman" w:hAnsi="Times New Roman" w:cs="Times New Roman"/>
                <w:sz w:val="21"/>
                <w:szCs w:val="21"/>
                <w:u w:val="single"/>
                <w:lang w:bidi="ar"/>
              </w:rPr>
              <w:t>VOCs</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加强车间生产管理与设备维护，加强机械通风</w:t>
            </w:r>
          </w:p>
        </w:tc>
        <w:tc>
          <w:tcPr>
            <w:tcW w:w="1757" w:type="dxa"/>
            <w:tcBorders>
              <w:top w:val="single" w:color="000000" w:sz="4" w:space="0"/>
              <w:left w:val="single" w:color="000000" w:sz="4" w:space="0"/>
              <w:bottom w:val="single" w:color="000000" w:sz="4" w:space="0"/>
            </w:tcBorders>
            <w:noWrap w:val="0"/>
            <w:vAlign w:val="center"/>
          </w:tcPr>
          <w:p>
            <w:pPr>
              <w:adjustRightInd w:val="0"/>
              <w:snapToGrid w:val="0"/>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《家具制造行业挥发性有机物排放标准》（DB43/1355-2017）表2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505" w:type="dxa"/>
            <w:tcBorders>
              <w:top w:val="single" w:color="000000" w:sz="4" w:space="0"/>
              <w:bottom w:val="single" w:color="000000" w:sz="4" w:space="0"/>
              <w:right w:val="single" w:color="000000" w:sz="4" w:space="0"/>
            </w:tcBorders>
            <w:noWrap w:val="0"/>
            <w:vAlign w:val="center"/>
          </w:tcPr>
          <w:p>
            <w:pPr>
              <w:pStyle w:val="5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地表水环境</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办公生活废水</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COD、BOD</w:t>
            </w:r>
            <w:r>
              <w:rPr>
                <w:rFonts w:hint="default" w:ascii="Times New Roman" w:hAnsi="Times New Roman" w:cs="Times New Roman"/>
                <w:sz w:val="21"/>
                <w:szCs w:val="21"/>
                <w:u w:val="single"/>
                <w:vertAlign w:val="subscript"/>
                <w:lang w:val="en-US"/>
              </w:rPr>
              <w:t>5</w:t>
            </w:r>
            <w:r>
              <w:rPr>
                <w:rFonts w:hint="default" w:ascii="Times New Roman" w:hAnsi="Times New Roman" w:cs="Times New Roman"/>
                <w:sz w:val="21"/>
                <w:szCs w:val="21"/>
                <w:u w:val="single"/>
                <w:lang w:val="en-US"/>
              </w:rPr>
              <w:t>、NH</w:t>
            </w:r>
            <w:r>
              <w:rPr>
                <w:rFonts w:hint="default" w:ascii="Times New Roman" w:hAnsi="Times New Roman" w:cs="Times New Roman"/>
                <w:sz w:val="21"/>
                <w:szCs w:val="21"/>
                <w:u w:val="single"/>
                <w:vertAlign w:val="subscript"/>
                <w:lang w:val="en-US"/>
              </w:rPr>
              <w:t>3</w:t>
            </w:r>
            <w:r>
              <w:rPr>
                <w:rFonts w:hint="default" w:ascii="Times New Roman" w:hAnsi="Times New Roman" w:cs="Times New Roman"/>
                <w:sz w:val="21"/>
                <w:szCs w:val="21"/>
                <w:u w:val="single"/>
                <w:lang w:val="en-US"/>
              </w:rPr>
              <w:t>-N、SS、动植物油</w:t>
            </w:r>
          </w:p>
        </w:tc>
        <w:tc>
          <w:tcPr>
            <w:tcW w:w="1754" w:type="dxa"/>
            <w:tcBorders>
              <w:top w:val="single" w:color="000000" w:sz="4" w:space="0"/>
              <w:left w:val="single" w:color="000000" w:sz="4" w:space="0"/>
              <w:right w:val="single" w:color="000000" w:sz="4" w:space="0"/>
            </w:tcBorders>
            <w:noWrap w:val="0"/>
            <w:vAlign w:val="center"/>
          </w:tcPr>
          <w:p>
            <w:pPr>
              <w:pStyle w:val="51"/>
              <w:spacing w:before="78"/>
              <w:ind w:left="119"/>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化粪池</w:t>
            </w:r>
          </w:p>
        </w:tc>
        <w:tc>
          <w:tcPr>
            <w:tcW w:w="1757" w:type="dxa"/>
            <w:tcBorders>
              <w:top w:val="single" w:color="000000" w:sz="4" w:space="0"/>
              <w:left w:val="single" w:color="000000" w:sz="4" w:space="0"/>
            </w:tcBorders>
            <w:noWrap w:val="0"/>
            <w:vAlign w:val="center"/>
          </w:tcPr>
          <w:p>
            <w:pPr>
              <w:pStyle w:val="51"/>
              <w:spacing w:before="78"/>
              <w:ind w:left="132"/>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rPr>
              <w:t>《污水综合排放标准》（GB8978-1996）中三级标准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9" w:hRule="atLeast"/>
          <w:jc w:val="center"/>
        </w:trPr>
        <w:tc>
          <w:tcPr>
            <w:tcW w:w="1505" w:type="dxa"/>
            <w:tcBorders>
              <w:top w:val="single" w:color="000000" w:sz="4" w:space="0"/>
              <w:bottom w:val="single" w:color="000000" w:sz="8" w:space="0"/>
              <w:right w:val="single" w:color="000000" w:sz="4" w:space="0"/>
            </w:tcBorders>
            <w:noWrap w:val="0"/>
            <w:vAlign w:val="center"/>
          </w:tcPr>
          <w:p>
            <w:pPr>
              <w:pStyle w:val="5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声环境</w:t>
            </w:r>
          </w:p>
        </w:tc>
        <w:tc>
          <w:tcPr>
            <w:tcW w:w="553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Times New Roman" w:hAnsi="Times New Roman" w:eastAsia="宋体" w:cs="Times New Roman"/>
                <w:sz w:val="21"/>
                <w:szCs w:val="21"/>
                <w:u w:val="single"/>
                <w:lang w:eastAsia="zh-CN"/>
              </w:rPr>
            </w:pPr>
            <w:r>
              <w:rPr>
                <w:rFonts w:hint="default" w:ascii="Times New Roman" w:hAnsi="Times New Roman" w:cs="Times New Roman"/>
                <w:sz w:val="21"/>
                <w:szCs w:val="21"/>
                <w:u w:val="single"/>
                <w:lang w:val="en-US"/>
              </w:rPr>
              <w:t>本项目运营过程对外环境产生影响的噪声源主要来自空压机、移印机等机械噪声，通过隔声、消声、减振、距离衰减后能够达标排放，对外环境影响不大</w:t>
            </w:r>
          </w:p>
        </w:tc>
        <w:tc>
          <w:tcPr>
            <w:tcW w:w="1757" w:type="dxa"/>
            <w:tcBorders>
              <w:top w:val="single" w:color="000000" w:sz="4" w:space="0"/>
              <w:left w:val="single" w:color="000000" w:sz="4" w:space="0"/>
              <w:bottom w:val="single" w:color="000000" w:sz="4" w:space="0"/>
            </w:tcBorders>
            <w:noWrap w:val="0"/>
            <w:vAlign w:val="center"/>
          </w:tcPr>
          <w:p>
            <w:pPr>
              <w:pStyle w:val="51"/>
              <w:spacing w:before="78"/>
              <w:ind w:left="132"/>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rPr>
              <w:t>《工业企业厂界环境噪声排放标准》（GBl2348-2008）3类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505" w:type="dxa"/>
            <w:vMerge w:val="restart"/>
            <w:tcBorders>
              <w:top w:val="single" w:color="000000" w:sz="4" w:space="0"/>
              <w:right w:val="single" w:color="000000" w:sz="4" w:space="0"/>
            </w:tcBorders>
            <w:noWrap w:val="0"/>
            <w:vAlign w:val="center"/>
          </w:tcPr>
          <w:p>
            <w:pPr>
              <w:pStyle w:val="51"/>
              <w:ind w:right="17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固体废物</w:t>
            </w:r>
          </w:p>
        </w:tc>
        <w:tc>
          <w:tcPr>
            <w:tcW w:w="1950" w:type="dxa"/>
            <w:vMerge w:val="restart"/>
            <w:tcBorders>
              <w:top w:val="single" w:color="000000" w:sz="4" w:space="0"/>
              <w:left w:val="single" w:color="000000" w:sz="4" w:space="0"/>
            </w:tcBorders>
            <w:noWrap w:val="0"/>
            <w:vAlign w:val="center"/>
          </w:tcPr>
          <w:p>
            <w:pPr>
              <w:pStyle w:val="51"/>
              <w:ind w:left="13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rPr>
              <w:t>危险废物</w:t>
            </w:r>
          </w:p>
        </w:tc>
        <w:tc>
          <w:tcPr>
            <w:tcW w:w="1835" w:type="dxa"/>
            <w:tcBorders>
              <w:top w:val="single" w:color="000000" w:sz="4" w:space="0"/>
              <w:left w:val="single" w:color="000000" w:sz="8" w:space="0"/>
              <w:bottom w:val="single" w:color="000000" w:sz="4" w:space="0"/>
            </w:tcBorders>
            <w:noWrap w:val="0"/>
            <w:vAlign w:val="center"/>
          </w:tcPr>
          <w:p>
            <w:pPr>
              <w:pStyle w:val="51"/>
              <w:ind w:left="131"/>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废润滑油</w:t>
            </w:r>
          </w:p>
        </w:tc>
        <w:tc>
          <w:tcPr>
            <w:tcW w:w="1754" w:type="dxa"/>
            <w:tcBorders>
              <w:top w:val="single" w:color="000000" w:sz="4" w:space="0"/>
              <w:left w:val="single" w:color="000000" w:sz="8" w:space="0"/>
            </w:tcBorders>
            <w:noWrap w:val="0"/>
            <w:vAlign w:val="center"/>
          </w:tcPr>
          <w:p>
            <w:pPr>
              <w:pStyle w:val="51"/>
              <w:ind w:left="131"/>
              <w:jc w:val="center"/>
              <w:rPr>
                <w:rFonts w:hint="default" w:ascii="Times New Roman" w:hAnsi="Times New Roman" w:eastAsia="宋体" w:cs="Times New Roman"/>
                <w:sz w:val="21"/>
                <w:szCs w:val="21"/>
                <w:u w:val="single"/>
                <w:lang w:val="en-US" w:eastAsia="zh-CN" w:bidi="zh-CN"/>
              </w:rPr>
            </w:pPr>
            <w:r>
              <w:rPr>
                <w:rFonts w:hint="default" w:ascii="Times New Roman" w:hAnsi="Times New Roman" w:eastAsia="宋体" w:cs="Times New Roman"/>
                <w:sz w:val="21"/>
                <w:szCs w:val="21"/>
                <w:u w:val="single"/>
                <w:lang w:val="en-US" w:eastAsia="zh-CN" w:bidi="zh-CN"/>
              </w:rPr>
              <w:t>交由有资质单位处理</w:t>
            </w:r>
          </w:p>
        </w:tc>
        <w:tc>
          <w:tcPr>
            <w:tcW w:w="1757" w:type="dxa"/>
            <w:vMerge w:val="restart"/>
            <w:tcBorders>
              <w:top w:val="single" w:color="000000" w:sz="4" w:space="0"/>
              <w:left w:val="single" w:color="000000" w:sz="8"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《危险废物贮存污染控制标准》（GB18597-2001）及2013修改单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jc w:val="center"/>
        </w:trPr>
        <w:tc>
          <w:tcPr>
            <w:tcW w:w="1505" w:type="dxa"/>
            <w:vMerge w:val="continue"/>
            <w:tcBorders>
              <w:right w:val="single" w:color="000000" w:sz="4" w:space="0"/>
            </w:tcBorders>
            <w:noWrap w:val="0"/>
            <w:vAlign w:val="center"/>
          </w:tcPr>
          <w:p>
            <w:pPr>
              <w:pStyle w:val="51"/>
              <w:ind w:right="171"/>
              <w:jc w:val="center"/>
              <w:rPr>
                <w:rFonts w:hint="default" w:ascii="Times New Roman" w:hAnsi="Times New Roman" w:cs="Times New Roman"/>
                <w:sz w:val="21"/>
                <w:szCs w:val="21"/>
                <w:u w:val="single"/>
                <w:lang w:val="en-US"/>
              </w:rPr>
            </w:pPr>
          </w:p>
        </w:tc>
        <w:tc>
          <w:tcPr>
            <w:tcW w:w="1950" w:type="dxa"/>
            <w:vMerge w:val="continue"/>
            <w:tcBorders>
              <w:left w:val="single" w:color="000000" w:sz="4" w:space="0"/>
              <w:bottom w:val="single" w:color="000000" w:sz="4" w:space="0"/>
            </w:tcBorders>
            <w:noWrap w:val="0"/>
            <w:vAlign w:val="center"/>
          </w:tcPr>
          <w:p>
            <w:pPr>
              <w:pStyle w:val="51"/>
              <w:ind w:left="131"/>
              <w:jc w:val="center"/>
              <w:rPr>
                <w:rFonts w:hint="default" w:ascii="Times New Roman" w:hAnsi="Times New Roman" w:cs="Times New Roman"/>
                <w:sz w:val="21"/>
                <w:szCs w:val="21"/>
                <w:u w:val="single"/>
                <w:lang w:val="en-US"/>
              </w:rPr>
            </w:pPr>
          </w:p>
        </w:tc>
        <w:tc>
          <w:tcPr>
            <w:tcW w:w="1835" w:type="dxa"/>
            <w:tcBorders>
              <w:top w:val="single" w:color="000000" w:sz="4" w:space="0"/>
              <w:left w:val="single" w:color="000000" w:sz="8" w:space="0"/>
              <w:bottom w:val="single" w:color="000000" w:sz="4" w:space="0"/>
            </w:tcBorders>
            <w:noWrap w:val="0"/>
            <w:vAlign w:val="center"/>
          </w:tcPr>
          <w:p>
            <w:pPr>
              <w:pStyle w:val="51"/>
              <w:spacing w:line="240" w:lineRule="auto"/>
              <w:ind w:left="131"/>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废油漆桶</w:t>
            </w:r>
          </w:p>
        </w:tc>
        <w:tc>
          <w:tcPr>
            <w:tcW w:w="1754" w:type="dxa"/>
            <w:tcBorders>
              <w:top w:val="single" w:color="auto" w:sz="4" w:space="0"/>
              <w:left w:val="single" w:color="000000" w:sz="8" w:space="0"/>
              <w:bottom w:val="single" w:color="000000" w:sz="4" w:space="0"/>
            </w:tcBorders>
            <w:noWrap w:val="0"/>
            <w:vAlign w:val="center"/>
          </w:tcPr>
          <w:p>
            <w:pPr>
              <w:pStyle w:val="59"/>
              <w:autoSpaceDE/>
              <w:autoSpaceDN/>
              <w:spacing w:line="240" w:lineRule="auto"/>
              <w:ind w:left="44" w:leftChars="20" w:right="44" w:rightChars="20" w:firstLine="420"/>
              <w:jc w:val="both"/>
              <w:rPr>
                <w:rFonts w:hint="default" w:ascii="Times New Roman" w:hAnsi="Times New Roman" w:eastAsia="宋体" w:cs="Times New Roman"/>
                <w:sz w:val="21"/>
                <w:szCs w:val="21"/>
                <w:u w:val="single"/>
                <w:lang w:val="en-US" w:eastAsia="zh-CN" w:bidi="zh-CN"/>
              </w:rPr>
            </w:pPr>
            <w:r>
              <w:rPr>
                <w:rFonts w:hint="eastAsia" w:ascii="Times New Roman" w:hAnsi="Times New Roman" w:eastAsia="宋体" w:cs="Times New Roman"/>
                <w:sz w:val="21"/>
                <w:szCs w:val="21"/>
                <w:u w:val="single"/>
                <w:lang w:val="en-US" w:eastAsia="zh-CN" w:bidi="zh-CN"/>
              </w:rPr>
              <w:t>废水性漆桶用完统一暂存间暂存定期反回厂家利用，破损的交由物资回收公司处置</w:t>
            </w:r>
            <w:r>
              <w:rPr>
                <w:rFonts w:hint="default" w:ascii="Times New Roman" w:hAnsi="Times New Roman" w:eastAsia="宋体" w:cs="Times New Roman"/>
                <w:sz w:val="21"/>
                <w:szCs w:val="21"/>
                <w:u w:val="single"/>
                <w:lang w:val="en-US" w:eastAsia="zh-CN" w:bidi="zh-CN"/>
              </w:rPr>
              <w:t>。</w:t>
            </w:r>
          </w:p>
        </w:tc>
        <w:tc>
          <w:tcPr>
            <w:tcW w:w="1757" w:type="dxa"/>
            <w:vMerge w:val="continue"/>
            <w:tcBorders>
              <w:left w:val="single" w:color="000000" w:sz="8" w:space="0"/>
              <w:bottom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jc w:val="center"/>
        </w:trPr>
        <w:tc>
          <w:tcPr>
            <w:tcW w:w="1505" w:type="dxa"/>
            <w:vMerge w:val="continue"/>
            <w:tcBorders>
              <w:right w:val="single" w:color="000000" w:sz="4" w:space="0"/>
            </w:tcBorders>
            <w:noWrap w:val="0"/>
            <w:vAlign w:val="center"/>
          </w:tcPr>
          <w:p>
            <w:pPr>
              <w:pStyle w:val="51"/>
              <w:ind w:right="171"/>
              <w:jc w:val="center"/>
              <w:rPr>
                <w:rFonts w:hint="default" w:ascii="Times New Roman" w:hAnsi="Times New Roman" w:cs="Times New Roman"/>
                <w:sz w:val="21"/>
                <w:szCs w:val="21"/>
                <w:u w:val="single"/>
                <w:lang w:val="en-US"/>
              </w:rPr>
            </w:pPr>
          </w:p>
        </w:tc>
        <w:tc>
          <w:tcPr>
            <w:tcW w:w="1950" w:type="dxa"/>
            <w:vMerge w:val="restart"/>
            <w:tcBorders>
              <w:top w:val="single" w:color="000000" w:sz="4" w:space="0"/>
              <w:left w:val="single" w:color="000000" w:sz="4" w:space="0"/>
            </w:tcBorders>
            <w:noWrap w:val="0"/>
            <w:vAlign w:val="center"/>
          </w:tcPr>
          <w:p>
            <w:pPr>
              <w:pStyle w:val="51"/>
              <w:ind w:left="131"/>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一般固废</w:t>
            </w:r>
          </w:p>
        </w:tc>
        <w:tc>
          <w:tcPr>
            <w:tcW w:w="1835" w:type="dxa"/>
            <w:tcBorders>
              <w:top w:val="single" w:color="000000" w:sz="4" w:space="0"/>
              <w:left w:val="single" w:color="000000" w:sz="8" w:space="0"/>
              <w:bottom w:val="single" w:color="000000" w:sz="4" w:space="0"/>
            </w:tcBorders>
            <w:noWrap w:val="0"/>
            <w:vAlign w:val="center"/>
          </w:tcPr>
          <w:p>
            <w:pPr>
              <w:pStyle w:val="51"/>
              <w:ind w:left="131"/>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生活垃圾</w:t>
            </w:r>
          </w:p>
        </w:tc>
        <w:tc>
          <w:tcPr>
            <w:tcW w:w="1754" w:type="dxa"/>
            <w:tcBorders>
              <w:top w:val="single" w:color="000000" w:sz="4" w:space="0"/>
              <w:left w:val="single" w:color="000000" w:sz="8" w:space="0"/>
              <w:bottom w:val="single" w:color="000000" w:sz="4" w:space="0"/>
            </w:tcBorders>
            <w:noWrap w:val="0"/>
            <w:vAlign w:val="center"/>
          </w:tcPr>
          <w:p>
            <w:pPr>
              <w:pStyle w:val="51"/>
              <w:ind w:left="13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环卫部门集中处置</w:t>
            </w:r>
          </w:p>
        </w:tc>
        <w:tc>
          <w:tcPr>
            <w:tcW w:w="1757" w:type="dxa"/>
            <w:tcBorders>
              <w:top w:val="single" w:color="000000" w:sz="4" w:space="0"/>
              <w:left w:val="single" w:color="000000" w:sz="8" w:space="0"/>
              <w:bottom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《生活垃圾填埋场污染物控制标准》（GB16889-2008）及2013年修改单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505" w:type="dxa"/>
            <w:vMerge w:val="continue"/>
            <w:tcBorders>
              <w:bottom w:val="single" w:color="000000" w:sz="4" w:space="0"/>
              <w:right w:val="single" w:color="000000" w:sz="4" w:space="0"/>
            </w:tcBorders>
            <w:noWrap w:val="0"/>
            <w:vAlign w:val="center"/>
          </w:tcPr>
          <w:p>
            <w:pPr>
              <w:pStyle w:val="51"/>
              <w:ind w:right="171"/>
              <w:jc w:val="center"/>
              <w:rPr>
                <w:rFonts w:hint="default" w:ascii="Times New Roman" w:hAnsi="Times New Roman" w:cs="Times New Roman"/>
                <w:sz w:val="21"/>
                <w:szCs w:val="21"/>
                <w:u w:val="single"/>
                <w:lang w:val="en-US"/>
              </w:rPr>
            </w:pPr>
          </w:p>
        </w:tc>
        <w:tc>
          <w:tcPr>
            <w:tcW w:w="1950" w:type="dxa"/>
            <w:vMerge w:val="continue"/>
            <w:tcBorders>
              <w:left w:val="single" w:color="000000" w:sz="4" w:space="0"/>
              <w:bottom w:val="single" w:color="000000" w:sz="4" w:space="0"/>
            </w:tcBorders>
            <w:noWrap w:val="0"/>
            <w:vAlign w:val="center"/>
          </w:tcPr>
          <w:p>
            <w:pPr>
              <w:pStyle w:val="51"/>
              <w:ind w:left="131"/>
              <w:jc w:val="center"/>
              <w:rPr>
                <w:rFonts w:hint="default" w:ascii="Times New Roman" w:hAnsi="Times New Roman" w:cs="Times New Roman"/>
                <w:sz w:val="21"/>
                <w:szCs w:val="21"/>
                <w:u w:val="single"/>
                <w:lang w:val="en-US"/>
              </w:rPr>
            </w:pPr>
          </w:p>
        </w:tc>
        <w:tc>
          <w:tcPr>
            <w:tcW w:w="1835" w:type="dxa"/>
            <w:tcBorders>
              <w:top w:val="single" w:color="000000" w:sz="4" w:space="0"/>
              <w:left w:val="single" w:color="000000" w:sz="8" w:space="0"/>
              <w:bottom w:val="single" w:color="000000" w:sz="4" w:space="0"/>
            </w:tcBorders>
            <w:noWrap w:val="0"/>
            <w:vAlign w:val="center"/>
          </w:tcPr>
          <w:p>
            <w:pPr>
              <w:pStyle w:val="51"/>
              <w:ind w:left="131"/>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残次品</w:t>
            </w:r>
          </w:p>
        </w:tc>
        <w:tc>
          <w:tcPr>
            <w:tcW w:w="1754" w:type="dxa"/>
            <w:tcBorders>
              <w:top w:val="single" w:color="000000" w:sz="4" w:space="0"/>
              <w:left w:val="single" w:color="000000" w:sz="8" w:space="0"/>
              <w:bottom w:val="single" w:color="000000" w:sz="4" w:space="0"/>
            </w:tcBorders>
            <w:noWrap w:val="0"/>
            <w:vAlign w:val="center"/>
          </w:tcPr>
          <w:p>
            <w:pPr>
              <w:pStyle w:val="51"/>
              <w:ind w:left="131"/>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rPr>
              <w:t>集中外售塑料厂家</w:t>
            </w:r>
          </w:p>
        </w:tc>
        <w:tc>
          <w:tcPr>
            <w:tcW w:w="1757" w:type="dxa"/>
            <w:tcBorders>
              <w:top w:val="single" w:color="000000" w:sz="4" w:space="0"/>
              <w:left w:val="single" w:color="000000" w:sz="8" w:space="0"/>
              <w:bottom w:val="single" w:color="000000" w:sz="4" w:space="0"/>
            </w:tcBorders>
            <w:noWrap w:val="0"/>
            <w:vAlign w:val="center"/>
          </w:tcPr>
          <w:p>
            <w:pPr>
              <w:adjustRightInd w:val="0"/>
              <w:snapToGrid w:val="0"/>
              <w:jc w:val="center"/>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jc w:val="center"/>
        </w:trPr>
        <w:tc>
          <w:tcPr>
            <w:tcW w:w="1505" w:type="dxa"/>
            <w:tcBorders>
              <w:top w:val="single" w:color="000000" w:sz="4" w:space="0"/>
              <w:bottom w:val="single" w:color="000000" w:sz="4" w:space="0"/>
              <w:right w:val="single" w:color="000000" w:sz="4" w:space="0"/>
            </w:tcBorders>
            <w:noWrap w:val="0"/>
            <w:vAlign w:val="center"/>
          </w:tcPr>
          <w:p>
            <w:pPr>
              <w:pStyle w:val="51"/>
              <w:spacing w:line="242" w:lineRule="auto"/>
              <w:ind w:right="136"/>
              <w:jc w:val="center"/>
              <w:rPr>
                <w:sz w:val="21"/>
                <w:szCs w:val="21"/>
                <w:lang w:val="en-US"/>
              </w:rPr>
            </w:pPr>
            <w:r>
              <w:rPr>
                <w:sz w:val="21"/>
                <w:szCs w:val="21"/>
              </w:rPr>
              <w:t>土壤及地下水污染防治措施</w:t>
            </w:r>
          </w:p>
        </w:tc>
        <w:tc>
          <w:tcPr>
            <w:tcW w:w="7296" w:type="dxa"/>
            <w:gridSpan w:val="4"/>
            <w:tcBorders>
              <w:top w:val="single" w:color="000000" w:sz="4" w:space="0"/>
              <w:left w:val="single" w:color="000000" w:sz="4" w:space="0"/>
              <w:bottom w:val="single" w:color="000000" w:sz="4" w:space="0"/>
            </w:tcBorders>
            <w:noWrap w:val="0"/>
            <w:vAlign w:val="center"/>
          </w:tcPr>
          <w:p>
            <w:pPr>
              <w:pStyle w:val="51"/>
              <w:ind w:left="131"/>
              <w:jc w:val="center"/>
              <w:rPr>
                <w:rFonts w:hint="eastAsia"/>
                <w:sz w:val="21"/>
                <w:szCs w:val="21"/>
                <w:lang w:val="en-US"/>
              </w:rPr>
            </w:pPr>
            <w:r>
              <w:rPr>
                <w:rFonts w:hint="eastAsia"/>
                <w:sz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jc w:val="center"/>
        </w:trPr>
        <w:tc>
          <w:tcPr>
            <w:tcW w:w="1505" w:type="dxa"/>
            <w:tcBorders>
              <w:top w:val="single" w:color="000000" w:sz="4" w:space="0"/>
              <w:bottom w:val="single" w:color="000000" w:sz="4" w:space="0"/>
              <w:right w:val="single" w:color="000000" w:sz="4" w:space="0"/>
            </w:tcBorders>
            <w:noWrap w:val="0"/>
            <w:vAlign w:val="center"/>
          </w:tcPr>
          <w:p>
            <w:pPr>
              <w:pStyle w:val="51"/>
              <w:ind w:right="171"/>
              <w:jc w:val="center"/>
              <w:rPr>
                <w:sz w:val="21"/>
                <w:szCs w:val="21"/>
              </w:rPr>
            </w:pPr>
            <w:r>
              <w:rPr>
                <w:sz w:val="21"/>
                <w:szCs w:val="21"/>
              </w:rPr>
              <w:t>生态保护</w:t>
            </w:r>
          </w:p>
          <w:p>
            <w:pPr>
              <w:pStyle w:val="51"/>
              <w:ind w:right="171"/>
              <w:jc w:val="center"/>
              <w:rPr>
                <w:sz w:val="21"/>
                <w:szCs w:val="21"/>
              </w:rPr>
            </w:pPr>
            <w:r>
              <w:rPr>
                <w:sz w:val="21"/>
                <w:szCs w:val="21"/>
              </w:rPr>
              <w:t>措施</w:t>
            </w:r>
          </w:p>
        </w:tc>
        <w:tc>
          <w:tcPr>
            <w:tcW w:w="7296" w:type="dxa"/>
            <w:gridSpan w:val="4"/>
            <w:tcBorders>
              <w:top w:val="single" w:color="000000" w:sz="4" w:space="0"/>
              <w:left w:val="single" w:color="000000" w:sz="4" w:space="0"/>
              <w:bottom w:val="single" w:color="000000" w:sz="4" w:space="0"/>
            </w:tcBorders>
            <w:noWrap w:val="0"/>
            <w:vAlign w:val="center"/>
          </w:tcPr>
          <w:p>
            <w:pPr>
              <w:pStyle w:val="51"/>
              <w:spacing w:before="1"/>
              <w:ind w:left="131"/>
              <w:jc w:val="center"/>
              <w:rPr>
                <w:sz w:val="21"/>
                <w:szCs w:val="21"/>
              </w:rPr>
            </w:pPr>
            <w:r>
              <w:rPr>
                <w:rFonts w:hint="eastAsia"/>
                <w:sz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0" w:hRule="atLeast"/>
          <w:jc w:val="center"/>
        </w:trPr>
        <w:tc>
          <w:tcPr>
            <w:tcW w:w="1505" w:type="dxa"/>
            <w:tcBorders>
              <w:top w:val="single" w:color="000000" w:sz="4" w:space="0"/>
              <w:bottom w:val="single" w:color="000000" w:sz="4" w:space="0"/>
              <w:right w:val="single" w:color="000000" w:sz="4" w:space="0"/>
            </w:tcBorders>
            <w:noWrap w:val="0"/>
            <w:vAlign w:val="center"/>
          </w:tcPr>
          <w:p>
            <w:pPr>
              <w:pStyle w:val="51"/>
              <w:spacing w:line="243" w:lineRule="auto"/>
              <w:jc w:val="center"/>
              <w:rPr>
                <w:sz w:val="21"/>
                <w:szCs w:val="21"/>
              </w:rPr>
            </w:pPr>
            <w:r>
              <w:rPr>
                <w:sz w:val="21"/>
                <w:szCs w:val="21"/>
              </w:rPr>
              <w:t>环境风险防范措施</w:t>
            </w:r>
          </w:p>
        </w:tc>
        <w:tc>
          <w:tcPr>
            <w:tcW w:w="7296" w:type="dxa"/>
            <w:gridSpan w:val="4"/>
            <w:tcBorders>
              <w:top w:val="single" w:color="000000" w:sz="4" w:space="0"/>
              <w:left w:val="single" w:color="000000" w:sz="4" w:space="0"/>
              <w:bottom w:val="single" w:color="000000" w:sz="4" w:space="0"/>
            </w:tcBorders>
            <w:noWrap w:val="0"/>
            <w:vAlign w:val="top"/>
          </w:tcPr>
          <w:p>
            <w:pPr>
              <w:pStyle w:val="59"/>
              <w:autoSpaceDE/>
              <w:autoSpaceDN/>
              <w:spacing w:line="240" w:lineRule="auto"/>
              <w:ind w:left="44" w:leftChars="20" w:right="44" w:rightChars="20" w:firstLine="420"/>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一、废气事故排放情况下的处理措施：</w:t>
            </w:r>
          </w:p>
          <w:p>
            <w:pPr>
              <w:pStyle w:val="59"/>
              <w:autoSpaceDE/>
              <w:autoSpaceDN/>
              <w:spacing w:line="240" w:lineRule="auto"/>
              <w:ind w:left="44" w:leftChars="20" w:right="44" w:rightChars="20" w:firstLine="420"/>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①废气处理系统出现故障，不能正常运行，一旦废气治理装置发生故障，马上停止生产，避免生产废气不经过任何处理直接排放至大气环境中。随后应立即启动备用风机，通知车间启动应急处置程序，启动停产程序，在做好防护措施的前提下，及时对事故原因进行排查、抢修，确保废气做到达标排放；</w:t>
            </w:r>
          </w:p>
          <w:p>
            <w:pPr>
              <w:pStyle w:val="59"/>
              <w:autoSpaceDE/>
              <w:autoSpaceDN/>
              <w:spacing w:line="240" w:lineRule="auto"/>
              <w:ind w:firstLine="420"/>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②风险防范措施</w:t>
            </w:r>
          </w:p>
          <w:p>
            <w:pPr>
              <w:pStyle w:val="59"/>
              <w:autoSpaceDE/>
              <w:autoSpaceDN/>
              <w:spacing w:line="240" w:lineRule="auto"/>
              <w:ind w:firstLine="420"/>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工程控制：规范操作，VOCs废气经集气罩收集</w:t>
            </w:r>
            <w:r>
              <w:rPr>
                <w:rFonts w:hint="eastAsia" w:ascii="Times New Roman" w:hAnsi="Times New Roman" w:cs="Times New Roman"/>
                <w:sz w:val="21"/>
                <w:szCs w:val="21"/>
                <w:lang w:val="en-US" w:eastAsia="zh-CN"/>
              </w:rPr>
              <w:t>+活性炭吸附处理</w:t>
            </w:r>
            <w:r>
              <w:rPr>
                <w:rFonts w:hint="default" w:ascii="Times New Roman" w:hAnsi="Times New Roman" w:cs="Times New Roman"/>
                <w:sz w:val="21"/>
                <w:szCs w:val="21"/>
                <w:lang w:val="en-US"/>
              </w:rPr>
              <w:t>达标后通过</w:t>
            </w:r>
            <w:r>
              <w:rPr>
                <w:rFonts w:hint="eastAsia" w:ascii="Times New Roman" w:hAnsi="Times New Roman" w:cs="Times New Roman"/>
                <w:sz w:val="21"/>
                <w:szCs w:val="21"/>
                <w:lang w:val="en-US" w:eastAsia="zh-CN"/>
              </w:rPr>
              <w:t>20m(高于本栋四楼楼顶3m)</w:t>
            </w:r>
            <w:r>
              <w:rPr>
                <w:rFonts w:hint="default" w:ascii="Times New Roman" w:hAnsi="Times New Roman" w:cs="Times New Roman"/>
                <w:sz w:val="21"/>
                <w:szCs w:val="21"/>
                <w:lang w:val="en-US"/>
              </w:rPr>
              <w:t>排气筒外排，操作时注意定期对废气处理设施进行检查和设备维护，保证废气处理措施正常运转；</w:t>
            </w:r>
          </w:p>
          <w:p>
            <w:pPr>
              <w:pStyle w:val="59"/>
              <w:autoSpaceDE/>
              <w:autoSpaceDN/>
              <w:spacing w:line="240" w:lineRule="auto"/>
              <w:ind w:firstLine="420"/>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制度控制：安排专人管理废气处理系统，同时建立废气处理台账管理；</w:t>
            </w:r>
          </w:p>
          <w:p>
            <w:pPr>
              <w:pStyle w:val="59"/>
              <w:spacing w:line="240" w:lineRule="auto"/>
              <w:ind w:firstLine="420"/>
              <w:rPr>
                <w:rFonts w:hint="default" w:ascii="Times New Roman" w:hAnsi="Times New Roman" w:cs="Times New Roman"/>
                <w:sz w:val="21"/>
                <w:szCs w:val="21"/>
                <w:lang w:val="en-US"/>
              </w:rPr>
            </w:pPr>
            <w:r>
              <w:rPr>
                <w:rFonts w:hint="default" w:ascii="Times New Roman" w:hAnsi="Times New Roman" w:cs="Times New Roman"/>
                <w:sz w:val="21"/>
                <w:szCs w:val="21"/>
                <w:lang w:val="en-US"/>
              </w:rPr>
              <w:t>操作注意事项：操作人员必须经过专门培训，严格遵守操作规程。保证废气处理系统（</w:t>
            </w:r>
            <w:r>
              <w:rPr>
                <w:rFonts w:hint="eastAsia" w:ascii="Times New Roman" w:hAnsi="Times New Roman" w:cs="Times New Roman"/>
                <w:sz w:val="21"/>
                <w:szCs w:val="21"/>
                <w:lang w:val="en-US" w:eastAsia="zh-CN"/>
              </w:rPr>
              <w:t>集气罩+活性炭吸附装置</w:t>
            </w:r>
            <w:r>
              <w:rPr>
                <w:rFonts w:hint="default" w:ascii="Times New Roman" w:hAnsi="Times New Roman" w:cs="Times New Roman"/>
                <w:sz w:val="21"/>
                <w:szCs w:val="21"/>
                <w:lang w:val="en-US"/>
              </w:rPr>
              <w:t>）措施的处理效果。</w:t>
            </w:r>
          </w:p>
          <w:p>
            <w:pPr>
              <w:adjustRightInd w:val="0"/>
              <w:snapToGrid w:val="0"/>
              <w:ind w:left="44" w:leftChars="20" w:right="44" w:rightChars="20"/>
              <w:rPr>
                <w:rFonts w:hint="default" w:ascii="Times New Roman" w:hAnsi="Times New Roman" w:cs="Times New Roman"/>
                <w:sz w:val="21"/>
                <w:szCs w:val="21"/>
                <w:lang w:val="en-US"/>
              </w:rPr>
            </w:pPr>
            <w:r>
              <w:rPr>
                <w:rFonts w:hint="default" w:ascii="Times New Roman" w:hAnsi="Times New Roman" w:cs="Times New Roman"/>
                <w:sz w:val="21"/>
                <w:szCs w:val="21"/>
                <w:lang w:val="en-US"/>
              </w:rPr>
              <w:t>二、油漆、润滑油泄漏引发的泄露事故</w:t>
            </w:r>
          </w:p>
          <w:p>
            <w:pPr>
              <w:adjustRightInd w:val="0"/>
              <w:snapToGrid w:val="0"/>
              <w:ind w:left="44" w:leftChars="20" w:right="44" w:rightChars="20"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①当车间工作人员发现油类物质泄漏，应立即报告车间负责人并进行应急处理。</w:t>
            </w:r>
          </w:p>
          <w:p>
            <w:pPr>
              <w:adjustRightInd w:val="0"/>
              <w:snapToGrid w:val="0"/>
              <w:ind w:left="44" w:leftChars="20" w:right="44" w:rightChars="20"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②风险防范措施</w:t>
            </w:r>
          </w:p>
          <w:p>
            <w:pPr>
              <w:adjustRightInd w:val="0"/>
              <w:snapToGrid w:val="0"/>
              <w:ind w:left="44" w:leftChars="20" w:right="44" w:rightChars="20"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油漆：组织厂内人员进行安全培训；给作业人员配备劳动防护用品并督促其正确佩戴使用；及时清理地面泄露的油漆，形成制度由专人负责实施；强化企业安全生产管理，建立完善的安全生产管理网络。</w:t>
            </w:r>
          </w:p>
          <w:p>
            <w:pPr>
              <w:adjustRightInd w:val="0"/>
              <w:snapToGrid w:val="0"/>
              <w:ind w:left="44" w:leftChars="20" w:right="44" w:rightChars="20"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润滑油：在润滑油桶下面设置托盘，当发生油类物质泄漏，托盘收集后直接倒入备用桶重新利用。润滑油使用过程中发生滴漏应及时采用吸油抹布进行清理。</w:t>
            </w:r>
          </w:p>
          <w:p>
            <w:pPr>
              <w:adjustRightInd w:val="0"/>
              <w:snapToGrid w:val="0"/>
              <w:ind w:left="44" w:leftChars="20" w:right="44" w:rightChars="20" w:firstLine="420" w:firstLineChars="200"/>
              <w:rPr>
                <w:rFonts w:ascii="Times New Roman" w:hAnsi="Times New Roman" w:cs="Times New Roman"/>
                <w:sz w:val="21"/>
                <w:szCs w:val="21"/>
                <w:lang w:val="en-US"/>
              </w:rPr>
            </w:pPr>
            <w:r>
              <w:rPr>
                <w:rFonts w:hint="default" w:ascii="Times New Roman" w:hAnsi="Times New Roman" w:cs="Times New Roman"/>
                <w:sz w:val="21"/>
                <w:szCs w:val="21"/>
                <w:lang w:val="en-US"/>
              </w:rPr>
              <w:t>本项目环境风险潜势为Ⅰ，工作等级为简单分析。项目的主要环境风险因素是项目环境风险主要为废气事故排放对大气环境的污染。建设单位应</w:t>
            </w:r>
            <w:r>
              <w:rPr>
                <w:rFonts w:hint="eastAsia" w:ascii="Times New Roman" w:hAnsi="Times New Roman" w:cs="Times New Roman"/>
                <w:color w:val="auto"/>
                <w:sz w:val="21"/>
                <w:szCs w:val="21"/>
                <w:highlight w:val="none"/>
                <w:u w:val="none"/>
                <w:lang w:val="en-US" w:eastAsia="zh-CN"/>
              </w:rPr>
              <w:t>编制突发环境事件应急预案；</w:t>
            </w:r>
            <w:r>
              <w:rPr>
                <w:rFonts w:hint="default" w:ascii="Times New Roman" w:hAnsi="Times New Roman" w:cs="Times New Roman"/>
                <w:sz w:val="21"/>
                <w:szCs w:val="21"/>
                <w:lang w:val="en-US"/>
              </w:rPr>
              <w:t>采用严格的安全防范体系，设立一套完整的管理规程、作业规章制度，加强应急演练，将环境风险降至最低；大气污染物防护措施下并不会造成严重环境影响，主要是对项目内部造成一定的经济、环境影响。综上所述，项目环境风险管理措施有效、可靠，风险处于可接受的水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3" w:hRule="atLeast"/>
          <w:jc w:val="center"/>
        </w:trPr>
        <w:tc>
          <w:tcPr>
            <w:tcW w:w="1505" w:type="dxa"/>
            <w:tcBorders>
              <w:top w:val="single" w:color="000000" w:sz="4" w:space="0"/>
              <w:right w:val="single" w:color="000000" w:sz="4" w:space="0"/>
            </w:tcBorders>
            <w:noWrap w:val="0"/>
            <w:vAlign w:val="center"/>
          </w:tcPr>
          <w:p>
            <w:pPr>
              <w:pStyle w:val="51"/>
              <w:spacing w:line="245" w:lineRule="auto"/>
              <w:jc w:val="center"/>
              <w:rPr>
                <w:sz w:val="21"/>
                <w:szCs w:val="21"/>
              </w:rPr>
            </w:pPr>
            <w:r>
              <w:rPr>
                <w:sz w:val="21"/>
                <w:szCs w:val="21"/>
              </w:rPr>
              <w:t>其他环境管理要求</w:t>
            </w:r>
          </w:p>
        </w:tc>
        <w:tc>
          <w:tcPr>
            <w:tcW w:w="7296" w:type="dxa"/>
            <w:gridSpan w:val="4"/>
            <w:tcBorders>
              <w:top w:val="single" w:color="000000" w:sz="4" w:space="0"/>
              <w:left w:val="single" w:color="000000" w:sz="4" w:space="0"/>
            </w:tcBorders>
            <w:noWrap w:val="0"/>
            <w:vAlign w:val="center"/>
          </w:tcPr>
          <w:p>
            <w:pPr>
              <w:pStyle w:val="51"/>
              <w:spacing w:before="7"/>
              <w:jc w:val="center"/>
              <w:rPr>
                <w:rFonts w:ascii="黑体"/>
                <w:sz w:val="21"/>
                <w:szCs w:val="21"/>
              </w:rPr>
            </w:pPr>
          </w:p>
          <w:p>
            <w:pPr>
              <w:pStyle w:val="51"/>
              <w:ind w:left="112"/>
              <w:jc w:val="center"/>
              <w:rPr>
                <w:rFonts w:hint="eastAsia"/>
                <w:sz w:val="21"/>
                <w:szCs w:val="21"/>
                <w:lang w:val="en-US"/>
              </w:rPr>
            </w:pPr>
            <w:r>
              <w:rPr>
                <w:rFonts w:hint="eastAsia"/>
                <w:sz w:val="21"/>
                <w:szCs w:val="21"/>
                <w:lang w:val="en-US"/>
              </w:rPr>
              <w:t>/</w:t>
            </w:r>
          </w:p>
        </w:tc>
      </w:tr>
    </w:tbl>
    <w:p>
      <w:pPr>
        <w:rPr>
          <w:sz w:val="21"/>
        </w:rPr>
        <w:sectPr>
          <w:pgSz w:w="11910" w:h="16840"/>
          <w:pgMar w:top="1580" w:right="1320" w:bottom="1000" w:left="1340" w:header="0" w:footer="817" w:gutter="0"/>
          <w:pgNumType w:fmt="numberInDash"/>
          <w:cols w:space="720" w:num="1"/>
        </w:sectPr>
      </w:pPr>
    </w:p>
    <w:p>
      <w:pPr>
        <w:pStyle w:val="11"/>
        <w:spacing w:before="8"/>
        <w:rPr>
          <w:sz w:val="25"/>
        </w:rPr>
      </w:pPr>
    </w:p>
    <w:p>
      <w:pPr>
        <w:pStyle w:val="11"/>
        <w:spacing w:before="58"/>
        <w:ind w:left="635" w:right="653"/>
        <w:jc w:val="center"/>
        <w:outlineLvl w:val="0"/>
      </w:pPr>
      <w:r>
        <w:t>六、结论</w:t>
      </w:r>
    </w:p>
    <w:p>
      <w:pPr>
        <w:pStyle w:val="11"/>
        <w:spacing w:before="10"/>
        <w:rPr>
          <w:sz w:val="18"/>
        </w:rPr>
      </w:pPr>
    </w:p>
    <w:tbl>
      <w:tblPr>
        <w:tblStyle w:val="25"/>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6" w:type="dxa"/>
            <w:noWrap w:val="0"/>
            <w:vAlign w:val="top"/>
          </w:tcPr>
          <w:p>
            <w:pPr>
              <w:pStyle w:val="59"/>
              <w:autoSpaceDE/>
              <w:autoSpaceDN/>
              <w:ind w:left="44" w:leftChars="20" w:right="44" w:rightChars="20"/>
              <w:jc w:val="both"/>
              <w:rPr>
                <w:rFonts w:hint="eastAsia"/>
                <w:szCs w:val="24"/>
                <w:u w:val="none"/>
                <w:lang w:val="en-US"/>
              </w:rPr>
            </w:pPr>
          </w:p>
          <w:p>
            <w:pPr>
              <w:pStyle w:val="59"/>
              <w:autoSpaceDE/>
              <w:autoSpaceDN/>
              <w:ind w:left="44" w:leftChars="20" w:right="44" w:rightChars="20"/>
              <w:jc w:val="both"/>
              <w:rPr>
                <w:rFonts w:hint="eastAsia"/>
                <w:szCs w:val="24"/>
                <w:u w:val="none"/>
                <w:lang w:val="en-US"/>
              </w:rPr>
            </w:pPr>
          </w:p>
          <w:p>
            <w:pPr>
              <w:pStyle w:val="59"/>
              <w:autoSpaceDE/>
              <w:autoSpaceDN/>
              <w:ind w:left="44" w:leftChars="20" w:right="44" w:rightChars="20"/>
              <w:jc w:val="both"/>
              <w:rPr>
                <w:rFonts w:hint="eastAsia"/>
                <w:szCs w:val="24"/>
                <w:u w:val="none"/>
                <w:lang w:val="en-US"/>
              </w:rPr>
            </w:pPr>
          </w:p>
          <w:p>
            <w:pPr>
              <w:pStyle w:val="59"/>
              <w:autoSpaceDE/>
              <w:autoSpaceDN/>
              <w:ind w:left="44" w:leftChars="20" w:right="44" w:rightChars="20"/>
              <w:jc w:val="both"/>
              <w:rPr>
                <w:rFonts w:hint="eastAsia"/>
                <w:szCs w:val="24"/>
                <w:u w:val="none"/>
                <w:lang w:val="en-US"/>
              </w:rPr>
            </w:pPr>
            <w:r>
              <w:rPr>
                <w:rFonts w:hint="eastAsia"/>
                <w:szCs w:val="24"/>
                <w:u w:val="none"/>
                <w:lang w:val="en-US"/>
              </w:rPr>
              <w:t>本项目符合国家产业政策，选址合理，项目污染物在达标排放情况下对周围环境影响较小，区域环境质量能维持现状，只要建设单位重视环保工作，认真落实评价提出的各项污染防治对策及相关法律法规的要求，加强对污染物的治理工作，加强对各类污染源的管理，严格执行“三同时制度”及相关的环保法律法规，可达到环境保护的目标。从环保角度考虑，项目的建设是可行的。</w:t>
            </w:r>
          </w:p>
          <w:p>
            <w:pPr>
              <w:pStyle w:val="59"/>
              <w:autoSpaceDE/>
              <w:autoSpaceDN/>
              <w:ind w:left="44" w:leftChars="20" w:right="44" w:rightChars="20"/>
              <w:jc w:val="both"/>
              <w:rPr>
                <w:szCs w:val="24"/>
                <w:u w:val="single"/>
                <w:lang w:val="en-US"/>
              </w:rPr>
            </w:pPr>
          </w:p>
          <w:p>
            <w:pPr>
              <w:pStyle w:val="59"/>
              <w:autoSpaceDE/>
              <w:autoSpaceDN/>
              <w:ind w:left="44" w:leftChars="20" w:right="44" w:rightChars="20" w:firstLine="420"/>
              <w:jc w:val="both"/>
              <w:rPr>
                <w:rFonts w:hint="eastAsia"/>
                <w:sz w:val="21"/>
                <w:szCs w:val="21"/>
                <w:lang w:val="en-US"/>
              </w:rPr>
            </w:pPr>
          </w:p>
          <w:p>
            <w:pPr>
              <w:pStyle w:val="59"/>
              <w:autoSpaceDE/>
              <w:autoSpaceDN/>
              <w:ind w:left="44" w:leftChars="20" w:right="44" w:rightChars="20" w:firstLine="420"/>
              <w:jc w:val="both"/>
              <w:rPr>
                <w:rFonts w:hint="eastAsia"/>
                <w:sz w:val="21"/>
                <w:szCs w:val="21"/>
                <w:lang w:val="en-US"/>
              </w:rPr>
            </w:pPr>
          </w:p>
          <w:p>
            <w:pPr>
              <w:pStyle w:val="59"/>
              <w:autoSpaceDE/>
              <w:autoSpaceDN/>
              <w:ind w:left="44" w:leftChars="20" w:right="44" w:rightChars="20" w:firstLine="420"/>
              <w:jc w:val="both"/>
              <w:rPr>
                <w:rFonts w:hint="eastAsia"/>
                <w:sz w:val="21"/>
                <w:szCs w:val="21"/>
                <w:lang w:val="en-US"/>
              </w:rPr>
            </w:pPr>
          </w:p>
          <w:p>
            <w:pPr>
              <w:pStyle w:val="59"/>
              <w:autoSpaceDE/>
              <w:autoSpaceDN/>
              <w:ind w:left="44" w:leftChars="20" w:right="44" w:rightChars="20" w:firstLine="420"/>
              <w:jc w:val="both"/>
              <w:rPr>
                <w:rFonts w:hint="eastAsia"/>
                <w:sz w:val="21"/>
                <w:szCs w:val="21"/>
                <w:lang w:val="en-US"/>
              </w:rPr>
            </w:pPr>
          </w:p>
          <w:p>
            <w:pPr>
              <w:pStyle w:val="59"/>
              <w:autoSpaceDE/>
              <w:autoSpaceDN/>
              <w:ind w:left="44" w:leftChars="20" w:right="44" w:rightChars="20" w:firstLine="420"/>
              <w:jc w:val="both"/>
              <w:rPr>
                <w:rFonts w:hint="eastAsia"/>
                <w:sz w:val="21"/>
                <w:szCs w:val="21"/>
                <w:lang w:val="en-US"/>
              </w:rPr>
            </w:pPr>
          </w:p>
          <w:p>
            <w:pPr>
              <w:pStyle w:val="59"/>
              <w:autoSpaceDE/>
              <w:autoSpaceDN/>
              <w:ind w:left="44" w:leftChars="20" w:right="44" w:rightChars="20" w:firstLine="420"/>
              <w:jc w:val="both"/>
              <w:rPr>
                <w:rFonts w:hint="eastAsia"/>
                <w:sz w:val="21"/>
                <w:szCs w:val="21"/>
                <w:lang w:val="en-US"/>
              </w:rPr>
            </w:pPr>
          </w:p>
          <w:p>
            <w:pPr>
              <w:pStyle w:val="59"/>
              <w:autoSpaceDE/>
              <w:autoSpaceDN/>
              <w:ind w:right="44" w:rightChars="20" w:firstLine="0" w:firstLineChars="0"/>
              <w:jc w:val="both"/>
              <w:rPr>
                <w:rFonts w:hint="eastAsia"/>
                <w:sz w:val="21"/>
                <w:szCs w:val="21"/>
                <w:lang w:val="en-US"/>
              </w:rPr>
            </w:pPr>
          </w:p>
          <w:p>
            <w:pPr>
              <w:pStyle w:val="11"/>
              <w:spacing w:before="10"/>
              <w:jc w:val="both"/>
              <w:rPr>
                <w:sz w:val="21"/>
                <w:szCs w:val="21"/>
              </w:rPr>
            </w:pPr>
          </w:p>
        </w:tc>
      </w:tr>
    </w:tbl>
    <w:p>
      <w:pPr>
        <w:pStyle w:val="11"/>
        <w:spacing w:before="10"/>
        <w:rPr>
          <w:sz w:val="18"/>
        </w:rPr>
      </w:pPr>
    </w:p>
    <w:p>
      <w:pPr>
        <w:rPr>
          <w:sz w:val="18"/>
        </w:rPr>
        <w:sectPr>
          <w:pgSz w:w="11910" w:h="16840"/>
          <w:pgMar w:top="1580" w:right="1320" w:bottom="1000" w:left="1340" w:header="0" w:footer="817" w:gutter="0"/>
          <w:pgNumType w:fmt="numberInDash"/>
          <w:cols w:space="720" w:num="1"/>
        </w:sectPr>
      </w:pPr>
    </w:p>
    <w:p>
      <w:pPr>
        <w:spacing w:before="55"/>
        <w:outlineLvl w:val="0"/>
        <w:rPr>
          <w:rFonts w:ascii="黑体" w:eastAsia="黑体"/>
          <w:sz w:val="32"/>
        </w:rPr>
      </w:pPr>
      <w:r>
        <w:rPr>
          <w:rFonts w:hint="eastAsia" w:ascii="黑体" w:eastAsia="黑体"/>
          <w:sz w:val="32"/>
        </w:rPr>
        <w:t>附表</w:t>
      </w:r>
    </w:p>
    <w:p>
      <w:pPr>
        <w:pStyle w:val="4"/>
        <w:spacing w:before="173"/>
        <w:ind w:left="4550" w:right="4510"/>
      </w:pPr>
      <w:r>
        <w:t>建设项目污染物排放量汇总表</w:t>
      </w:r>
    </w:p>
    <w:tbl>
      <w:tblPr>
        <w:tblStyle w:val="25"/>
        <w:tblW w:w="137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66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65"/>
              <w:spacing w:beforeLines="0" w:afterLines="0" w:line="240" w:lineRule="auto"/>
              <w:jc w:val="center"/>
              <w:rPr>
                <w:rFonts w:hint="eastAsia" w:hAnsi="宋体" w:cs="宋体"/>
                <w:snapToGrid w:val="0"/>
                <w:color w:val="000000"/>
                <w:kern w:val="21"/>
                <w:sz w:val="21"/>
                <w:szCs w:val="21"/>
              </w:rPr>
            </w:pPr>
            <w:r>
              <w:rPr>
                <w:rFonts w:hint="eastAsia" w:hAnsi="宋体" w:cs="宋体"/>
                <w:snapToGrid w:val="0"/>
                <w:color w:val="000000"/>
                <w:kern w:val="21"/>
                <w:sz w:val="21"/>
                <w:szCs w:val="21"/>
              </w:rPr>
              <w:t>项目</w:t>
            </w:r>
          </w:p>
          <w:p>
            <w:pPr>
              <w:pStyle w:val="65"/>
              <w:spacing w:beforeLines="0" w:afterLines="0" w:line="240" w:lineRule="auto"/>
              <w:jc w:val="center"/>
              <w:rPr>
                <w:rFonts w:hint="eastAsia" w:hAnsi="宋体" w:cs="宋体"/>
                <w:snapToGrid w:val="0"/>
                <w:color w:val="000000"/>
                <w:kern w:val="21"/>
                <w:sz w:val="21"/>
                <w:szCs w:val="21"/>
              </w:rPr>
            </w:pPr>
            <w:r>
              <w:rPr>
                <w:rFonts w:hint="eastAsia" w:hAnsi="宋体" w:cs="宋体"/>
                <w:snapToGrid w:val="0"/>
                <w:color w:val="000000"/>
                <w:kern w:val="21"/>
                <w:sz w:val="21"/>
                <w:szCs w:val="21"/>
              </w:rPr>
              <w:t>分类</w:t>
            </w:r>
          </w:p>
        </w:tc>
        <w:tc>
          <w:tcPr>
            <w:tcW w:w="1417" w:type="dxa"/>
            <w:noWrap w:val="0"/>
            <w:tcMar>
              <w:left w:w="28" w:type="dxa"/>
              <w:right w:w="28" w:type="dxa"/>
            </w:tcMar>
            <w:vAlign w:val="center"/>
          </w:tcPr>
          <w:p>
            <w:pPr>
              <w:pStyle w:val="65"/>
              <w:spacing w:beforeLines="0" w:afterLines="0" w:line="240" w:lineRule="auto"/>
              <w:jc w:val="center"/>
              <w:rPr>
                <w:rFonts w:hint="eastAsia" w:hAnsi="宋体" w:cs="宋体"/>
                <w:snapToGrid w:val="0"/>
                <w:color w:val="000000"/>
                <w:kern w:val="21"/>
                <w:sz w:val="21"/>
                <w:szCs w:val="21"/>
              </w:rPr>
            </w:pPr>
            <w:r>
              <w:rPr>
                <w:rFonts w:hint="eastAsia" w:hAnsi="宋体" w:cs="宋体"/>
                <w:snapToGrid w:val="0"/>
                <w:color w:val="000000"/>
                <w:kern w:val="21"/>
                <w:sz w:val="21"/>
                <w:szCs w:val="21"/>
              </w:rPr>
              <w:t>污染物名称</w:t>
            </w:r>
          </w:p>
        </w:tc>
        <w:tc>
          <w:tcPr>
            <w:tcW w:w="1661" w:type="dxa"/>
            <w:noWrap w:val="0"/>
            <w:tcMar>
              <w:left w:w="28" w:type="dxa"/>
              <w:right w:w="28" w:type="dxa"/>
            </w:tcMar>
            <w:vAlign w:val="center"/>
          </w:tcPr>
          <w:p>
            <w:pPr>
              <w:pStyle w:val="65"/>
              <w:spacing w:beforeLines="0" w:afterLines="0" w:line="240" w:lineRule="auto"/>
              <w:jc w:val="center"/>
              <w:rPr>
                <w:rFonts w:hint="eastAsia" w:hAnsi="宋体"/>
                <w:snapToGrid w:val="0"/>
                <w:color w:val="000000"/>
                <w:kern w:val="21"/>
                <w:sz w:val="21"/>
                <w:szCs w:val="21"/>
              </w:rPr>
            </w:pPr>
            <w:r>
              <w:rPr>
                <w:rFonts w:hAnsi="宋体"/>
                <w:snapToGrid w:val="0"/>
                <w:color w:val="000000"/>
                <w:kern w:val="21"/>
                <w:sz w:val="21"/>
                <w:szCs w:val="21"/>
              </w:rPr>
              <w:t>现有工程</w:t>
            </w:r>
          </w:p>
          <w:p>
            <w:pPr>
              <w:pStyle w:val="65"/>
              <w:spacing w:beforeLines="0" w:afterLines="0" w:line="240" w:lineRule="auto"/>
              <w:jc w:val="center"/>
              <w:rPr>
                <w:rFonts w:hAnsi="宋体"/>
                <w:snapToGrid w:val="0"/>
                <w:color w:val="000000"/>
                <w:kern w:val="21"/>
                <w:sz w:val="21"/>
                <w:szCs w:val="21"/>
              </w:rPr>
            </w:pPr>
            <w:r>
              <w:rPr>
                <w:rFonts w:hAnsi="宋体"/>
                <w:snapToGrid w:val="0"/>
                <w:color w:val="000000"/>
                <w:kern w:val="21"/>
                <w:sz w:val="21"/>
                <w:szCs w:val="21"/>
              </w:rPr>
              <w:t>排放量（固</w:t>
            </w:r>
            <w:r>
              <w:rPr>
                <w:rFonts w:hint="eastAsia" w:hAnsi="宋体"/>
                <w:snapToGrid w:val="0"/>
                <w:color w:val="000000"/>
                <w:kern w:val="21"/>
                <w:sz w:val="21"/>
                <w:szCs w:val="21"/>
              </w:rPr>
              <w:t>体</w:t>
            </w:r>
            <w:r>
              <w:rPr>
                <w:rFonts w:hAnsi="宋体"/>
                <w:snapToGrid w:val="0"/>
                <w:color w:val="000000"/>
                <w:kern w:val="21"/>
                <w:sz w:val="21"/>
                <w:szCs w:val="21"/>
              </w:rPr>
              <w:t>废</w:t>
            </w:r>
            <w:r>
              <w:rPr>
                <w:rFonts w:hint="eastAsia" w:hAnsi="宋体"/>
                <w:snapToGrid w:val="0"/>
                <w:color w:val="000000"/>
                <w:kern w:val="21"/>
                <w:sz w:val="21"/>
                <w:szCs w:val="21"/>
              </w:rPr>
              <w:t>物</w:t>
            </w:r>
            <w:r>
              <w:rPr>
                <w:rFonts w:hAnsi="宋体"/>
                <w:snapToGrid w:val="0"/>
                <w:color w:val="000000"/>
                <w:kern w:val="21"/>
                <w:sz w:val="21"/>
                <w:szCs w:val="21"/>
              </w:rPr>
              <w:t>产生量）</w:t>
            </w:r>
            <w:r>
              <w:rPr>
                <w:rFonts w:hAnsi="宋体"/>
                <w:snapToGrid w:val="0"/>
                <w:color w:val="000000"/>
                <w:kern w:val="21"/>
                <w:sz w:val="21"/>
                <w:szCs w:val="21"/>
              </w:rPr>
              <w:fldChar w:fldCharType="begin"/>
            </w:r>
            <w:r>
              <w:rPr>
                <w:rFonts w:hAnsi="宋体"/>
                <w:snapToGrid w:val="0"/>
                <w:color w:val="000000"/>
                <w:kern w:val="21"/>
                <w:sz w:val="21"/>
                <w:szCs w:val="21"/>
              </w:rPr>
              <w:instrText xml:space="preserve"> = 1 \* GB3 \* MERGEFORMAT </w:instrText>
            </w:r>
            <w:r>
              <w:rPr>
                <w:rFonts w:hAnsi="宋体"/>
                <w:snapToGrid w:val="0"/>
                <w:color w:val="000000"/>
                <w:kern w:val="21"/>
                <w:sz w:val="21"/>
                <w:szCs w:val="21"/>
              </w:rPr>
              <w:fldChar w:fldCharType="separate"/>
            </w:r>
            <w:r>
              <w:rPr>
                <w:rFonts w:hint="eastAsia" w:hAnsi="宋体" w:cs="宋体"/>
                <w:kern w:val="21"/>
                <w:sz w:val="21"/>
                <w:szCs w:val="21"/>
              </w:rPr>
              <w:t>①</w:t>
            </w:r>
            <w:r>
              <w:rPr>
                <w:rFonts w:hAnsi="宋体"/>
                <w:snapToGrid w:val="0"/>
                <w:color w:val="000000"/>
                <w:kern w:val="21"/>
                <w:sz w:val="21"/>
                <w:szCs w:val="21"/>
              </w:rPr>
              <w:fldChar w:fldCharType="end"/>
            </w:r>
          </w:p>
        </w:tc>
        <w:tc>
          <w:tcPr>
            <w:tcW w:w="1276" w:type="dxa"/>
            <w:noWrap w:val="0"/>
            <w:tcMar>
              <w:left w:w="28" w:type="dxa"/>
              <w:right w:w="28" w:type="dxa"/>
            </w:tcMar>
            <w:vAlign w:val="center"/>
          </w:tcPr>
          <w:p>
            <w:pPr>
              <w:pStyle w:val="65"/>
              <w:spacing w:beforeLines="0" w:afterLines="0" w:line="240" w:lineRule="auto"/>
              <w:jc w:val="center"/>
              <w:rPr>
                <w:rFonts w:hAnsi="宋体"/>
                <w:snapToGrid w:val="0"/>
                <w:color w:val="000000"/>
                <w:kern w:val="21"/>
                <w:sz w:val="21"/>
                <w:szCs w:val="21"/>
              </w:rPr>
            </w:pPr>
            <w:r>
              <w:rPr>
                <w:rFonts w:hAnsi="宋体"/>
                <w:snapToGrid w:val="0"/>
                <w:color w:val="000000"/>
                <w:kern w:val="21"/>
                <w:sz w:val="21"/>
                <w:szCs w:val="21"/>
              </w:rPr>
              <w:t>现有工程</w:t>
            </w:r>
          </w:p>
          <w:p>
            <w:pPr>
              <w:pStyle w:val="65"/>
              <w:spacing w:beforeLines="0" w:afterLines="0" w:line="240" w:lineRule="auto"/>
              <w:jc w:val="center"/>
              <w:rPr>
                <w:rFonts w:hAnsi="宋体"/>
                <w:snapToGrid w:val="0"/>
                <w:color w:val="000000"/>
                <w:kern w:val="21"/>
                <w:sz w:val="21"/>
                <w:szCs w:val="21"/>
              </w:rPr>
            </w:pPr>
            <w:r>
              <w:rPr>
                <w:rFonts w:hAnsi="宋体"/>
                <w:snapToGrid w:val="0"/>
                <w:color w:val="000000"/>
                <w:kern w:val="21"/>
                <w:sz w:val="21"/>
                <w:szCs w:val="21"/>
              </w:rPr>
              <w:t>许可排放量</w:t>
            </w:r>
          </w:p>
          <w:p>
            <w:pPr>
              <w:pStyle w:val="65"/>
              <w:spacing w:beforeLines="0" w:afterLines="0"/>
              <w:jc w:val="center"/>
              <w:rPr>
                <w:rFonts w:hAnsi="宋体"/>
                <w:snapToGrid w:val="0"/>
                <w:color w:val="000000"/>
                <w:kern w:val="21"/>
                <w:sz w:val="21"/>
                <w:szCs w:val="21"/>
              </w:rPr>
            </w:pPr>
            <w:r>
              <w:rPr>
                <w:rFonts w:hAnsi="宋体"/>
                <w:snapToGrid w:val="0"/>
                <w:color w:val="000000"/>
                <w:kern w:val="21"/>
                <w:sz w:val="21"/>
                <w:szCs w:val="21"/>
              </w:rPr>
              <w:fldChar w:fldCharType="begin"/>
            </w:r>
            <w:r>
              <w:rPr>
                <w:rFonts w:hAnsi="宋体"/>
                <w:snapToGrid w:val="0"/>
                <w:color w:val="000000"/>
                <w:kern w:val="21"/>
                <w:sz w:val="21"/>
                <w:szCs w:val="21"/>
              </w:rPr>
              <w:instrText xml:space="preserve"> = 2 \* GB3 \* MERGEFORMAT </w:instrText>
            </w:r>
            <w:r>
              <w:rPr>
                <w:rFonts w:hAnsi="宋体"/>
                <w:snapToGrid w:val="0"/>
                <w:color w:val="000000"/>
                <w:kern w:val="21"/>
                <w:sz w:val="21"/>
                <w:szCs w:val="21"/>
              </w:rPr>
              <w:fldChar w:fldCharType="separate"/>
            </w:r>
            <w:r>
              <w:rPr>
                <w:rFonts w:hint="eastAsia" w:hAnsi="宋体" w:cs="宋体"/>
                <w:snapToGrid w:val="0"/>
                <w:color w:val="000000"/>
                <w:kern w:val="21"/>
                <w:sz w:val="21"/>
                <w:szCs w:val="21"/>
              </w:rPr>
              <w:t>②</w:t>
            </w:r>
            <w:r>
              <w:rPr>
                <w:rFonts w:hAnsi="宋体"/>
                <w:snapToGrid w:val="0"/>
                <w:color w:val="000000"/>
                <w:kern w:val="21"/>
                <w:sz w:val="21"/>
                <w:szCs w:val="21"/>
              </w:rPr>
              <w:fldChar w:fldCharType="end"/>
            </w:r>
          </w:p>
        </w:tc>
        <w:tc>
          <w:tcPr>
            <w:tcW w:w="1701" w:type="dxa"/>
            <w:noWrap w:val="0"/>
            <w:tcMar>
              <w:left w:w="28" w:type="dxa"/>
              <w:right w:w="28" w:type="dxa"/>
            </w:tcMar>
            <w:vAlign w:val="center"/>
          </w:tcPr>
          <w:p>
            <w:pPr>
              <w:pStyle w:val="65"/>
              <w:spacing w:beforeLines="0" w:afterLines="0" w:line="240" w:lineRule="auto"/>
              <w:jc w:val="center"/>
              <w:rPr>
                <w:rFonts w:hint="eastAsia" w:hAnsi="宋体"/>
                <w:snapToGrid w:val="0"/>
                <w:color w:val="000000"/>
                <w:kern w:val="21"/>
                <w:sz w:val="21"/>
                <w:szCs w:val="21"/>
              </w:rPr>
            </w:pPr>
            <w:r>
              <w:rPr>
                <w:rFonts w:hAnsi="宋体"/>
                <w:snapToGrid w:val="0"/>
                <w:color w:val="000000"/>
                <w:kern w:val="21"/>
                <w:sz w:val="21"/>
                <w:szCs w:val="21"/>
              </w:rPr>
              <w:t>在建工程</w:t>
            </w:r>
          </w:p>
          <w:p>
            <w:pPr>
              <w:pStyle w:val="65"/>
              <w:spacing w:beforeLines="0" w:afterLines="0" w:line="240" w:lineRule="auto"/>
              <w:jc w:val="center"/>
              <w:rPr>
                <w:rFonts w:hAnsi="宋体"/>
                <w:snapToGrid w:val="0"/>
                <w:color w:val="000000"/>
                <w:kern w:val="21"/>
                <w:sz w:val="21"/>
                <w:szCs w:val="21"/>
              </w:rPr>
            </w:pPr>
            <w:r>
              <w:rPr>
                <w:rFonts w:hAnsi="宋体"/>
                <w:snapToGrid w:val="0"/>
                <w:color w:val="000000"/>
                <w:kern w:val="21"/>
                <w:sz w:val="21"/>
                <w:szCs w:val="21"/>
              </w:rPr>
              <w:t>排放量（固</w:t>
            </w:r>
            <w:r>
              <w:rPr>
                <w:rFonts w:hint="eastAsia" w:hAnsi="宋体"/>
                <w:snapToGrid w:val="0"/>
                <w:color w:val="000000"/>
                <w:kern w:val="21"/>
                <w:sz w:val="21"/>
                <w:szCs w:val="21"/>
              </w:rPr>
              <w:t>体</w:t>
            </w:r>
            <w:r>
              <w:rPr>
                <w:rFonts w:hAnsi="宋体"/>
                <w:snapToGrid w:val="0"/>
                <w:color w:val="000000"/>
                <w:kern w:val="21"/>
                <w:sz w:val="21"/>
                <w:szCs w:val="21"/>
              </w:rPr>
              <w:t>废</w:t>
            </w:r>
            <w:r>
              <w:rPr>
                <w:rFonts w:hint="eastAsia" w:hAnsi="宋体"/>
                <w:snapToGrid w:val="0"/>
                <w:color w:val="000000"/>
                <w:kern w:val="21"/>
                <w:sz w:val="21"/>
                <w:szCs w:val="21"/>
              </w:rPr>
              <w:t>物</w:t>
            </w:r>
            <w:r>
              <w:rPr>
                <w:rFonts w:hAnsi="宋体"/>
                <w:snapToGrid w:val="0"/>
                <w:color w:val="000000"/>
                <w:kern w:val="21"/>
                <w:sz w:val="21"/>
                <w:szCs w:val="21"/>
              </w:rPr>
              <w:t>产生量）</w:t>
            </w:r>
            <w:r>
              <w:rPr>
                <w:rFonts w:hAnsi="宋体"/>
                <w:snapToGrid w:val="0"/>
                <w:color w:val="000000"/>
                <w:kern w:val="21"/>
                <w:sz w:val="21"/>
                <w:szCs w:val="21"/>
              </w:rPr>
              <w:fldChar w:fldCharType="begin"/>
            </w:r>
            <w:r>
              <w:rPr>
                <w:rFonts w:hAnsi="宋体"/>
                <w:snapToGrid w:val="0"/>
                <w:color w:val="000000"/>
                <w:kern w:val="21"/>
                <w:sz w:val="21"/>
                <w:szCs w:val="21"/>
              </w:rPr>
              <w:instrText xml:space="preserve"> = 3 \* GB3 \* MERGEFORMAT </w:instrText>
            </w:r>
            <w:r>
              <w:rPr>
                <w:rFonts w:hAnsi="宋体"/>
                <w:snapToGrid w:val="0"/>
                <w:color w:val="000000"/>
                <w:kern w:val="21"/>
                <w:sz w:val="21"/>
                <w:szCs w:val="21"/>
              </w:rPr>
              <w:fldChar w:fldCharType="separate"/>
            </w:r>
            <w:r>
              <w:rPr>
                <w:rFonts w:hint="eastAsia" w:hAnsi="宋体" w:cs="宋体"/>
                <w:kern w:val="21"/>
                <w:sz w:val="21"/>
                <w:szCs w:val="21"/>
              </w:rPr>
              <w:t>③</w:t>
            </w:r>
            <w:r>
              <w:rPr>
                <w:rFonts w:hAnsi="宋体"/>
                <w:snapToGrid w:val="0"/>
                <w:color w:val="000000"/>
                <w:kern w:val="21"/>
                <w:sz w:val="21"/>
                <w:szCs w:val="21"/>
              </w:rPr>
              <w:fldChar w:fldCharType="end"/>
            </w:r>
          </w:p>
        </w:tc>
        <w:tc>
          <w:tcPr>
            <w:tcW w:w="1559" w:type="dxa"/>
            <w:noWrap w:val="0"/>
            <w:tcMar>
              <w:left w:w="28" w:type="dxa"/>
              <w:right w:w="28" w:type="dxa"/>
            </w:tcMar>
            <w:vAlign w:val="center"/>
          </w:tcPr>
          <w:p>
            <w:pPr>
              <w:pStyle w:val="65"/>
              <w:spacing w:beforeLines="0" w:afterLines="0" w:line="240" w:lineRule="auto"/>
              <w:jc w:val="center"/>
              <w:rPr>
                <w:rFonts w:hint="eastAsia" w:hAnsi="宋体"/>
                <w:snapToGrid w:val="0"/>
                <w:color w:val="000000"/>
                <w:kern w:val="21"/>
                <w:sz w:val="21"/>
                <w:szCs w:val="21"/>
              </w:rPr>
            </w:pPr>
            <w:r>
              <w:rPr>
                <w:rFonts w:hAnsi="宋体"/>
                <w:snapToGrid w:val="0"/>
                <w:color w:val="000000"/>
                <w:kern w:val="21"/>
                <w:sz w:val="21"/>
                <w:szCs w:val="21"/>
              </w:rPr>
              <w:t>本项目</w:t>
            </w:r>
          </w:p>
          <w:p>
            <w:pPr>
              <w:pStyle w:val="65"/>
              <w:spacing w:beforeLines="0" w:afterLines="0" w:line="240" w:lineRule="auto"/>
              <w:jc w:val="center"/>
              <w:rPr>
                <w:rFonts w:hAnsi="宋体"/>
                <w:snapToGrid w:val="0"/>
                <w:color w:val="000000"/>
                <w:kern w:val="21"/>
                <w:sz w:val="21"/>
                <w:szCs w:val="21"/>
              </w:rPr>
            </w:pPr>
            <w:r>
              <w:rPr>
                <w:rFonts w:hAnsi="宋体"/>
                <w:snapToGrid w:val="0"/>
                <w:color w:val="000000"/>
                <w:kern w:val="21"/>
                <w:sz w:val="21"/>
                <w:szCs w:val="21"/>
              </w:rPr>
              <w:t>排放量（固</w:t>
            </w:r>
            <w:r>
              <w:rPr>
                <w:rFonts w:hint="eastAsia" w:hAnsi="宋体"/>
                <w:snapToGrid w:val="0"/>
                <w:color w:val="000000"/>
                <w:kern w:val="21"/>
                <w:sz w:val="21"/>
                <w:szCs w:val="21"/>
              </w:rPr>
              <w:t>体</w:t>
            </w:r>
            <w:r>
              <w:rPr>
                <w:rFonts w:hAnsi="宋体"/>
                <w:snapToGrid w:val="0"/>
                <w:color w:val="000000"/>
                <w:kern w:val="21"/>
                <w:sz w:val="21"/>
                <w:szCs w:val="21"/>
              </w:rPr>
              <w:t>废</w:t>
            </w:r>
            <w:r>
              <w:rPr>
                <w:rFonts w:hint="eastAsia" w:hAnsi="宋体"/>
                <w:snapToGrid w:val="0"/>
                <w:color w:val="000000"/>
                <w:kern w:val="21"/>
                <w:sz w:val="21"/>
                <w:szCs w:val="21"/>
              </w:rPr>
              <w:t>物</w:t>
            </w:r>
            <w:r>
              <w:rPr>
                <w:rFonts w:hAnsi="宋体"/>
                <w:snapToGrid w:val="0"/>
                <w:color w:val="000000"/>
                <w:kern w:val="21"/>
                <w:sz w:val="21"/>
                <w:szCs w:val="21"/>
              </w:rPr>
              <w:t>产生量）</w:t>
            </w:r>
            <w:r>
              <w:rPr>
                <w:rFonts w:hAnsi="宋体"/>
                <w:snapToGrid w:val="0"/>
                <w:color w:val="000000"/>
                <w:kern w:val="21"/>
                <w:sz w:val="21"/>
                <w:szCs w:val="21"/>
              </w:rPr>
              <w:fldChar w:fldCharType="begin"/>
            </w:r>
            <w:r>
              <w:rPr>
                <w:rFonts w:hAnsi="宋体"/>
                <w:snapToGrid w:val="0"/>
                <w:color w:val="000000"/>
                <w:kern w:val="21"/>
                <w:sz w:val="21"/>
                <w:szCs w:val="21"/>
              </w:rPr>
              <w:instrText xml:space="preserve"> = 4 \* GB3 \* MERGEFORMAT </w:instrText>
            </w:r>
            <w:r>
              <w:rPr>
                <w:rFonts w:hAnsi="宋体"/>
                <w:snapToGrid w:val="0"/>
                <w:color w:val="000000"/>
                <w:kern w:val="21"/>
                <w:sz w:val="21"/>
                <w:szCs w:val="21"/>
              </w:rPr>
              <w:fldChar w:fldCharType="separate"/>
            </w:r>
            <w:r>
              <w:rPr>
                <w:rFonts w:hint="eastAsia" w:hAnsi="宋体" w:cs="宋体"/>
                <w:kern w:val="21"/>
                <w:sz w:val="21"/>
                <w:szCs w:val="21"/>
              </w:rPr>
              <w:t>④</w:t>
            </w:r>
            <w:r>
              <w:rPr>
                <w:rFonts w:hAnsi="宋体"/>
                <w:snapToGrid w:val="0"/>
                <w:color w:val="000000"/>
                <w:kern w:val="21"/>
                <w:sz w:val="21"/>
                <w:szCs w:val="21"/>
              </w:rPr>
              <w:fldChar w:fldCharType="end"/>
            </w:r>
          </w:p>
        </w:tc>
        <w:tc>
          <w:tcPr>
            <w:tcW w:w="1761" w:type="dxa"/>
            <w:noWrap w:val="0"/>
            <w:tcMar>
              <w:left w:w="28" w:type="dxa"/>
              <w:right w:w="28" w:type="dxa"/>
            </w:tcMar>
            <w:vAlign w:val="center"/>
          </w:tcPr>
          <w:p>
            <w:pPr>
              <w:pStyle w:val="65"/>
              <w:spacing w:beforeLines="0" w:afterLines="0" w:line="240" w:lineRule="auto"/>
              <w:jc w:val="center"/>
              <w:rPr>
                <w:rFonts w:hint="eastAsia" w:hAnsi="宋体"/>
                <w:snapToGrid w:val="0"/>
                <w:color w:val="000000"/>
                <w:kern w:val="21"/>
                <w:sz w:val="21"/>
                <w:szCs w:val="21"/>
              </w:rPr>
            </w:pPr>
            <w:r>
              <w:rPr>
                <w:rFonts w:hAnsi="宋体"/>
                <w:snapToGrid w:val="0"/>
                <w:color w:val="000000"/>
                <w:kern w:val="21"/>
                <w:sz w:val="21"/>
                <w:szCs w:val="21"/>
              </w:rPr>
              <w:t>以新带老削减量</w:t>
            </w:r>
          </w:p>
          <w:p>
            <w:pPr>
              <w:pStyle w:val="65"/>
              <w:spacing w:beforeLines="0" w:afterLines="0" w:line="240" w:lineRule="auto"/>
              <w:jc w:val="center"/>
              <w:rPr>
                <w:rFonts w:hAnsi="宋体"/>
                <w:snapToGrid w:val="0"/>
                <w:color w:val="000000"/>
                <w:kern w:val="21"/>
                <w:sz w:val="21"/>
                <w:szCs w:val="21"/>
              </w:rPr>
            </w:pPr>
            <w:r>
              <w:rPr>
                <w:rFonts w:hAnsi="宋体"/>
                <w:snapToGrid w:val="0"/>
                <w:color w:val="000000"/>
                <w:kern w:val="21"/>
                <w:sz w:val="21"/>
                <w:szCs w:val="21"/>
              </w:rPr>
              <w:t>（新建项目不填）</w:t>
            </w:r>
            <w:r>
              <w:rPr>
                <w:rFonts w:hAnsi="宋体"/>
                <w:snapToGrid w:val="0"/>
                <w:color w:val="000000"/>
                <w:kern w:val="21"/>
                <w:sz w:val="21"/>
                <w:szCs w:val="21"/>
              </w:rPr>
              <w:fldChar w:fldCharType="begin"/>
            </w:r>
            <w:r>
              <w:rPr>
                <w:rFonts w:hAnsi="宋体"/>
                <w:snapToGrid w:val="0"/>
                <w:color w:val="000000"/>
                <w:kern w:val="21"/>
                <w:sz w:val="21"/>
                <w:szCs w:val="21"/>
              </w:rPr>
              <w:instrText xml:space="preserve"> = 5 \* GB3 \* MERGEFORMAT </w:instrText>
            </w:r>
            <w:r>
              <w:rPr>
                <w:rFonts w:hAnsi="宋体"/>
                <w:snapToGrid w:val="0"/>
                <w:color w:val="000000"/>
                <w:kern w:val="21"/>
                <w:sz w:val="21"/>
                <w:szCs w:val="21"/>
              </w:rPr>
              <w:fldChar w:fldCharType="separate"/>
            </w:r>
            <w:r>
              <w:rPr>
                <w:rFonts w:hint="eastAsia" w:hAnsi="宋体" w:cs="宋体"/>
                <w:kern w:val="21"/>
                <w:sz w:val="21"/>
                <w:szCs w:val="21"/>
              </w:rPr>
              <w:t>⑤</w:t>
            </w:r>
            <w:r>
              <w:rPr>
                <w:rFonts w:hAnsi="宋体"/>
                <w:snapToGrid w:val="0"/>
                <w:color w:val="000000"/>
                <w:kern w:val="21"/>
                <w:sz w:val="21"/>
                <w:szCs w:val="21"/>
              </w:rPr>
              <w:fldChar w:fldCharType="end"/>
            </w:r>
          </w:p>
        </w:tc>
        <w:tc>
          <w:tcPr>
            <w:tcW w:w="1959" w:type="dxa"/>
            <w:noWrap w:val="0"/>
            <w:tcMar>
              <w:left w:w="28" w:type="dxa"/>
              <w:right w:w="28" w:type="dxa"/>
            </w:tcMar>
            <w:vAlign w:val="center"/>
          </w:tcPr>
          <w:p>
            <w:pPr>
              <w:pStyle w:val="65"/>
              <w:spacing w:beforeLines="0" w:afterLines="0" w:line="240" w:lineRule="auto"/>
              <w:jc w:val="center"/>
              <w:rPr>
                <w:rFonts w:hint="eastAsia" w:hAnsi="宋体"/>
                <w:snapToGrid w:val="0"/>
                <w:color w:val="000000"/>
                <w:kern w:val="21"/>
                <w:sz w:val="21"/>
                <w:szCs w:val="21"/>
              </w:rPr>
            </w:pPr>
            <w:r>
              <w:rPr>
                <w:rFonts w:hAnsi="宋体"/>
                <w:snapToGrid w:val="0"/>
                <w:color w:val="000000"/>
                <w:kern w:val="21"/>
                <w:sz w:val="21"/>
                <w:szCs w:val="21"/>
              </w:rPr>
              <w:t>本项目建成后</w:t>
            </w:r>
          </w:p>
          <w:p>
            <w:pPr>
              <w:pStyle w:val="65"/>
              <w:spacing w:beforeLines="0" w:afterLines="0" w:line="240" w:lineRule="auto"/>
              <w:jc w:val="center"/>
              <w:rPr>
                <w:rFonts w:hAnsi="宋体"/>
                <w:snapToGrid w:val="0"/>
                <w:color w:val="000000"/>
                <w:kern w:val="21"/>
                <w:sz w:val="21"/>
                <w:szCs w:val="21"/>
              </w:rPr>
            </w:pPr>
            <w:r>
              <w:rPr>
                <w:rFonts w:hint="eastAsia" w:hAnsi="宋体"/>
                <w:snapToGrid w:val="0"/>
                <w:color w:val="000000"/>
                <w:kern w:val="21"/>
                <w:sz w:val="21"/>
                <w:szCs w:val="21"/>
              </w:rPr>
              <w:t>全厂</w:t>
            </w:r>
            <w:r>
              <w:rPr>
                <w:rFonts w:hAnsi="宋体"/>
                <w:snapToGrid w:val="0"/>
                <w:color w:val="000000"/>
                <w:kern w:val="21"/>
                <w:sz w:val="21"/>
                <w:szCs w:val="21"/>
              </w:rPr>
              <w:t>排放量（固</w:t>
            </w:r>
            <w:r>
              <w:rPr>
                <w:rFonts w:hint="eastAsia" w:hAnsi="宋体"/>
                <w:snapToGrid w:val="0"/>
                <w:color w:val="000000"/>
                <w:kern w:val="21"/>
                <w:sz w:val="21"/>
                <w:szCs w:val="21"/>
              </w:rPr>
              <w:t>体</w:t>
            </w:r>
            <w:r>
              <w:rPr>
                <w:rFonts w:hAnsi="宋体"/>
                <w:snapToGrid w:val="0"/>
                <w:color w:val="000000"/>
                <w:kern w:val="21"/>
                <w:sz w:val="21"/>
                <w:szCs w:val="21"/>
              </w:rPr>
              <w:t>废</w:t>
            </w:r>
            <w:r>
              <w:rPr>
                <w:rFonts w:hint="eastAsia" w:hAnsi="宋体"/>
                <w:snapToGrid w:val="0"/>
                <w:color w:val="000000"/>
                <w:kern w:val="21"/>
                <w:sz w:val="21"/>
                <w:szCs w:val="21"/>
              </w:rPr>
              <w:t>物</w:t>
            </w:r>
            <w:r>
              <w:rPr>
                <w:rFonts w:hAnsi="宋体"/>
                <w:snapToGrid w:val="0"/>
                <w:color w:val="000000"/>
                <w:kern w:val="21"/>
                <w:sz w:val="21"/>
                <w:szCs w:val="21"/>
              </w:rPr>
              <w:t>产生量）</w:t>
            </w:r>
            <w:r>
              <w:rPr>
                <w:rFonts w:hAnsi="宋体"/>
                <w:snapToGrid w:val="0"/>
                <w:color w:val="000000"/>
                <w:kern w:val="21"/>
                <w:sz w:val="21"/>
                <w:szCs w:val="21"/>
              </w:rPr>
              <w:fldChar w:fldCharType="begin"/>
            </w:r>
            <w:r>
              <w:rPr>
                <w:rFonts w:hAnsi="宋体"/>
                <w:snapToGrid w:val="0"/>
                <w:color w:val="000000"/>
                <w:kern w:val="21"/>
                <w:sz w:val="21"/>
                <w:szCs w:val="21"/>
              </w:rPr>
              <w:instrText xml:space="preserve"> = 6 \* GB3 \* MERGEFORMAT </w:instrText>
            </w:r>
            <w:r>
              <w:rPr>
                <w:rFonts w:hAnsi="宋体"/>
                <w:snapToGrid w:val="0"/>
                <w:color w:val="000000"/>
                <w:kern w:val="21"/>
                <w:sz w:val="21"/>
                <w:szCs w:val="21"/>
              </w:rPr>
              <w:fldChar w:fldCharType="separate"/>
            </w:r>
            <w:r>
              <w:rPr>
                <w:rFonts w:hint="eastAsia" w:hAnsi="宋体" w:cs="宋体"/>
                <w:kern w:val="21"/>
                <w:sz w:val="21"/>
                <w:szCs w:val="21"/>
              </w:rPr>
              <w:t>⑥</w:t>
            </w:r>
            <w:r>
              <w:rPr>
                <w:rFonts w:hAnsi="宋体"/>
                <w:snapToGrid w:val="0"/>
                <w:color w:val="000000"/>
                <w:kern w:val="21"/>
                <w:sz w:val="21"/>
                <w:szCs w:val="21"/>
              </w:rPr>
              <w:fldChar w:fldCharType="end"/>
            </w:r>
          </w:p>
        </w:tc>
        <w:tc>
          <w:tcPr>
            <w:tcW w:w="826" w:type="dxa"/>
            <w:noWrap w:val="0"/>
            <w:tcMar>
              <w:left w:w="28" w:type="dxa"/>
              <w:right w:w="28" w:type="dxa"/>
            </w:tcMar>
            <w:vAlign w:val="center"/>
          </w:tcPr>
          <w:p>
            <w:pPr>
              <w:pStyle w:val="65"/>
              <w:spacing w:beforeLines="0" w:afterLines="0" w:line="240" w:lineRule="auto"/>
              <w:jc w:val="center"/>
              <w:rPr>
                <w:rFonts w:hAnsi="宋体"/>
                <w:snapToGrid w:val="0"/>
                <w:color w:val="000000"/>
                <w:kern w:val="21"/>
                <w:sz w:val="21"/>
                <w:szCs w:val="21"/>
              </w:rPr>
            </w:pPr>
            <w:r>
              <w:rPr>
                <w:rFonts w:hAnsi="宋体"/>
                <w:snapToGrid w:val="0"/>
                <w:color w:val="000000"/>
                <w:kern w:val="21"/>
                <w:sz w:val="21"/>
                <w:szCs w:val="21"/>
              </w:rPr>
              <w:t>变化量</w:t>
            </w:r>
          </w:p>
          <w:p>
            <w:pPr>
              <w:pStyle w:val="65"/>
              <w:spacing w:beforeLines="0" w:afterLines="0" w:line="240" w:lineRule="auto"/>
              <w:jc w:val="center"/>
              <w:rPr>
                <w:rFonts w:hAnsi="宋体"/>
                <w:snapToGrid w:val="0"/>
                <w:color w:val="000000"/>
                <w:kern w:val="21"/>
                <w:sz w:val="21"/>
                <w:szCs w:val="21"/>
              </w:rPr>
            </w:pPr>
            <w:r>
              <w:rPr>
                <w:rFonts w:hAnsi="宋体"/>
                <w:snapToGrid w:val="0"/>
                <w:color w:val="000000"/>
                <w:kern w:val="21"/>
                <w:sz w:val="21"/>
                <w:szCs w:val="21"/>
              </w:rPr>
              <w:fldChar w:fldCharType="begin"/>
            </w:r>
            <w:r>
              <w:rPr>
                <w:rFonts w:hAnsi="宋体"/>
                <w:snapToGrid w:val="0"/>
                <w:color w:val="000000"/>
                <w:kern w:val="21"/>
                <w:sz w:val="21"/>
                <w:szCs w:val="21"/>
              </w:rPr>
              <w:instrText xml:space="preserve"> = 7 \* GB3 \* MERGEFORMAT </w:instrText>
            </w:r>
            <w:r>
              <w:rPr>
                <w:rFonts w:hAnsi="宋体"/>
                <w:snapToGrid w:val="0"/>
                <w:color w:val="000000"/>
                <w:kern w:val="21"/>
                <w:sz w:val="21"/>
                <w:szCs w:val="21"/>
              </w:rPr>
              <w:fldChar w:fldCharType="separate"/>
            </w:r>
            <w:r>
              <w:rPr>
                <w:rFonts w:hint="eastAsia" w:hAnsi="宋体" w:cs="宋体"/>
                <w:kern w:val="21"/>
                <w:sz w:val="21"/>
                <w:szCs w:val="21"/>
              </w:rPr>
              <w:t>⑦</w:t>
            </w:r>
            <w:r>
              <w:rPr>
                <w:rFonts w:hAnsi="宋体"/>
                <w:snapToGrid w:val="0"/>
                <w:color w:val="000000"/>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65"/>
              <w:spacing w:beforeLines="0" w:afterLines="0" w:line="240" w:lineRule="auto"/>
              <w:jc w:val="center"/>
              <w:rPr>
                <w:rFonts w:hint="eastAsia" w:hAnsi="宋体" w:cs="宋体"/>
                <w:snapToGrid w:val="0"/>
                <w:color w:val="000000"/>
                <w:kern w:val="21"/>
                <w:sz w:val="21"/>
                <w:szCs w:val="21"/>
              </w:rPr>
            </w:pPr>
            <w:r>
              <w:rPr>
                <w:rFonts w:hint="eastAsia" w:hAnsi="宋体" w:cs="宋体"/>
                <w:snapToGrid w:val="0"/>
                <w:color w:val="000000"/>
                <w:kern w:val="21"/>
                <w:sz w:val="21"/>
                <w:szCs w:val="21"/>
              </w:rPr>
              <w:t>废气</w:t>
            </w:r>
          </w:p>
        </w:tc>
        <w:tc>
          <w:tcPr>
            <w:tcW w:w="1417"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VOCs</w:t>
            </w:r>
          </w:p>
        </w:tc>
        <w:tc>
          <w:tcPr>
            <w:tcW w:w="16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0.23977</w:t>
            </w:r>
            <w:r>
              <w:rPr>
                <w:rFonts w:hint="default" w:ascii="Times New Roman" w:hAnsi="Times New Roman" w:eastAsia="宋体" w:cs="Times New Roman"/>
                <w:color w:val="auto"/>
                <w:sz w:val="21"/>
                <w:szCs w:val="21"/>
                <w:highlight w:val="none"/>
                <w:u w:val="none"/>
                <w:lang w:val="en-US" w:eastAsia="zh-CN"/>
              </w:rPr>
              <w:t>t/a</w:t>
            </w:r>
          </w:p>
        </w:tc>
        <w:tc>
          <w:tcPr>
            <w:tcW w:w="17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9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rPr>
            </w:pPr>
            <w:r>
              <w:rPr>
                <w:rFonts w:hint="eastAsia" w:ascii="Times New Roman" w:hAnsi="Times New Roman" w:cs="Times New Roman"/>
                <w:color w:val="auto"/>
                <w:sz w:val="21"/>
                <w:szCs w:val="21"/>
                <w:highlight w:val="none"/>
                <w:u w:val="none"/>
                <w:lang w:val="en-US" w:eastAsia="zh-CN"/>
              </w:rPr>
              <w:t>0.23977</w:t>
            </w:r>
            <w:r>
              <w:rPr>
                <w:rFonts w:hint="default" w:ascii="Times New Roman" w:hAnsi="Times New Roman" w:eastAsia="宋体" w:cs="Times New Roman"/>
                <w:color w:val="auto"/>
                <w:sz w:val="21"/>
                <w:szCs w:val="21"/>
                <w:highlight w:val="none"/>
                <w:u w:val="none"/>
                <w:lang w:val="en-US" w:eastAsia="zh-CN"/>
              </w:rPr>
              <w:t>t/a</w:t>
            </w:r>
          </w:p>
        </w:tc>
        <w:tc>
          <w:tcPr>
            <w:tcW w:w="82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65"/>
              <w:spacing w:beforeLines="0" w:afterLines="0" w:line="240" w:lineRule="auto"/>
              <w:jc w:val="center"/>
              <w:rPr>
                <w:rFonts w:hint="eastAsia" w:hAnsi="宋体" w:cs="宋体"/>
                <w:snapToGrid w:val="0"/>
                <w:color w:val="000000"/>
                <w:kern w:val="21"/>
                <w:sz w:val="21"/>
                <w:szCs w:val="21"/>
              </w:rPr>
            </w:pPr>
            <w:r>
              <w:rPr>
                <w:rFonts w:hint="eastAsia" w:hAnsi="宋体" w:cs="宋体"/>
                <w:snapToGrid w:val="0"/>
                <w:color w:val="000000"/>
                <w:kern w:val="21"/>
                <w:sz w:val="21"/>
                <w:szCs w:val="21"/>
              </w:rPr>
              <w:t>废水</w:t>
            </w:r>
          </w:p>
        </w:tc>
        <w:tc>
          <w:tcPr>
            <w:tcW w:w="1417"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废水量</w:t>
            </w:r>
          </w:p>
        </w:tc>
        <w:tc>
          <w:tcPr>
            <w:tcW w:w="1661"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4845</w:t>
            </w:r>
            <w:r>
              <w:rPr>
                <w:rFonts w:hint="default" w:ascii="Times New Roman" w:hAnsi="Times New Roman" w:eastAsia="宋体" w:cs="Times New Roman"/>
                <w:color w:val="auto"/>
                <w:sz w:val="21"/>
                <w:szCs w:val="21"/>
                <w:highlight w:val="none"/>
                <w:u w:val="none"/>
                <w:lang w:val="en-US" w:eastAsia="zh-CN"/>
              </w:rPr>
              <w:t>t/a</w:t>
            </w:r>
          </w:p>
        </w:tc>
        <w:tc>
          <w:tcPr>
            <w:tcW w:w="17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959"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4845</w:t>
            </w:r>
            <w:r>
              <w:rPr>
                <w:rFonts w:hint="default" w:ascii="Times New Roman" w:hAnsi="Times New Roman" w:eastAsia="宋体" w:cs="Times New Roman"/>
                <w:color w:val="auto"/>
                <w:sz w:val="21"/>
                <w:szCs w:val="21"/>
                <w:highlight w:val="none"/>
                <w:u w:val="none"/>
                <w:lang w:val="en-US" w:eastAsia="zh-CN"/>
              </w:rPr>
              <w:t>t/a</w:t>
            </w:r>
          </w:p>
        </w:tc>
        <w:tc>
          <w:tcPr>
            <w:tcW w:w="826"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65"/>
              <w:spacing w:beforeLines="0" w:afterLines="0" w:line="240" w:lineRule="auto"/>
              <w:jc w:val="center"/>
              <w:rPr>
                <w:rFonts w:hint="eastAsia" w:hAnsi="宋体" w:cs="宋体"/>
                <w:snapToGrid w:val="0"/>
                <w:color w:val="000000"/>
                <w:kern w:val="21"/>
                <w:sz w:val="21"/>
                <w:szCs w:val="21"/>
              </w:rPr>
            </w:pPr>
          </w:p>
        </w:tc>
        <w:tc>
          <w:tcPr>
            <w:tcW w:w="1417"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COD</w:t>
            </w:r>
          </w:p>
        </w:tc>
        <w:tc>
          <w:tcPr>
            <w:tcW w:w="16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0.242</w:t>
            </w:r>
            <w:r>
              <w:rPr>
                <w:rFonts w:hint="default" w:ascii="Times New Roman" w:hAnsi="Times New Roman" w:eastAsia="宋体" w:cs="Times New Roman"/>
                <w:color w:val="auto"/>
                <w:sz w:val="21"/>
                <w:szCs w:val="21"/>
                <w:highlight w:val="none"/>
                <w:u w:val="none"/>
                <w:lang w:val="en-US" w:eastAsia="zh-CN"/>
              </w:rPr>
              <w:t>t/a</w:t>
            </w:r>
          </w:p>
        </w:tc>
        <w:tc>
          <w:tcPr>
            <w:tcW w:w="17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9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rPr>
            </w:pPr>
            <w:r>
              <w:rPr>
                <w:rFonts w:hint="eastAsia" w:ascii="Times New Roman" w:hAnsi="Times New Roman" w:eastAsia="宋体" w:cs="Times New Roman"/>
                <w:color w:val="auto"/>
                <w:sz w:val="21"/>
                <w:szCs w:val="21"/>
                <w:highlight w:val="none"/>
                <w:u w:val="none"/>
                <w:lang w:val="en-US" w:eastAsia="zh-CN"/>
              </w:rPr>
              <w:t>0.242</w:t>
            </w:r>
            <w:r>
              <w:rPr>
                <w:rFonts w:hint="default" w:ascii="Times New Roman" w:hAnsi="Times New Roman" w:eastAsia="宋体" w:cs="Times New Roman"/>
                <w:color w:val="auto"/>
                <w:sz w:val="21"/>
                <w:szCs w:val="21"/>
                <w:highlight w:val="none"/>
                <w:u w:val="none"/>
                <w:lang w:val="en-US" w:eastAsia="zh-CN"/>
              </w:rPr>
              <w:t>t/a</w:t>
            </w:r>
          </w:p>
        </w:tc>
        <w:tc>
          <w:tcPr>
            <w:tcW w:w="82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65"/>
              <w:spacing w:beforeLines="0" w:afterLines="0" w:line="240" w:lineRule="auto"/>
              <w:jc w:val="center"/>
              <w:rPr>
                <w:rFonts w:hint="eastAsia" w:hAnsi="宋体" w:cs="宋体"/>
                <w:snapToGrid w:val="0"/>
                <w:color w:val="000000"/>
                <w:kern w:val="21"/>
                <w:sz w:val="21"/>
                <w:szCs w:val="21"/>
              </w:rPr>
            </w:pPr>
          </w:p>
        </w:tc>
        <w:tc>
          <w:tcPr>
            <w:tcW w:w="1417"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BOD</w:t>
            </w:r>
            <w:r>
              <w:rPr>
                <w:rFonts w:hint="eastAsia" w:ascii="Times New Roman" w:hAnsi="Times New Roman" w:eastAsia="宋体" w:cs="Times New Roman"/>
                <w:color w:val="auto"/>
                <w:sz w:val="21"/>
                <w:szCs w:val="21"/>
                <w:highlight w:val="none"/>
                <w:u w:val="none"/>
                <w:vertAlign w:val="subscript"/>
              </w:rPr>
              <w:t>5</w:t>
            </w:r>
          </w:p>
        </w:tc>
        <w:tc>
          <w:tcPr>
            <w:tcW w:w="16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0.024</w:t>
            </w:r>
            <w:r>
              <w:rPr>
                <w:rFonts w:hint="default" w:ascii="Times New Roman" w:hAnsi="Times New Roman" w:eastAsia="宋体" w:cs="Times New Roman"/>
                <w:color w:val="auto"/>
                <w:sz w:val="21"/>
                <w:szCs w:val="21"/>
                <w:highlight w:val="none"/>
                <w:u w:val="none"/>
                <w:lang w:val="en-US" w:eastAsia="zh-CN"/>
              </w:rPr>
              <w:t>t/a</w:t>
            </w:r>
          </w:p>
        </w:tc>
        <w:tc>
          <w:tcPr>
            <w:tcW w:w="17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9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rPr>
            </w:pPr>
            <w:r>
              <w:rPr>
                <w:rFonts w:hint="eastAsia" w:ascii="Times New Roman" w:hAnsi="Times New Roman" w:eastAsia="宋体" w:cs="Times New Roman"/>
                <w:color w:val="auto"/>
                <w:sz w:val="21"/>
                <w:szCs w:val="21"/>
                <w:highlight w:val="none"/>
                <w:u w:val="none"/>
                <w:lang w:val="en-US" w:eastAsia="zh-CN"/>
              </w:rPr>
              <w:t>0.024</w:t>
            </w:r>
            <w:r>
              <w:rPr>
                <w:rFonts w:hint="default" w:ascii="Times New Roman" w:hAnsi="Times New Roman" w:eastAsia="宋体" w:cs="Times New Roman"/>
                <w:color w:val="auto"/>
                <w:sz w:val="21"/>
                <w:szCs w:val="21"/>
                <w:highlight w:val="none"/>
                <w:u w:val="none"/>
                <w:lang w:val="en-US" w:eastAsia="zh-CN"/>
              </w:rPr>
              <w:t>t/a</w:t>
            </w:r>
          </w:p>
        </w:tc>
        <w:tc>
          <w:tcPr>
            <w:tcW w:w="82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65"/>
              <w:spacing w:beforeLines="0" w:afterLines="0" w:line="240" w:lineRule="auto"/>
              <w:jc w:val="center"/>
              <w:rPr>
                <w:rFonts w:hint="eastAsia" w:hAnsi="宋体" w:cs="宋体"/>
                <w:snapToGrid w:val="0"/>
                <w:color w:val="000000"/>
                <w:kern w:val="21"/>
                <w:sz w:val="21"/>
                <w:szCs w:val="21"/>
              </w:rPr>
            </w:pPr>
          </w:p>
        </w:tc>
        <w:tc>
          <w:tcPr>
            <w:tcW w:w="1417"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NH</w:t>
            </w:r>
            <w:r>
              <w:rPr>
                <w:rFonts w:hint="eastAsia" w:ascii="Times New Roman" w:hAnsi="Times New Roman" w:eastAsia="宋体" w:cs="Times New Roman"/>
                <w:color w:val="auto"/>
                <w:sz w:val="21"/>
                <w:szCs w:val="21"/>
                <w:highlight w:val="none"/>
                <w:u w:val="none"/>
                <w:vertAlign w:val="subscript"/>
              </w:rPr>
              <w:t>3</w:t>
            </w:r>
            <w:r>
              <w:rPr>
                <w:rFonts w:hint="eastAsia" w:ascii="Times New Roman" w:hAnsi="Times New Roman" w:eastAsia="宋体" w:cs="Times New Roman"/>
                <w:color w:val="auto"/>
                <w:sz w:val="21"/>
                <w:szCs w:val="21"/>
                <w:highlight w:val="none"/>
                <w:u w:val="none"/>
              </w:rPr>
              <w:t>-N</w:t>
            </w:r>
          </w:p>
        </w:tc>
        <w:tc>
          <w:tcPr>
            <w:tcW w:w="16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0.051t/a</w:t>
            </w:r>
          </w:p>
        </w:tc>
        <w:tc>
          <w:tcPr>
            <w:tcW w:w="17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9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rPr>
            </w:pPr>
            <w:r>
              <w:rPr>
                <w:rFonts w:hint="default" w:ascii="Times New Roman" w:hAnsi="Times New Roman" w:eastAsia="宋体" w:cs="Times New Roman"/>
                <w:color w:val="auto"/>
                <w:sz w:val="21"/>
                <w:szCs w:val="21"/>
                <w:highlight w:val="none"/>
                <w:u w:val="none"/>
                <w:lang w:val="en-US" w:eastAsia="zh-CN"/>
              </w:rPr>
              <w:t>0.051t/a</w:t>
            </w:r>
          </w:p>
        </w:tc>
        <w:tc>
          <w:tcPr>
            <w:tcW w:w="82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65"/>
              <w:spacing w:beforeLines="0" w:afterLines="0" w:line="240" w:lineRule="auto"/>
              <w:jc w:val="center"/>
              <w:rPr>
                <w:rFonts w:hAnsi="宋体" w:cs="宋体"/>
                <w:snapToGrid w:val="0"/>
                <w:color w:val="000000"/>
                <w:kern w:val="21"/>
                <w:sz w:val="21"/>
                <w:szCs w:val="21"/>
              </w:rPr>
            </w:pPr>
            <w:r>
              <w:rPr>
                <w:rFonts w:hint="eastAsia" w:hAnsi="宋体" w:cs="宋体"/>
                <w:snapToGrid w:val="0"/>
                <w:color w:val="000000"/>
                <w:kern w:val="21"/>
                <w:sz w:val="21"/>
                <w:szCs w:val="21"/>
              </w:rPr>
              <w:t>一般工业</w:t>
            </w:r>
          </w:p>
          <w:p>
            <w:pPr>
              <w:pStyle w:val="65"/>
              <w:spacing w:beforeLines="0" w:afterLines="0" w:line="240" w:lineRule="auto"/>
              <w:jc w:val="center"/>
              <w:rPr>
                <w:rFonts w:hint="eastAsia" w:hAnsi="宋体" w:cs="宋体"/>
                <w:snapToGrid w:val="0"/>
                <w:color w:val="000000"/>
                <w:kern w:val="21"/>
                <w:sz w:val="21"/>
                <w:szCs w:val="21"/>
              </w:rPr>
            </w:pPr>
            <w:r>
              <w:rPr>
                <w:rFonts w:hint="eastAsia" w:hAnsi="宋体" w:cs="宋体"/>
                <w:snapToGrid w:val="0"/>
                <w:color w:val="000000"/>
                <w:kern w:val="21"/>
                <w:sz w:val="21"/>
                <w:szCs w:val="21"/>
              </w:rPr>
              <w:t>固体废物</w:t>
            </w:r>
          </w:p>
        </w:tc>
        <w:tc>
          <w:tcPr>
            <w:tcW w:w="1417"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生活垃圾</w:t>
            </w:r>
          </w:p>
        </w:tc>
        <w:tc>
          <w:tcPr>
            <w:tcW w:w="16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rPr>
              <w:t>22.5t</w:t>
            </w:r>
            <w:r>
              <w:rPr>
                <w:rFonts w:hint="default" w:ascii="Times New Roman" w:hAnsi="Times New Roman" w:eastAsia="宋体" w:cs="Times New Roman"/>
                <w:color w:val="auto"/>
                <w:sz w:val="21"/>
                <w:szCs w:val="21"/>
                <w:highlight w:val="none"/>
                <w:u w:val="none"/>
              </w:rPr>
              <w:t>/a</w:t>
            </w:r>
          </w:p>
        </w:tc>
        <w:tc>
          <w:tcPr>
            <w:tcW w:w="17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9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rPr>
              <w:t>22.5t</w:t>
            </w:r>
            <w:r>
              <w:rPr>
                <w:rFonts w:hint="default" w:ascii="Times New Roman" w:hAnsi="Times New Roman" w:eastAsia="宋体" w:cs="Times New Roman"/>
                <w:color w:val="auto"/>
                <w:sz w:val="21"/>
                <w:szCs w:val="21"/>
                <w:highlight w:val="none"/>
                <w:u w:val="none"/>
              </w:rPr>
              <w:t>/a</w:t>
            </w:r>
          </w:p>
        </w:tc>
        <w:tc>
          <w:tcPr>
            <w:tcW w:w="82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65"/>
              <w:spacing w:beforeLines="0" w:afterLines="0" w:line="240" w:lineRule="auto"/>
              <w:jc w:val="center"/>
              <w:rPr>
                <w:rFonts w:hAnsi="宋体" w:cs="宋体"/>
                <w:snapToGrid w:val="0"/>
                <w:color w:val="000000"/>
                <w:kern w:val="21"/>
                <w:sz w:val="21"/>
                <w:szCs w:val="21"/>
              </w:rPr>
            </w:pPr>
          </w:p>
        </w:tc>
        <w:tc>
          <w:tcPr>
            <w:tcW w:w="1417"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残次品</w:t>
            </w:r>
          </w:p>
        </w:tc>
        <w:tc>
          <w:tcPr>
            <w:tcW w:w="16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7</w:t>
            </w:r>
            <w:r>
              <w:rPr>
                <w:rFonts w:hint="default" w:ascii="Times New Roman" w:hAnsi="Times New Roman" w:eastAsia="宋体" w:cs="Times New Roman"/>
                <w:color w:val="auto"/>
                <w:sz w:val="21"/>
                <w:szCs w:val="21"/>
                <w:highlight w:val="none"/>
                <w:u w:val="none"/>
              </w:rPr>
              <w:t>t/a</w:t>
            </w:r>
          </w:p>
        </w:tc>
        <w:tc>
          <w:tcPr>
            <w:tcW w:w="17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9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7</w:t>
            </w:r>
            <w:r>
              <w:rPr>
                <w:rFonts w:hint="default" w:ascii="Times New Roman" w:hAnsi="Times New Roman" w:eastAsia="宋体" w:cs="Times New Roman"/>
                <w:color w:val="auto"/>
                <w:sz w:val="21"/>
                <w:szCs w:val="21"/>
                <w:highlight w:val="none"/>
                <w:u w:val="none"/>
              </w:rPr>
              <w:t>t/a</w:t>
            </w:r>
          </w:p>
        </w:tc>
        <w:tc>
          <w:tcPr>
            <w:tcW w:w="82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65"/>
              <w:spacing w:beforeLines="0" w:afterLines="0" w:line="240" w:lineRule="auto"/>
              <w:jc w:val="center"/>
              <w:rPr>
                <w:rFonts w:hAnsi="宋体" w:cs="宋体"/>
                <w:snapToGrid w:val="0"/>
                <w:color w:val="000000"/>
                <w:kern w:val="21"/>
                <w:sz w:val="21"/>
                <w:szCs w:val="21"/>
              </w:rPr>
            </w:pPr>
          </w:p>
        </w:tc>
        <w:tc>
          <w:tcPr>
            <w:tcW w:w="1417"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废油漆桶</w:t>
            </w:r>
          </w:p>
        </w:tc>
        <w:tc>
          <w:tcPr>
            <w:tcW w:w="1661"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40个/a</w:t>
            </w:r>
          </w:p>
        </w:tc>
        <w:tc>
          <w:tcPr>
            <w:tcW w:w="17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9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40个/a</w:t>
            </w:r>
          </w:p>
        </w:tc>
        <w:tc>
          <w:tcPr>
            <w:tcW w:w="826"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65"/>
              <w:spacing w:beforeLines="0" w:afterLines="0" w:line="240" w:lineRule="auto"/>
              <w:jc w:val="center"/>
              <w:rPr>
                <w:rFonts w:hint="eastAsia" w:hAnsi="宋体" w:cs="宋体"/>
                <w:snapToGrid w:val="0"/>
                <w:color w:val="000000"/>
                <w:kern w:val="21"/>
                <w:sz w:val="21"/>
                <w:szCs w:val="21"/>
              </w:rPr>
            </w:pPr>
            <w:r>
              <w:rPr>
                <w:rFonts w:hint="eastAsia" w:hAnsi="宋体" w:cs="宋体"/>
                <w:snapToGrid w:val="0"/>
                <w:color w:val="000000"/>
                <w:kern w:val="21"/>
                <w:sz w:val="21"/>
                <w:szCs w:val="21"/>
              </w:rPr>
              <w:t>危险废物</w:t>
            </w:r>
          </w:p>
        </w:tc>
        <w:tc>
          <w:tcPr>
            <w:tcW w:w="1417"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废润滑油</w:t>
            </w:r>
          </w:p>
        </w:tc>
        <w:tc>
          <w:tcPr>
            <w:tcW w:w="16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w:t>
            </w:r>
            <w:r>
              <w:rPr>
                <w:rFonts w:hint="eastAsia" w:ascii="Times New Roman" w:hAnsi="Times New Roman" w:eastAsia="宋体" w:cs="Times New Roman"/>
                <w:color w:val="auto"/>
                <w:sz w:val="21"/>
                <w:szCs w:val="21"/>
                <w:highlight w:val="none"/>
                <w:u w:val="none"/>
                <w:lang w:val="en-US" w:eastAsia="zh-CN"/>
              </w:rPr>
              <w:t>1</w:t>
            </w:r>
            <w:r>
              <w:rPr>
                <w:rFonts w:hint="default" w:ascii="Times New Roman" w:hAnsi="Times New Roman" w:eastAsia="宋体" w:cs="Times New Roman"/>
                <w:color w:val="auto"/>
                <w:sz w:val="21"/>
                <w:szCs w:val="21"/>
                <w:highlight w:val="none"/>
                <w:u w:val="none"/>
              </w:rPr>
              <w:t>t/a</w:t>
            </w:r>
          </w:p>
        </w:tc>
        <w:tc>
          <w:tcPr>
            <w:tcW w:w="17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9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w:t>
            </w:r>
            <w:r>
              <w:rPr>
                <w:rFonts w:hint="eastAsia" w:ascii="Times New Roman" w:hAnsi="Times New Roman" w:eastAsia="宋体" w:cs="Times New Roman"/>
                <w:color w:val="auto"/>
                <w:sz w:val="21"/>
                <w:szCs w:val="21"/>
                <w:highlight w:val="none"/>
                <w:u w:val="none"/>
                <w:lang w:val="en-US" w:eastAsia="zh-CN"/>
              </w:rPr>
              <w:t>1</w:t>
            </w:r>
            <w:r>
              <w:rPr>
                <w:rFonts w:hint="default" w:ascii="Times New Roman" w:hAnsi="Times New Roman" w:eastAsia="宋体" w:cs="Times New Roman"/>
                <w:color w:val="auto"/>
                <w:sz w:val="21"/>
                <w:szCs w:val="21"/>
                <w:highlight w:val="none"/>
                <w:u w:val="none"/>
              </w:rPr>
              <w:t>t/a</w:t>
            </w:r>
          </w:p>
        </w:tc>
        <w:tc>
          <w:tcPr>
            <w:tcW w:w="82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65"/>
              <w:spacing w:beforeLines="0" w:afterLines="0" w:line="240" w:lineRule="auto"/>
              <w:jc w:val="center"/>
              <w:rPr>
                <w:rFonts w:hAnsi="宋体" w:cs="宋体"/>
                <w:snapToGrid w:val="0"/>
                <w:color w:val="000000"/>
                <w:kern w:val="21"/>
                <w:sz w:val="21"/>
                <w:szCs w:val="21"/>
              </w:rPr>
            </w:pPr>
          </w:p>
        </w:tc>
        <w:tc>
          <w:tcPr>
            <w:tcW w:w="1417"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废活性炭</w:t>
            </w:r>
          </w:p>
        </w:tc>
        <w:tc>
          <w:tcPr>
            <w:tcW w:w="166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276"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701"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c>
          <w:tcPr>
            <w:tcW w:w="1559" w:type="dxa"/>
            <w:noWrap w:val="0"/>
            <w:vAlign w:val="center"/>
          </w:tcPr>
          <w:p>
            <w:pPr>
              <w:spacing w:line="240" w:lineRule="atLeast"/>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1t/a</w:t>
            </w:r>
          </w:p>
        </w:tc>
        <w:tc>
          <w:tcPr>
            <w:tcW w:w="1761"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w:t>
            </w:r>
          </w:p>
        </w:tc>
        <w:tc>
          <w:tcPr>
            <w:tcW w:w="1959"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1t/a</w:t>
            </w:r>
          </w:p>
        </w:tc>
        <w:tc>
          <w:tcPr>
            <w:tcW w:w="826" w:type="dxa"/>
            <w:noWrap w:val="0"/>
            <w:vAlign w:val="center"/>
          </w:tcPr>
          <w:p>
            <w:pPr>
              <w:spacing w:line="240" w:lineRule="atLeast"/>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w:t>
            </w:r>
          </w:p>
        </w:tc>
      </w:tr>
    </w:tbl>
    <w:p>
      <w:pPr>
        <w:spacing w:before="71"/>
        <w:ind w:left="151"/>
        <w:rPr>
          <w:rFonts w:hint="eastAsia"/>
          <w:sz w:val="21"/>
        </w:rPr>
      </w:pPr>
    </w:p>
    <w:p>
      <w:pPr>
        <w:spacing w:before="71"/>
        <w:ind w:left="151"/>
        <w:rPr>
          <w:rFonts w:hint="eastAsia" w:eastAsia="宋体"/>
          <w:sz w:val="21"/>
          <w:lang w:eastAsia="zh-CN"/>
        </w:rPr>
      </w:pPr>
      <w:r>
        <w:rPr>
          <w:sz w:val="21"/>
        </w:rPr>
        <w:t>注：⑥=①+③+④-⑤；⑦=⑥-①</w:t>
      </w:r>
    </w:p>
    <w:p>
      <w:pPr>
        <w:jc w:val="center"/>
        <w:rPr>
          <w:rFonts w:hint="eastAsia" w:eastAsia="宋体"/>
          <w:b/>
          <w:bCs/>
          <w:sz w:val="24"/>
          <w:szCs w:val="24"/>
          <w:lang w:eastAsia="zh-CN"/>
        </w:rPr>
        <w:sectPr>
          <w:footerReference r:id="rId7" w:type="default"/>
          <w:footerReference r:id="rId8" w:type="even"/>
          <w:pgSz w:w="16840" w:h="11910" w:orient="landscape"/>
          <w:pgMar w:top="1100" w:right="1420" w:bottom="1000" w:left="1380" w:header="0" w:footer="817" w:gutter="0"/>
          <w:pgNumType w:fmt="numberInDash"/>
          <w:cols w:space="720" w:num="1"/>
        </w:sectPr>
      </w:pPr>
    </w:p>
    <w:p>
      <w:pPr>
        <w:spacing w:before="2"/>
        <w:rPr>
          <w:rFonts w:hint="eastAsia"/>
          <w:b/>
          <w:bCs/>
          <w:sz w:val="24"/>
          <w:szCs w:val="24"/>
          <w:lang w:val="en-US" w:eastAsia="zh-CN"/>
        </w:rPr>
      </w:pPr>
    </w:p>
    <w:sectPr>
      <w:pgSz w:w="11910" w:h="16840"/>
      <w:pgMar w:top="1580" w:right="1300" w:bottom="1000" w:left="1300" w:header="0" w:footer="81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imesNewRomanPS-BoldMT">
    <w:altName w:val="Segoe Print"/>
    <w:panose1 w:val="00000000000000000000"/>
    <w:charset w:val="00"/>
    <w:family w:val="auto"/>
    <w:pitch w:val="default"/>
    <w:sig w:usb0="00000000" w:usb1="00000000" w:usb2="00000000" w:usb3="00000000" w:csb0="00040001" w:csb1="00000000"/>
  </w:font>
  <w:font w:name="TimesNewRomanPSMT">
    <w:altName w:val="MS Gothic"/>
    <w:panose1 w:val="00000000000000000000"/>
    <w:charset w:val="80"/>
    <w:family w:val="auto"/>
    <w:pitch w:val="default"/>
    <w:sig w:usb0="00000000" w:usb1="00000000" w:usb2="00000010" w:usb3="00000000" w:csb0="0006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6CAMkBAACb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a8pcdzixC8/vl9+/r78+kaW&#10;N1mgPkCNefcBM9Pw1g+YPPsBnZn3oKLNX2REMI7ynq/yyiERkR+tV+t1hSGBsfmC+OzheYiQ3klv&#10;STYaGnF+RVZ++gBpTJ1TcjXn77QxZYbG/eVAzOxhufexx2ylYT9MhPa+PSOfHkffUIebTol571DZ&#10;vCWzEWdjPxvHEPWhK2uU60F4c0zYROktVxhhp8I4s8Ju2q+8FI/vJevhn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HoIAyQEAAJsDAAAOAAAAAAAAAAEAIAAAAB4BAABkcnMvZTJvRG9j&#10;LnhtbFBLBQYAAAAABgAGAFkBAABZ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qk4cg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3Dujluc+OX7t8uPX5efX8ny&#10;TRaoD1Bj3kPAzDTc+QGTZz+gM/MeVLT5i4wIxlHe81VeOSQi8qP1ar2uMCQwNl8Qnz0+DxHSW+kt&#10;yUZDI86vyMpP7yGNqXNKrub8vTamzNC4vxyImT0s9z72mK007IeJ0N63Z+TT4+gb6nDTKTHvHCqb&#10;t2Q24mzsZ+MYoj50ZY1yPQi3x4RNlN5yhRF2KowzK+ym/cpL8ee9ZD3+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WKpOHIAQAAmwMAAA4AAAAAAAAAAQAgAAAAHgEAAGRycy9lMm9Eb2Mu&#10;eG1sUEsFBgAAAAAGAAYAWQEAAFgFA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5x18c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XGW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nHXxyQEAAJsDAAAOAAAAAAAAAAEAIAAAAB4BAABkcnMvZTJvRG9j&#10;LnhtbFBLBQYAAAAABgAGAFkBAABZ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JX8skBAACb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FeUOG5x4pfv3y4/fl1+fiXL&#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IlfyyQEAAJsDAAAOAAAAAAAAAAEAIAAAAB4BAABkcnMvZTJvRG9j&#10;LnhtbFBLBQYAAAAABgAGAFkBAABZ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- 33 -</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95eMkBAACb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FeUOG5x4pfv3y4/fl1+fiXL&#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033l4yQEAAJsDAAAOAAAAAAAAAAEAIAAAAB4BAABkcnMvZTJvRG9j&#10;LnhtbFBLBQYAAAAABgAGAFkBAABZ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- 33 -</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4946650</wp:posOffset>
              </wp:positionH>
              <wp:positionV relativeFrom="page">
                <wp:posOffset>6901815</wp:posOffset>
              </wp:positionV>
              <wp:extent cx="801370" cy="203835"/>
              <wp:effectExtent l="0" t="0" r="0" b="0"/>
              <wp:wrapNone/>
              <wp:docPr id="11" name="文本框 1029"/>
              <wp:cNvGraphicFramePr/>
              <a:graphic xmlns:a="http://schemas.openxmlformats.org/drawingml/2006/main">
                <a:graphicData uri="http://schemas.microsoft.com/office/word/2010/wordprocessingShape">
                  <wps:wsp>
                    <wps:cNvSpPr txBox="1"/>
                    <wps:spPr>
                      <a:xfrm>
                        <a:off x="0" y="0"/>
                        <a:ext cx="801370" cy="203835"/>
                      </a:xfrm>
                      <a:prstGeom prst="rect">
                        <a:avLst/>
                      </a:prstGeom>
                      <a:noFill/>
                      <a:ln>
                        <a:noFill/>
                      </a:ln>
                    </wps:spPr>
                    <wps:txbx>
                      <w:txbxContent>
                        <w:p>
                          <w:pPr>
                            <w:spacing w:line="321" w:lineRule="exact"/>
                            <w:ind w:left="20"/>
                            <w:rPr>
                              <w:sz w:val="28"/>
                            </w:rPr>
                          </w:pPr>
                        </w:p>
                      </w:txbxContent>
                    </wps:txbx>
                    <wps:bodyPr wrap="square" lIns="0" tIns="0" rIns="0" bIns="0" upright="1"/>
                  </wps:wsp>
                </a:graphicData>
              </a:graphic>
            </wp:anchor>
          </w:drawing>
        </mc:Choice>
        <mc:Fallback>
          <w:pict>
            <v:shape id="文本框 1029" o:spid="_x0000_s1026" o:spt="202" type="#_x0000_t202" style="position:absolute;left:0pt;margin-left:389.5pt;margin-top:543.45pt;height:16.05pt;width:63.1pt;mso-position-horizontal-relative:page;mso-position-vertical-relative:page;z-index:-251657216;mso-width-relative:page;mso-height-relative:page;" filled="f" stroked="f" coordsize="21600,21600" o:gfxdata="UEsDBAoAAAAAAIdO4kAAAAAAAAAAAAAAAAAEAAAAZHJzL1BLAwQUAAAACACHTuJAN3GlVdoAAAAN&#10;AQAADwAAAGRycy9kb3ducmV2LnhtbE2PzU7DMBCE70h9B2srcaN2KpE2IU6FEJyQEGk4cHSSbWI1&#10;XofY/eHtWU5w3PlGszPF7upGccY5WE8akpUCgdT6zlKv4aN+uduCCNFQZ0ZPqOEbA+zKxU1h8s5f&#10;qMLzPvaCQyjkRsMQ45RLGdoBnQkrPyExO/jZmcjn3MtuNhcOd6NcK5VKZyzxh8FM+DRge9yfnIbH&#10;T6qe7ddb814dKlvXmaLX9Kj17TJRDyAiXuOfGX7rc3UouVPjT9QFMWrYbDLeEhmobZqBYEum7tcg&#10;GpaShKEsC/l/RfkDUEsDBBQAAAAIAIdO4kCh299ixQEAAIMDAAAOAAAAZHJzL2Uyb0RvYy54bWyt&#10;U02u0zAQ3iNxB8t7mqQVUKqmT0LVQ0gIkB4cwHWcxpL/mHGb9AJwA1Zs2HOunoOx0/TBY/MWbJzJ&#10;zOSb7/vGWd8M1rCjAtTe1byalZwpJ32j3b7mnz/dPltyhlG4RhjvVM1PCvnN5umTdR9Wau47bxoF&#10;jEAcrvpQ8y7GsCoKlJ2yAmc+KEfF1oMVkV5hXzQgekK3ppiX5Yui99AE8FIhUnY7FvkFER4D6NtW&#10;S7X18mCViyMqKCMiScJOB+SbzLZtlYwf2hZVZKbmpDTmk4ZQvEtnsVmL1R5E6LS8UBCPofBAkxXa&#10;0dAr1FZEwQ6g/4GyWoJH38aZ9LYYhWRHSEVVPvDmrhNBZS1kNYar6fj/YOX740dguqGbUHHmhKWN&#10;n79/O//4df75lVXl/FWyqA+4os67QL1xeO0Hap/ySMmkfGjBpidpYlQng09Xg9UQmaTksqwWL6ki&#10;qTQvF8vF84RS3H8cAOMb5S1LQc2B9pdtFcd3GMfWqSXNcv5WG5N3aNxfCcJMmSIxHxmmKA674SJn&#10;55sTqelp9TXHLwcBijPz1pG36Z5MAUzBbgoOAfS+I3LZgTyAdpNVXO5RWv6f75nG/b+z+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3caVV2gAAAA0BAAAPAAAAAAAAAAEAIAAAACIAAABkcnMvZG93&#10;bnJldi54bWxQSwECFAAUAAAACACHTuJAodvfYsUBAACDAwAADgAAAAAAAAABACAAAAApAQAAZHJz&#10;L2Uyb0RvYy54bWxQSwUGAAAAAAYABgBZAQAAYAU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- 34 -</w:t>
                          </w:r>
                          <w:r>
                            <w:rPr>
                              <w:rFonts w:hint="eastAsia"/>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h58kBAACb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0s&#10;X2eB+gA15t0HzEzDWz9g8uwHdGbeg4o2f5ERwTjKe77KK4dERH60Xq3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9+HnyQEAAJsDAAAOAAAAAAAAAAEAIAAAAB4BAABkcnMvZTJvRG9j&#10;LnhtbFBLBQYAAAAABgAGAFkBAABZ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- 34 -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6901815</wp:posOffset>
              </wp:positionV>
              <wp:extent cx="801370" cy="203835"/>
              <wp:effectExtent l="0" t="0" r="0" b="0"/>
              <wp:wrapNone/>
              <wp:docPr id="12" name="文本框 1030"/>
              <wp:cNvGraphicFramePr/>
              <a:graphic xmlns:a="http://schemas.openxmlformats.org/drawingml/2006/main">
                <a:graphicData uri="http://schemas.microsoft.com/office/word/2010/wordprocessingShape">
                  <wps:wsp>
                    <wps:cNvSpPr txBox="1"/>
                    <wps:spPr>
                      <a:xfrm>
                        <a:off x="0" y="0"/>
                        <a:ext cx="801370" cy="203835"/>
                      </a:xfrm>
                      <a:prstGeom prst="rect">
                        <a:avLst/>
                      </a:prstGeom>
                      <a:noFill/>
                      <a:ln>
                        <a:noFill/>
                      </a:ln>
                    </wps:spPr>
                    <wps:txbx>
                      <w:txbxContent>
                        <w:p>
                          <w:pPr>
                            <w:spacing w:line="321" w:lineRule="exact"/>
                            <w:ind w:left="20"/>
                            <w:rPr>
                              <w:sz w:val="28"/>
                            </w:rPr>
                          </w:pPr>
                        </w:p>
                      </w:txbxContent>
                    </wps:txbx>
                    <wps:bodyPr wrap="square" lIns="0" tIns="0" rIns="0" bIns="0" upright="1"/>
                  </wps:wsp>
                </a:graphicData>
              </a:graphic>
            </wp:anchor>
          </w:drawing>
        </mc:Choice>
        <mc:Fallback>
          <w:pict>
            <v:shape id="文本框 1030" o:spid="_x0000_s1026" o:spt="202" type="#_x0000_t202" style="position:absolute;left:0pt;margin-left:75.55pt;margin-top:543.45pt;height:16.05pt;width:63.1pt;mso-position-horizontal-relative:page;mso-position-vertical-relative:page;z-index:-251656192;mso-width-relative:page;mso-height-relative:page;" filled="f" stroked="f" coordsize="21600,21600" o:gfxdata="UEsDBAoAAAAAAIdO4kAAAAAAAAAAAAAAAAAEAAAAZHJzL1BLAwQUAAAACACHTuJAF1+P0toAAAAN&#10;AQAADwAAAGRycy9kb3ducmV2LnhtbE2PzU7DMBCE70i8g7VI3KjtItImxKkQghMSIg0Hjk7sJlbj&#10;dYjdH96e5VRuO7uj2W/KzdmP7Gjn6AIqkAsBzGIXjMNewWfzercGFpNGo8eAVsGPjbCprq9KXZhw&#10;wtoet6lnFIKx0AqGlKaC89gN1uu4CJNFuu3C7HUiOffczPpE4X7kSyEy7rVD+jDoyT4PtttvD17B&#10;0xfWL+77vf2od7VrmlzgW7ZX6vZGikdgyZ7TxQx/+IQOFTG14YAmspH0g5RkpUGssxwYWZar1T2w&#10;llZS5gJ4VfL/LapfUEsDBBQAAAAIAIdO4kDBsX2SxQEAAIMDAAAOAAAAZHJzL2Uyb0RvYy54bWyt&#10;U0tu2zAQ3RfIHQjuY8k22hqC5QCFkSBA0RZIcwCaoiwC/HWGtuQLtDfoqpvuey6fo0P61yabLLKh&#10;RjOjN++9oeY3gzVsqwC1dzUfj0rOlJO+0W5d88evt9czzjAK1wjjnar5TiG/WVy9mfehUhPfedMo&#10;YATisOpDzbsYQ1UUKDtlBY58UI6KrQcrIr3CumhA9IRuTTEpy3dF76EJ4KVCpOzyUORHRHgJoG9b&#10;LdXSy41VLh5QQRkRSRJ2OiBfZLZtq2T83LaoIjM1J6UxnzSE4lU6i8VcVGsQodPySEG8hMITTVZo&#10;R0PPUEsRBduAfgZltQSPvo0j6W1xEJIdIRXj8ok3D50IKmshqzGcTcfXg5Wftl+A6YZuwoQzJyxt&#10;fP/zx/7Xn/3v72xcTrNFfcCKOh8C9cbhgx+oPVmX8kjJpHxowaYnaWJUJ4N3Z4PVEJmk5KwcT99T&#10;RVJpUk5n07cJpbh8HADjnfKWpaDmQPvLtortR4yH1lNLmuX8rTYm79C4/xKEmTLFhWGK4rAajrRX&#10;vtmRmp5WX3P8thGgODP3jrxN9+QUwClYnYJNAL3uiFx2IA+g3WQVx3uUlv/ve6Zx+Xc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X4/S2gAAAA0BAAAPAAAAAAAAAAEAIAAAACIAAABkcnMvZG93&#10;bnJldi54bWxQSwECFAAUAAAACACHTuJAwbF9ksUBAACDAwAADgAAAAAAAAABACAAAAApAQAAZHJz&#10;L2Uyb0RvYy54bWxQSwUGAAAAAAYABgBZAQAAYAU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5"/>
      <w:numFmt w:val="decimal"/>
      <w:pStyle w:val="2"/>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呼呼">
    <w15:presenceInfo w15:providerId="WPS Office" w15:userId="2488145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hyphenationZone w:val="36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NmE4Zjk0YjViYzQ2MDA4MzcyZjI4OWFiNWQxODEifQ=="/>
  </w:docVars>
  <w:rsids>
    <w:rsidRoot w:val="00512AAD"/>
    <w:rsid w:val="0000639C"/>
    <w:rsid w:val="00014272"/>
    <w:rsid w:val="00021145"/>
    <w:rsid w:val="00033907"/>
    <w:rsid w:val="00050C8D"/>
    <w:rsid w:val="00064B8E"/>
    <w:rsid w:val="000873A4"/>
    <w:rsid w:val="000953D0"/>
    <w:rsid w:val="00096D84"/>
    <w:rsid w:val="000C26D3"/>
    <w:rsid w:val="000C32BB"/>
    <w:rsid w:val="000C350E"/>
    <w:rsid w:val="000C598A"/>
    <w:rsid w:val="000F00F7"/>
    <w:rsid w:val="000F3BF6"/>
    <w:rsid w:val="000F3E00"/>
    <w:rsid w:val="000F45CC"/>
    <w:rsid w:val="001068F1"/>
    <w:rsid w:val="00144B2A"/>
    <w:rsid w:val="00145575"/>
    <w:rsid w:val="00146C95"/>
    <w:rsid w:val="001475BC"/>
    <w:rsid w:val="00163BAB"/>
    <w:rsid w:val="00166988"/>
    <w:rsid w:val="00185A8B"/>
    <w:rsid w:val="00193405"/>
    <w:rsid w:val="001B0E6F"/>
    <w:rsid w:val="001C2424"/>
    <w:rsid w:val="001C2688"/>
    <w:rsid w:val="001C3F4F"/>
    <w:rsid w:val="0020503F"/>
    <w:rsid w:val="00207162"/>
    <w:rsid w:val="0022746A"/>
    <w:rsid w:val="002379B8"/>
    <w:rsid w:val="00257158"/>
    <w:rsid w:val="00257EEA"/>
    <w:rsid w:val="00264F03"/>
    <w:rsid w:val="00265D41"/>
    <w:rsid w:val="00265DFA"/>
    <w:rsid w:val="002723B4"/>
    <w:rsid w:val="002755B5"/>
    <w:rsid w:val="00290122"/>
    <w:rsid w:val="002A776E"/>
    <w:rsid w:val="002B5BF7"/>
    <w:rsid w:val="002C5AAD"/>
    <w:rsid w:val="003244B8"/>
    <w:rsid w:val="00343CF8"/>
    <w:rsid w:val="00387563"/>
    <w:rsid w:val="00397DAB"/>
    <w:rsid w:val="003B61E2"/>
    <w:rsid w:val="003D09AC"/>
    <w:rsid w:val="003D217D"/>
    <w:rsid w:val="003D492B"/>
    <w:rsid w:val="003D4D56"/>
    <w:rsid w:val="003D5B1E"/>
    <w:rsid w:val="003E37B3"/>
    <w:rsid w:val="003E4A39"/>
    <w:rsid w:val="003E5CF4"/>
    <w:rsid w:val="0041243E"/>
    <w:rsid w:val="00415F01"/>
    <w:rsid w:val="004253BA"/>
    <w:rsid w:val="00430961"/>
    <w:rsid w:val="00432118"/>
    <w:rsid w:val="00440608"/>
    <w:rsid w:val="004445FB"/>
    <w:rsid w:val="00464218"/>
    <w:rsid w:val="00464E1A"/>
    <w:rsid w:val="004662E5"/>
    <w:rsid w:val="0047410D"/>
    <w:rsid w:val="00475C15"/>
    <w:rsid w:val="004848AF"/>
    <w:rsid w:val="00496E12"/>
    <w:rsid w:val="004A10EF"/>
    <w:rsid w:val="004A11AA"/>
    <w:rsid w:val="004A3588"/>
    <w:rsid w:val="004A58A0"/>
    <w:rsid w:val="004B7DCE"/>
    <w:rsid w:val="004F78BB"/>
    <w:rsid w:val="00503314"/>
    <w:rsid w:val="005058E2"/>
    <w:rsid w:val="00512AAD"/>
    <w:rsid w:val="0052620F"/>
    <w:rsid w:val="005311F8"/>
    <w:rsid w:val="00532BF5"/>
    <w:rsid w:val="00541586"/>
    <w:rsid w:val="005740EA"/>
    <w:rsid w:val="005769E7"/>
    <w:rsid w:val="005C214E"/>
    <w:rsid w:val="00632C99"/>
    <w:rsid w:val="0063723C"/>
    <w:rsid w:val="00643085"/>
    <w:rsid w:val="00646F37"/>
    <w:rsid w:val="00651D27"/>
    <w:rsid w:val="0065262D"/>
    <w:rsid w:val="00655EDF"/>
    <w:rsid w:val="006650C8"/>
    <w:rsid w:val="0066649C"/>
    <w:rsid w:val="00675C73"/>
    <w:rsid w:val="00675F90"/>
    <w:rsid w:val="00680B95"/>
    <w:rsid w:val="006C6BCC"/>
    <w:rsid w:val="006C6F3D"/>
    <w:rsid w:val="006F7D9D"/>
    <w:rsid w:val="00700122"/>
    <w:rsid w:val="00703E93"/>
    <w:rsid w:val="00707711"/>
    <w:rsid w:val="00713204"/>
    <w:rsid w:val="007224E1"/>
    <w:rsid w:val="00727582"/>
    <w:rsid w:val="00750FFE"/>
    <w:rsid w:val="00751C87"/>
    <w:rsid w:val="00774A62"/>
    <w:rsid w:val="0079176B"/>
    <w:rsid w:val="00796567"/>
    <w:rsid w:val="007A79E9"/>
    <w:rsid w:val="007C4181"/>
    <w:rsid w:val="007C6A3D"/>
    <w:rsid w:val="007C7939"/>
    <w:rsid w:val="007D624C"/>
    <w:rsid w:val="007E0550"/>
    <w:rsid w:val="007E26A6"/>
    <w:rsid w:val="007E319B"/>
    <w:rsid w:val="007E6A9E"/>
    <w:rsid w:val="00800CA2"/>
    <w:rsid w:val="00805B5B"/>
    <w:rsid w:val="00812B24"/>
    <w:rsid w:val="008147BA"/>
    <w:rsid w:val="00821BF6"/>
    <w:rsid w:val="00826039"/>
    <w:rsid w:val="008321D1"/>
    <w:rsid w:val="0083293F"/>
    <w:rsid w:val="00833EDD"/>
    <w:rsid w:val="0084508B"/>
    <w:rsid w:val="00850A78"/>
    <w:rsid w:val="00854421"/>
    <w:rsid w:val="0088210D"/>
    <w:rsid w:val="00884D43"/>
    <w:rsid w:val="00892ADE"/>
    <w:rsid w:val="008B15F7"/>
    <w:rsid w:val="008C1A84"/>
    <w:rsid w:val="008C7254"/>
    <w:rsid w:val="008D0999"/>
    <w:rsid w:val="008D143A"/>
    <w:rsid w:val="008F28FD"/>
    <w:rsid w:val="008F7A51"/>
    <w:rsid w:val="00902A92"/>
    <w:rsid w:val="0091601E"/>
    <w:rsid w:val="009224FE"/>
    <w:rsid w:val="00922C63"/>
    <w:rsid w:val="00937934"/>
    <w:rsid w:val="00944E8D"/>
    <w:rsid w:val="009635ED"/>
    <w:rsid w:val="00965CC6"/>
    <w:rsid w:val="009843B3"/>
    <w:rsid w:val="00984438"/>
    <w:rsid w:val="00992105"/>
    <w:rsid w:val="00992784"/>
    <w:rsid w:val="009B76B6"/>
    <w:rsid w:val="009C59B0"/>
    <w:rsid w:val="009D40CC"/>
    <w:rsid w:val="00A17E67"/>
    <w:rsid w:val="00A270D8"/>
    <w:rsid w:val="00A61E24"/>
    <w:rsid w:val="00A824CC"/>
    <w:rsid w:val="00A931F5"/>
    <w:rsid w:val="00AA5DCA"/>
    <w:rsid w:val="00AA701A"/>
    <w:rsid w:val="00AB06A4"/>
    <w:rsid w:val="00AF6C0E"/>
    <w:rsid w:val="00B11938"/>
    <w:rsid w:val="00B147D1"/>
    <w:rsid w:val="00B15CC1"/>
    <w:rsid w:val="00B21492"/>
    <w:rsid w:val="00B27E23"/>
    <w:rsid w:val="00B43FCF"/>
    <w:rsid w:val="00B612AD"/>
    <w:rsid w:val="00B7433C"/>
    <w:rsid w:val="00B8171B"/>
    <w:rsid w:val="00B84792"/>
    <w:rsid w:val="00BA2A46"/>
    <w:rsid w:val="00BC57CD"/>
    <w:rsid w:val="00BD0E1A"/>
    <w:rsid w:val="00BD4772"/>
    <w:rsid w:val="00BF3909"/>
    <w:rsid w:val="00C00E4E"/>
    <w:rsid w:val="00C07F90"/>
    <w:rsid w:val="00C146A9"/>
    <w:rsid w:val="00C254C0"/>
    <w:rsid w:val="00C6201D"/>
    <w:rsid w:val="00C63D15"/>
    <w:rsid w:val="00C64274"/>
    <w:rsid w:val="00C73718"/>
    <w:rsid w:val="00C77617"/>
    <w:rsid w:val="00C822CD"/>
    <w:rsid w:val="00C82ED7"/>
    <w:rsid w:val="00C848DA"/>
    <w:rsid w:val="00CA283A"/>
    <w:rsid w:val="00CA3099"/>
    <w:rsid w:val="00CA3DA6"/>
    <w:rsid w:val="00CB34DD"/>
    <w:rsid w:val="00CB6A24"/>
    <w:rsid w:val="00CC033F"/>
    <w:rsid w:val="00CD78B1"/>
    <w:rsid w:val="00D05E19"/>
    <w:rsid w:val="00D1406A"/>
    <w:rsid w:val="00D2735D"/>
    <w:rsid w:val="00D507C9"/>
    <w:rsid w:val="00D559A7"/>
    <w:rsid w:val="00D74450"/>
    <w:rsid w:val="00D77A2E"/>
    <w:rsid w:val="00D9323B"/>
    <w:rsid w:val="00D96B68"/>
    <w:rsid w:val="00DD1B07"/>
    <w:rsid w:val="00DD6757"/>
    <w:rsid w:val="00DD713B"/>
    <w:rsid w:val="00DF1468"/>
    <w:rsid w:val="00E25E03"/>
    <w:rsid w:val="00E27461"/>
    <w:rsid w:val="00E3221E"/>
    <w:rsid w:val="00E54EA8"/>
    <w:rsid w:val="00EC7456"/>
    <w:rsid w:val="00ED3B8A"/>
    <w:rsid w:val="00EF1B4C"/>
    <w:rsid w:val="00F01222"/>
    <w:rsid w:val="00F0429B"/>
    <w:rsid w:val="00F24097"/>
    <w:rsid w:val="00F2679D"/>
    <w:rsid w:val="00F312BC"/>
    <w:rsid w:val="00F3146E"/>
    <w:rsid w:val="00F34423"/>
    <w:rsid w:val="00F4102E"/>
    <w:rsid w:val="00F4360B"/>
    <w:rsid w:val="00F57480"/>
    <w:rsid w:val="00F608D6"/>
    <w:rsid w:val="00F60D03"/>
    <w:rsid w:val="00F61772"/>
    <w:rsid w:val="00F7103C"/>
    <w:rsid w:val="00F84A5A"/>
    <w:rsid w:val="00F9143F"/>
    <w:rsid w:val="00FA32E5"/>
    <w:rsid w:val="00FD2B62"/>
    <w:rsid w:val="00FD3B88"/>
    <w:rsid w:val="00FD7C73"/>
    <w:rsid w:val="00FE35E5"/>
    <w:rsid w:val="0102259A"/>
    <w:rsid w:val="012510E0"/>
    <w:rsid w:val="016D23D9"/>
    <w:rsid w:val="01AE7FB9"/>
    <w:rsid w:val="01C95E5C"/>
    <w:rsid w:val="01F74C3A"/>
    <w:rsid w:val="02111B48"/>
    <w:rsid w:val="02CA7E7A"/>
    <w:rsid w:val="03030365"/>
    <w:rsid w:val="03460447"/>
    <w:rsid w:val="03A855D4"/>
    <w:rsid w:val="04003C23"/>
    <w:rsid w:val="041128CF"/>
    <w:rsid w:val="04737DE7"/>
    <w:rsid w:val="04772435"/>
    <w:rsid w:val="04FB6313"/>
    <w:rsid w:val="05005EEE"/>
    <w:rsid w:val="05025EC0"/>
    <w:rsid w:val="05291244"/>
    <w:rsid w:val="053579AF"/>
    <w:rsid w:val="05AD7146"/>
    <w:rsid w:val="05C96B9F"/>
    <w:rsid w:val="06504EA9"/>
    <w:rsid w:val="065D5DFC"/>
    <w:rsid w:val="0700486B"/>
    <w:rsid w:val="070C776E"/>
    <w:rsid w:val="07100621"/>
    <w:rsid w:val="071009B7"/>
    <w:rsid w:val="072929AA"/>
    <w:rsid w:val="075211D4"/>
    <w:rsid w:val="078A2C5B"/>
    <w:rsid w:val="08906624"/>
    <w:rsid w:val="099C6407"/>
    <w:rsid w:val="09AF6CF7"/>
    <w:rsid w:val="09ED69F7"/>
    <w:rsid w:val="0A05211B"/>
    <w:rsid w:val="0A2E773B"/>
    <w:rsid w:val="0A300AA9"/>
    <w:rsid w:val="0A7135E2"/>
    <w:rsid w:val="0A966160"/>
    <w:rsid w:val="0A9C2B8D"/>
    <w:rsid w:val="0AA63889"/>
    <w:rsid w:val="0AC343FE"/>
    <w:rsid w:val="0AD470C0"/>
    <w:rsid w:val="0AE71698"/>
    <w:rsid w:val="0AFF2B3C"/>
    <w:rsid w:val="0BCF7555"/>
    <w:rsid w:val="0C4B49EA"/>
    <w:rsid w:val="0C51216A"/>
    <w:rsid w:val="0C60735B"/>
    <w:rsid w:val="0C833296"/>
    <w:rsid w:val="0CAF4438"/>
    <w:rsid w:val="0CD43F05"/>
    <w:rsid w:val="0D31171D"/>
    <w:rsid w:val="0D485198"/>
    <w:rsid w:val="0D5738CB"/>
    <w:rsid w:val="0DD06E6B"/>
    <w:rsid w:val="0DEB2EA4"/>
    <w:rsid w:val="0DF34751"/>
    <w:rsid w:val="0E317356"/>
    <w:rsid w:val="0E562813"/>
    <w:rsid w:val="0FE36AF8"/>
    <w:rsid w:val="0FF75DBB"/>
    <w:rsid w:val="101B4E1C"/>
    <w:rsid w:val="101B69D2"/>
    <w:rsid w:val="102A44B2"/>
    <w:rsid w:val="103406D9"/>
    <w:rsid w:val="10797237"/>
    <w:rsid w:val="108101B1"/>
    <w:rsid w:val="10D70EA1"/>
    <w:rsid w:val="11616072"/>
    <w:rsid w:val="11A958FA"/>
    <w:rsid w:val="11BC484C"/>
    <w:rsid w:val="11C55E56"/>
    <w:rsid w:val="11C73699"/>
    <w:rsid w:val="11D021AD"/>
    <w:rsid w:val="11E20ED7"/>
    <w:rsid w:val="122328B9"/>
    <w:rsid w:val="122B0C3E"/>
    <w:rsid w:val="126200E3"/>
    <w:rsid w:val="12A20AFB"/>
    <w:rsid w:val="12A22983"/>
    <w:rsid w:val="12C27BDB"/>
    <w:rsid w:val="12DF18CA"/>
    <w:rsid w:val="12F07642"/>
    <w:rsid w:val="131556DF"/>
    <w:rsid w:val="137A716A"/>
    <w:rsid w:val="13C35226"/>
    <w:rsid w:val="140B1B9F"/>
    <w:rsid w:val="142C22C3"/>
    <w:rsid w:val="1453289F"/>
    <w:rsid w:val="146E673B"/>
    <w:rsid w:val="14BA1BCC"/>
    <w:rsid w:val="14ED05EA"/>
    <w:rsid w:val="15924F68"/>
    <w:rsid w:val="15A67FFF"/>
    <w:rsid w:val="161F738B"/>
    <w:rsid w:val="165247B2"/>
    <w:rsid w:val="16D6090D"/>
    <w:rsid w:val="16F2564D"/>
    <w:rsid w:val="16FC3275"/>
    <w:rsid w:val="170E67DA"/>
    <w:rsid w:val="1710513B"/>
    <w:rsid w:val="172B1C68"/>
    <w:rsid w:val="17435EA8"/>
    <w:rsid w:val="17437B7B"/>
    <w:rsid w:val="175400B6"/>
    <w:rsid w:val="17753DBF"/>
    <w:rsid w:val="177C1EC3"/>
    <w:rsid w:val="177F5AC2"/>
    <w:rsid w:val="17DE3E23"/>
    <w:rsid w:val="180A581B"/>
    <w:rsid w:val="18105F3F"/>
    <w:rsid w:val="18247EAA"/>
    <w:rsid w:val="18325232"/>
    <w:rsid w:val="18484471"/>
    <w:rsid w:val="18757F5B"/>
    <w:rsid w:val="196A7BBD"/>
    <w:rsid w:val="198241F2"/>
    <w:rsid w:val="19842921"/>
    <w:rsid w:val="199D3637"/>
    <w:rsid w:val="19C257AA"/>
    <w:rsid w:val="1A322FF5"/>
    <w:rsid w:val="1A3E0828"/>
    <w:rsid w:val="1A666644"/>
    <w:rsid w:val="1AF245E3"/>
    <w:rsid w:val="1B04328A"/>
    <w:rsid w:val="1B5F301F"/>
    <w:rsid w:val="1B8052B3"/>
    <w:rsid w:val="1BFC172D"/>
    <w:rsid w:val="1C297346"/>
    <w:rsid w:val="1C39079F"/>
    <w:rsid w:val="1C814E52"/>
    <w:rsid w:val="1CA24681"/>
    <w:rsid w:val="1CC30AE1"/>
    <w:rsid w:val="1CF55E97"/>
    <w:rsid w:val="1CF70DD1"/>
    <w:rsid w:val="1D2D4752"/>
    <w:rsid w:val="1D5F7AD9"/>
    <w:rsid w:val="1D6D0123"/>
    <w:rsid w:val="1DB633DA"/>
    <w:rsid w:val="1DBB6CD0"/>
    <w:rsid w:val="1DCA6D6E"/>
    <w:rsid w:val="1DEC0777"/>
    <w:rsid w:val="1DFA3AA8"/>
    <w:rsid w:val="1E864E72"/>
    <w:rsid w:val="1E946872"/>
    <w:rsid w:val="1EC50AD8"/>
    <w:rsid w:val="1EDE0AB9"/>
    <w:rsid w:val="1F9863CA"/>
    <w:rsid w:val="1FE40F52"/>
    <w:rsid w:val="200F1B1D"/>
    <w:rsid w:val="20112B79"/>
    <w:rsid w:val="2016504D"/>
    <w:rsid w:val="201D20A7"/>
    <w:rsid w:val="203126D3"/>
    <w:rsid w:val="205E3F65"/>
    <w:rsid w:val="208211C5"/>
    <w:rsid w:val="20910BFA"/>
    <w:rsid w:val="209B6D55"/>
    <w:rsid w:val="20B43C5E"/>
    <w:rsid w:val="214649A9"/>
    <w:rsid w:val="2149060E"/>
    <w:rsid w:val="2156531F"/>
    <w:rsid w:val="21A359FC"/>
    <w:rsid w:val="21BC49B7"/>
    <w:rsid w:val="21C25CFA"/>
    <w:rsid w:val="21ED1832"/>
    <w:rsid w:val="21F67D68"/>
    <w:rsid w:val="220C3F40"/>
    <w:rsid w:val="220F6DD3"/>
    <w:rsid w:val="22266EB0"/>
    <w:rsid w:val="22501232"/>
    <w:rsid w:val="22887BFB"/>
    <w:rsid w:val="22D34D08"/>
    <w:rsid w:val="22E47125"/>
    <w:rsid w:val="239F4961"/>
    <w:rsid w:val="24017A58"/>
    <w:rsid w:val="24190CE5"/>
    <w:rsid w:val="24280A50"/>
    <w:rsid w:val="24326AE0"/>
    <w:rsid w:val="24E4072B"/>
    <w:rsid w:val="24E80B0B"/>
    <w:rsid w:val="25220BAE"/>
    <w:rsid w:val="252231AB"/>
    <w:rsid w:val="25787665"/>
    <w:rsid w:val="25927B12"/>
    <w:rsid w:val="259C71AF"/>
    <w:rsid w:val="25DC106B"/>
    <w:rsid w:val="25E3224B"/>
    <w:rsid w:val="260D038A"/>
    <w:rsid w:val="26F07718"/>
    <w:rsid w:val="2708526B"/>
    <w:rsid w:val="27487488"/>
    <w:rsid w:val="280478D6"/>
    <w:rsid w:val="28DA457A"/>
    <w:rsid w:val="28EB280F"/>
    <w:rsid w:val="296938CA"/>
    <w:rsid w:val="29707F32"/>
    <w:rsid w:val="297C4978"/>
    <w:rsid w:val="29E23C5C"/>
    <w:rsid w:val="29EA25A7"/>
    <w:rsid w:val="29EC23D0"/>
    <w:rsid w:val="2A893833"/>
    <w:rsid w:val="2AA01999"/>
    <w:rsid w:val="2AF06C62"/>
    <w:rsid w:val="2B196435"/>
    <w:rsid w:val="2B2A773A"/>
    <w:rsid w:val="2B2E7D52"/>
    <w:rsid w:val="2BAC76B6"/>
    <w:rsid w:val="2C3767B5"/>
    <w:rsid w:val="2C450F23"/>
    <w:rsid w:val="2C4E154A"/>
    <w:rsid w:val="2C594D4D"/>
    <w:rsid w:val="2CF05CBE"/>
    <w:rsid w:val="2D1A508D"/>
    <w:rsid w:val="2D394AEE"/>
    <w:rsid w:val="2D4D1E44"/>
    <w:rsid w:val="2D6A7EB9"/>
    <w:rsid w:val="2D7B012D"/>
    <w:rsid w:val="2D7B7C08"/>
    <w:rsid w:val="2DBE0238"/>
    <w:rsid w:val="2DC03D41"/>
    <w:rsid w:val="2DE53473"/>
    <w:rsid w:val="2E34346E"/>
    <w:rsid w:val="2E3E695B"/>
    <w:rsid w:val="2E593D55"/>
    <w:rsid w:val="2E5A1D62"/>
    <w:rsid w:val="2E7045EA"/>
    <w:rsid w:val="2EBB6323"/>
    <w:rsid w:val="2EEF6BEA"/>
    <w:rsid w:val="2EF3153B"/>
    <w:rsid w:val="2EFF033A"/>
    <w:rsid w:val="2F13270B"/>
    <w:rsid w:val="2F1F38D4"/>
    <w:rsid w:val="2F4D67ED"/>
    <w:rsid w:val="2FA42C63"/>
    <w:rsid w:val="2FF71F90"/>
    <w:rsid w:val="300E32C0"/>
    <w:rsid w:val="30194730"/>
    <w:rsid w:val="3022412C"/>
    <w:rsid w:val="30257CCB"/>
    <w:rsid w:val="304337A5"/>
    <w:rsid w:val="3047300A"/>
    <w:rsid w:val="30CC376B"/>
    <w:rsid w:val="312300F0"/>
    <w:rsid w:val="31466136"/>
    <w:rsid w:val="31905FE2"/>
    <w:rsid w:val="31FE2761"/>
    <w:rsid w:val="329D519B"/>
    <w:rsid w:val="32A83D0E"/>
    <w:rsid w:val="32DF6F75"/>
    <w:rsid w:val="335F7797"/>
    <w:rsid w:val="337916D7"/>
    <w:rsid w:val="339223BA"/>
    <w:rsid w:val="33A47CDA"/>
    <w:rsid w:val="33BB33D8"/>
    <w:rsid w:val="33BB3818"/>
    <w:rsid w:val="343F0B0A"/>
    <w:rsid w:val="34430847"/>
    <w:rsid w:val="3452335A"/>
    <w:rsid w:val="347B2717"/>
    <w:rsid w:val="34CC223B"/>
    <w:rsid w:val="357D04F9"/>
    <w:rsid w:val="35D836FC"/>
    <w:rsid w:val="36052101"/>
    <w:rsid w:val="36121E78"/>
    <w:rsid w:val="365616C1"/>
    <w:rsid w:val="36631A4C"/>
    <w:rsid w:val="36680BA8"/>
    <w:rsid w:val="36984C48"/>
    <w:rsid w:val="36D02D9B"/>
    <w:rsid w:val="37024A0C"/>
    <w:rsid w:val="37311949"/>
    <w:rsid w:val="373155FE"/>
    <w:rsid w:val="374338AC"/>
    <w:rsid w:val="375A767C"/>
    <w:rsid w:val="37AC0D17"/>
    <w:rsid w:val="383615C6"/>
    <w:rsid w:val="386A4F00"/>
    <w:rsid w:val="387629E8"/>
    <w:rsid w:val="38C02BEA"/>
    <w:rsid w:val="38F319F2"/>
    <w:rsid w:val="390F2BAE"/>
    <w:rsid w:val="39283DF4"/>
    <w:rsid w:val="392F4087"/>
    <w:rsid w:val="394C4667"/>
    <w:rsid w:val="394C47CD"/>
    <w:rsid w:val="39522BBF"/>
    <w:rsid w:val="39A6259B"/>
    <w:rsid w:val="39B673B5"/>
    <w:rsid w:val="39FF37BD"/>
    <w:rsid w:val="3A443B62"/>
    <w:rsid w:val="3ACB44DE"/>
    <w:rsid w:val="3AE066BE"/>
    <w:rsid w:val="3B2573F3"/>
    <w:rsid w:val="3B5A5E94"/>
    <w:rsid w:val="3B6836A1"/>
    <w:rsid w:val="3BD417F6"/>
    <w:rsid w:val="3BEE3129"/>
    <w:rsid w:val="3C3E2F0C"/>
    <w:rsid w:val="3C42749A"/>
    <w:rsid w:val="3C680AAE"/>
    <w:rsid w:val="3C8446EA"/>
    <w:rsid w:val="3CA5702A"/>
    <w:rsid w:val="3CFB6A70"/>
    <w:rsid w:val="3D1347BB"/>
    <w:rsid w:val="3D16626A"/>
    <w:rsid w:val="3D53269D"/>
    <w:rsid w:val="3D792CD0"/>
    <w:rsid w:val="3DB34B4B"/>
    <w:rsid w:val="3DD63B6A"/>
    <w:rsid w:val="3E2A1D0F"/>
    <w:rsid w:val="3E710F37"/>
    <w:rsid w:val="3E895EC9"/>
    <w:rsid w:val="3EB31154"/>
    <w:rsid w:val="3EBB3821"/>
    <w:rsid w:val="3F9866C7"/>
    <w:rsid w:val="401A2D4B"/>
    <w:rsid w:val="402E1DD4"/>
    <w:rsid w:val="403B2C2F"/>
    <w:rsid w:val="40CB146C"/>
    <w:rsid w:val="40D92FED"/>
    <w:rsid w:val="40F46552"/>
    <w:rsid w:val="412276D1"/>
    <w:rsid w:val="41414119"/>
    <w:rsid w:val="41575C7D"/>
    <w:rsid w:val="416D1D4B"/>
    <w:rsid w:val="417065D5"/>
    <w:rsid w:val="41860B6D"/>
    <w:rsid w:val="41902CAF"/>
    <w:rsid w:val="41DF542C"/>
    <w:rsid w:val="41FD4708"/>
    <w:rsid w:val="42962A4F"/>
    <w:rsid w:val="4296401C"/>
    <w:rsid w:val="42B3041C"/>
    <w:rsid w:val="42C45490"/>
    <w:rsid w:val="42D176D1"/>
    <w:rsid w:val="43045F08"/>
    <w:rsid w:val="433C083C"/>
    <w:rsid w:val="43602272"/>
    <w:rsid w:val="43850C36"/>
    <w:rsid w:val="44567338"/>
    <w:rsid w:val="4465199C"/>
    <w:rsid w:val="44DA4D7C"/>
    <w:rsid w:val="44F63CB9"/>
    <w:rsid w:val="451F3ED8"/>
    <w:rsid w:val="4594312E"/>
    <w:rsid w:val="45B23DA2"/>
    <w:rsid w:val="45F90CFC"/>
    <w:rsid w:val="461B7FF4"/>
    <w:rsid w:val="467632F5"/>
    <w:rsid w:val="468D09C1"/>
    <w:rsid w:val="46D816D1"/>
    <w:rsid w:val="46E77672"/>
    <w:rsid w:val="472D1258"/>
    <w:rsid w:val="47473B3E"/>
    <w:rsid w:val="476C51FF"/>
    <w:rsid w:val="480F57CC"/>
    <w:rsid w:val="48694B38"/>
    <w:rsid w:val="48CE3278"/>
    <w:rsid w:val="490A30CB"/>
    <w:rsid w:val="49262185"/>
    <w:rsid w:val="49440A15"/>
    <w:rsid w:val="494D61B0"/>
    <w:rsid w:val="495831F4"/>
    <w:rsid w:val="49A873C0"/>
    <w:rsid w:val="49CF2BAB"/>
    <w:rsid w:val="4A480CDC"/>
    <w:rsid w:val="4A575C59"/>
    <w:rsid w:val="4A8E6E5F"/>
    <w:rsid w:val="4AAC7559"/>
    <w:rsid w:val="4AEB5557"/>
    <w:rsid w:val="4B0C7C29"/>
    <w:rsid w:val="4B3B61F0"/>
    <w:rsid w:val="4B4C5709"/>
    <w:rsid w:val="4B6736E5"/>
    <w:rsid w:val="4B9509A7"/>
    <w:rsid w:val="4BB87F0C"/>
    <w:rsid w:val="4C3D6399"/>
    <w:rsid w:val="4C784061"/>
    <w:rsid w:val="4CA87F80"/>
    <w:rsid w:val="4CEB5D22"/>
    <w:rsid w:val="4D583754"/>
    <w:rsid w:val="4D8C5A07"/>
    <w:rsid w:val="4DD67B6B"/>
    <w:rsid w:val="4DE61F77"/>
    <w:rsid w:val="4DEA3E65"/>
    <w:rsid w:val="4E2C574D"/>
    <w:rsid w:val="4E8F27A8"/>
    <w:rsid w:val="4EB91852"/>
    <w:rsid w:val="4EC039DA"/>
    <w:rsid w:val="4EE00118"/>
    <w:rsid w:val="4F5D5E4F"/>
    <w:rsid w:val="4F7C258C"/>
    <w:rsid w:val="4FAF0359"/>
    <w:rsid w:val="4FC91266"/>
    <w:rsid w:val="50203FCD"/>
    <w:rsid w:val="509D671F"/>
    <w:rsid w:val="50D067E8"/>
    <w:rsid w:val="50D45618"/>
    <w:rsid w:val="515A7220"/>
    <w:rsid w:val="515D6992"/>
    <w:rsid w:val="51852020"/>
    <w:rsid w:val="519633C1"/>
    <w:rsid w:val="51CE0F2E"/>
    <w:rsid w:val="52047D5C"/>
    <w:rsid w:val="52112F6E"/>
    <w:rsid w:val="526A301E"/>
    <w:rsid w:val="52945A81"/>
    <w:rsid w:val="52A733BA"/>
    <w:rsid w:val="52BB4A2F"/>
    <w:rsid w:val="52FF1998"/>
    <w:rsid w:val="530C0721"/>
    <w:rsid w:val="532214F1"/>
    <w:rsid w:val="53391DA8"/>
    <w:rsid w:val="533D3789"/>
    <w:rsid w:val="539A7782"/>
    <w:rsid w:val="53A02431"/>
    <w:rsid w:val="54012072"/>
    <w:rsid w:val="541C2883"/>
    <w:rsid w:val="5432230C"/>
    <w:rsid w:val="543C16DA"/>
    <w:rsid w:val="545C3B0E"/>
    <w:rsid w:val="54911F32"/>
    <w:rsid w:val="5497747D"/>
    <w:rsid w:val="54B47A41"/>
    <w:rsid w:val="5536081F"/>
    <w:rsid w:val="557F6645"/>
    <w:rsid w:val="55922A78"/>
    <w:rsid w:val="55F45570"/>
    <w:rsid w:val="562102E2"/>
    <w:rsid w:val="562F60DC"/>
    <w:rsid w:val="56757D33"/>
    <w:rsid w:val="569C2F21"/>
    <w:rsid w:val="56A20E5B"/>
    <w:rsid w:val="56B55877"/>
    <w:rsid w:val="56E23EE4"/>
    <w:rsid w:val="571A5AD8"/>
    <w:rsid w:val="57374911"/>
    <w:rsid w:val="5823213D"/>
    <w:rsid w:val="58642ABA"/>
    <w:rsid w:val="5891401B"/>
    <w:rsid w:val="58EA529C"/>
    <w:rsid w:val="58FA3A97"/>
    <w:rsid w:val="59594ADC"/>
    <w:rsid w:val="597F409C"/>
    <w:rsid w:val="59A179CB"/>
    <w:rsid w:val="5B051218"/>
    <w:rsid w:val="5BAA5AC3"/>
    <w:rsid w:val="5BAD7361"/>
    <w:rsid w:val="5C1C09A8"/>
    <w:rsid w:val="5C3830CF"/>
    <w:rsid w:val="5C757E7F"/>
    <w:rsid w:val="5CA04847"/>
    <w:rsid w:val="5CE15514"/>
    <w:rsid w:val="5CE9608C"/>
    <w:rsid w:val="5DDD4302"/>
    <w:rsid w:val="5DED6EC5"/>
    <w:rsid w:val="5E2E20B3"/>
    <w:rsid w:val="5E98573F"/>
    <w:rsid w:val="5EB13F13"/>
    <w:rsid w:val="5EB8741B"/>
    <w:rsid w:val="5EBE368E"/>
    <w:rsid w:val="5ECC5D50"/>
    <w:rsid w:val="5EEA0551"/>
    <w:rsid w:val="5F163663"/>
    <w:rsid w:val="5F1E527E"/>
    <w:rsid w:val="5F2E1D10"/>
    <w:rsid w:val="5F3E5D36"/>
    <w:rsid w:val="5FBB12A0"/>
    <w:rsid w:val="5FBE38EB"/>
    <w:rsid w:val="60257028"/>
    <w:rsid w:val="603C635C"/>
    <w:rsid w:val="60897B4A"/>
    <w:rsid w:val="608A1F5A"/>
    <w:rsid w:val="610417D1"/>
    <w:rsid w:val="61392C32"/>
    <w:rsid w:val="618A0939"/>
    <w:rsid w:val="61C4764D"/>
    <w:rsid w:val="61FD20CE"/>
    <w:rsid w:val="620E59CB"/>
    <w:rsid w:val="62362D0E"/>
    <w:rsid w:val="625817A3"/>
    <w:rsid w:val="628C2AFA"/>
    <w:rsid w:val="62DD72AA"/>
    <w:rsid w:val="63287105"/>
    <w:rsid w:val="6331524B"/>
    <w:rsid w:val="6334099B"/>
    <w:rsid w:val="63436BEA"/>
    <w:rsid w:val="63BB3AEE"/>
    <w:rsid w:val="641B133A"/>
    <w:rsid w:val="642D101A"/>
    <w:rsid w:val="6440096F"/>
    <w:rsid w:val="646B0CA5"/>
    <w:rsid w:val="646D78DF"/>
    <w:rsid w:val="64756C70"/>
    <w:rsid w:val="649C5881"/>
    <w:rsid w:val="64E85D15"/>
    <w:rsid w:val="65080D7D"/>
    <w:rsid w:val="65402FF4"/>
    <w:rsid w:val="65440D49"/>
    <w:rsid w:val="6574754E"/>
    <w:rsid w:val="65812C5A"/>
    <w:rsid w:val="65A528DA"/>
    <w:rsid w:val="65F8027D"/>
    <w:rsid w:val="662F7D0B"/>
    <w:rsid w:val="66486CD7"/>
    <w:rsid w:val="664C7475"/>
    <w:rsid w:val="6681098B"/>
    <w:rsid w:val="66F56CBA"/>
    <w:rsid w:val="66FD00AE"/>
    <w:rsid w:val="67301F89"/>
    <w:rsid w:val="678561CE"/>
    <w:rsid w:val="67A6261C"/>
    <w:rsid w:val="67AC39CD"/>
    <w:rsid w:val="67BF74EC"/>
    <w:rsid w:val="67D33143"/>
    <w:rsid w:val="687E2DDA"/>
    <w:rsid w:val="68E87F30"/>
    <w:rsid w:val="68F426EA"/>
    <w:rsid w:val="69965C39"/>
    <w:rsid w:val="69B56F27"/>
    <w:rsid w:val="69BD23C9"/>
    <w:rsid w:val="69C84DE2"/>
    <w:rsid w:val="6A355E80"/>
    <w:rsid w:val="6ACD19CC"/>
    <w:rsid w:val="6B372A70"/>
    <w:rsid w:val="6B3D534D"/>
    <w:rsid w:val="6B3E7FD6"/>
    <w:rsid w:val="6B450876"/>
    <w:rsid w:val="6BA26758"/>
    <w:rsid w:val="6BAA0234"/>
    <w:rsid w:val="6BBB0D87"/>
    <w:rsid w:val="6BF16DF6"/>
    <w:rsid w:val="6C3444C1"/>
    <w:rsid w:val="6D4D6781"/>
    <w:rsid w:val="6DD34915"/>
    <w:rsid w:val="6DE54739"/>
    <w:rsid w:val="6F1600EC"/>
    <w:rsid w:val="6F4C20D1"/>
    <w:rsid w:val="6FA91374"/>
    <w:rsid w:val="6FBC7246"/>
    <w:rsid w:val="6FD22201"/>
    <w:rsid w:val="70924C53"/>
    <w:rsid w:val="70BD7B8B"/>
    <w:rsid w:val="70FA2A8F"/>
    <w:rsid w:val="7115769C"/>
    <w:rsid w:val="716D16A9"/>
    <w:rsid w:val="71A05546"/>
    <w:rsid w:val="71AC7EA9"/>
    <w:rsid w:val="71CF365C"/>
    <w:rsid w:val="720E2AC8"/>
    <w:rsid w:val="723D4337"/>
    <w:rsid w:val="727426D5"/>
    <w:rsid w:val="72983E53"/>
    <w:rsid w:val="72E25097"/>
    <w:rsid w:val="72FE1041"/>
    <w:rsid w:val="734E65B2"/>
    <w:rsid w:val="73530396"/>
    <w:rsid w:val="735C36EF"/>
    <w:rsid w:val="738B1A1D"/>
    <w:rsid w:val="739076D8"/>
    <w:rsid w:val="73DB414E"/>
    <w:rsid w:val="73F43498"/>
    <w:rsid w:val="742A6D0A"/>
    <w:rsid w:val="7430227C"/>
    <w:rsid w:val="74DE0DD3"/>
    <w:rsid w:val="74E13845"/>
    <w:rsid w:val="75052316"/>
    <w:rsid w:val="751C5793"/>
    <w:rsid w:val="757C5739"/>
    <w:rsid w:val="766802BD"/>
    <w:rsid w:val="76713C68"/>
    <w:rsid w:val="76784E51"/>
    <w:rsid w:val="768A6E55"/>
    <w:rsid w:val="76A100CB"/>
    <w:rsid w:val="76F11288"/>
    <w:rsid w:val="772D4C0C"/>
    <w:rsid w:val="77BB12EA"/>
    <w:rsid w:val="77BB38C3"/>
    <w:rsid w:val="78156753"/>
    <w:rsid w:val="781B7197"/>
    <w:rsid w:val="78311112"/>
    <w:rsid w:val="783C1DBD"/>
    <w:rsid w:val="78C72258"/>
    <w:rsid w:val="78D84564"/>
    <w:rsid w:val="78FF0A1C"/>
    <w:rsid w:val="791224CE"/>
    <w:rsid w:val="799500F9"/>
    <w:rsid w:val="79A76720"/>
    <w:rsid w:val="79E0020A"/>
    <w:rsid w:val="7A326B5B"/>
    <w:rsid w:val="7A3A7B06"/>
    <w:rsid w:val="7A79168C"/>
    <w:rsid w:val="7AA03626"/>
    <w:rsid w:val="7AB31C99"/>
    <w:rsid w:val="7B1211BC"/>
    <w:rsid w:val="7B5C5834"/>
    <w:rsid w:val="7BA71255"/>
    <w:rsid w:val="7BD674E3"/>
    <w:rsid w:val="7CAD0B17"/>
    <w:rsid w:val="7CB6489D"/>
    <w:rsid w:val="7CFB603E"/>
    <w:rsid w:val="7D1E0273"/>
    <w:rsid w:val="7DBD122E"/>
    <w:rsid w:val="7EA26B50"/>
    <w:rsid w:val="7EAF0227"/>
    <w:rsid w:val="7EB243CB"/>
    <w:rsid w:val="7EB805C2"/>
    <w:rsid w:val="7EEB65DA"/>
    <w:rsid w:val="7EF0220C"/>
    <w:rsid w:val="7F095A83"/>
    <w:rsid w:val="7F801154"/>
    <w:rsid w:val="7F88727E"/>
    <w:rsid w:val="7FA220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5">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27">
    <w:name w:val="Default Paragraph Font"/>
    <w:unhideWhenUsed/>
    <w:qFormat/>
    <w:uiPriority w:val="1"/>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numPr>
        <w:ilvl w:val="0"/>
        <w:numId w:val="1"/>
      </w:numPr>
      <w:spacing w:line="360" w:lineRule="auto"/>
      <w:ind w:left="0" w:firstLine="562" w:firstLineChars="200"/>
      <w:jc w:val="left"/>
    </w:pPr>
  </w:style>
  <w:style w:type="paragraph" w:customStyle="1" w:styleId="3">
    <w:name w:val="Body Text Indent1"/>
    <w:basedOn w:val="1"/>
    <w:qFormat/>
    <w:uiPriority w:val="99"/>
    <w:pPr>
      <w:spacing w:after="120"/>
      <w:ind w:left="420" w:leftChars="200"/>
    </w:pPr>
  </w:style>
  <w:style w:type="paragraph" w:styleId="8">
    <w:name w:val="List 3"/>
    <w:basedOn w:val="1"/>
    <w:qFormat/>
    <w:uiPriority w:val="0"/>
    <w:pPr>
      <w:ind w:left="100" w:leftChars="400" w:hanging="200" w:hangingChars="200"/>
      <w:contextualSpacing/>
    </w:pPr>
  </w:style>
  <w:style w:type="paragraph" w:styleId="9">
    <w:name w:val="Normal Indent"/>
    <w:basedOn w:val="1"/>
    <w:unhideWhenUsed/>
    <w:qFormat/>
    <w:uiPriority w:val="0"/>
    <w:pPr>
      <w:spacing w:line="240" w:lineRule="auto"/>
      <w:ind w:firstLine="420"/>
    </w:pPr>
    <w:rPr>
      <w:rFonts w:ascii="Calibri" w:hAnsi="Calibri"/>
      <w:sz w:val="21"/>
    </w:rPr>
  </w:style>
  <w:style w:type="paragraph" w:styleId="10">
    <w:name w:val="annotation text"/>
    <w:basedOn w:val="1"/>
    <w:link w:val="35"/>
    <w:semiHidden/>
    <w:qFormat/>
    <w:uiPriority w:val="0"/>
    <w:rPr>
      <w:sz w:val="24"/>
      <w:szCs w:val="20"/>
    </w:rPr>
  </w:style>
  <w:style w:type="paragraph" w:styleId="11">
    <w:name w:val="Body Text"/>
    <w:basedOn w:val="1"/>
    <w:next w:val="12"/>
    <w:qFormat/>
    <w:uiPriority w:val="1"/>
    <w:rPr>
      <w:rFonts w:ascii="黑体" w:hAnsi="黑体" w:eastAsia="黑体" w:cs="黑体"/>
      <w:sz w:val="30"/>
      <w:szCs w:val="30"/>
      <w:lang w:val="zh-CN" w:eastAsia="zh-CN" w:bidi="zh-CN"/>
    </w:rPr>
  </w:style>
  <w:style w:type="paragraph" w:customStyle="1" w:styleId="12">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1"/>
      <w:szCs w:val="21"/>
    </w:rPr>
  </w:style>
  <w:style w:type="paragraph" w:styleId="13">
    <w:name w:val="Body Text Indent"/>
    <w:basedOn w:val="1"/>
    <w:next w:val="14"/>
    <w:unhideWhenUsed/>
    <w:qFormat/>
    <w:uiPriority w:val="99"/>
    <w:pPr>
      <w:spacing w:after="120"/>
      <w:ind w:left="420" w:leftChars="200"/>
    </w:pPr>
  </w:style>
  <w:style w:type="paragraph" w:styleId="14">
    <w:name w:val="Body Text Indent 2"/>
    <w:basedOn w:val="1"/>
    <w:next w:val="1"/>
    <w:link w:val="37"/>
    <w:qFormat/>
    <w:uiPriority w:val="0"/>
    <w:pPr>
      <w:spacing w:after="120" w:line="480" w:lineRule="auto"/>
      <w:ind w:left="420" w:leftChars="200"/>
    </w:pPr>
  </w:style>
  <w:style w:type="paragraph" w:styleId="15">
    <w:name w:val="Plain Text"/>
    <w:basedOn w:val="1"/>
    <w:next w:val="16"/>
    <w:link w:val="36"/>
    <w:unhideWhenUsed/>
    <w:qFormat/>
    <w:uiPriority w:val="0"/>
    <w:rPr>
      <w:rFonts w:ascii="宋体" w:hAnsi="Courier New" w:cs="Courier New"/>
      <w:sz w:val="21"/>
      <w:szCs w:val="21"/>
    </w:rPr>
  </w:style>
  <w:style w:type="paragraph" w:customStyle="1" w:styleId="16">
    <w:name w:val="正本"/>
    <w:basedOn w:val="1"/>
    <w:qFormat/>
    <w:uiPriority w:val="0"/>
    <w:pPr>
      <w:adjustRightInd w:val="0"/>
      <w:snapToGrid w:val="0"/>
      <w:spacing w:line="360" w:lineRule="auto"/>
      <w:ind w:firstLine="200" w:firstLineChars="200"/>
    </w:pPr>
    <w:rPr>
      <w:rFonts w:ascii="宋体"/>
      <w:sz w:val="24"/>
    </w:rPr>
  </w:style>
  <w:style w:type="paragraph" w:styleId="17">
    <w:name w:val="Balloon Text"/>
    <w:basedOn w:val="1"/>
    <w:link w:val="38"/>
    <w:qFormat/>
    <w:uiPriority w:val="0"/>
    <w:rPr>
      <w:sz w:val="18"/>
      <w:szCs w:val="18"/>
    </w:rPr>
  </w:style>
  <w:style w:type="paragraph" w:styleId="18">
    <w:name w:val="footer"/>
    <w:basedOn w:val="1"/>
    <w:link w:val="39"/>
    <w:qFormat/>
    <w:uiPriority w:val="99"/>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List"/>
    <w:basedOn w:val="1"/>
    <w:qFormat/>
    <w:uiPriority w:val="0"/>
    <w:pPr>
      <w:jc w:val="center"/>
    </w:pPr>
    <w:rPr>
      <w:szCs w:val="20"/>
    </w:rPr>
  </w:style>
  <w:style w:type="paragraph" w:styleId="21">
    <w:name w:val="Normal (Web)"/>
    <w:basedOn w:val="1"/>
    <w:qFormat/>
    <w:uiPriority w:val="0"/>
    <w:pPr>
      <w:autoSpaceDE/>
      <w:autoSpaceDN/>
      <w:spacing w:beforeAutospacing="1" w:afterAutospacing="1" w:line="300" w:lineRule="auto"/>
    </w:pPr>
    <w:rPr>
      <w:rFonts w:ascii="Times New Roman" w:hAnsi="Times New Roman" w:cs="Times New Roman"/>
      <w:sz w:val="24"/>
      <w:szCs w:val="24"/>
      <w:lang w:val="en-US" w:bidi="ar-SA"/>
    </w:rPr>
  </w:style>
  <w:style w:type="paragraph" w:styleId="22">
    <w:name w:val="annotation subject"/>
    <w:basedOn w:val="10"/>
    <w:next w:val="10"/>
    <w:link w:val="40"/>
    <w:qFormat/>
    <w:uiPriority w:val="0"/>
    <w:rPr>
      <w:b/>
      <w:bCs/>
      <w:sz w:val="22"/>
      <w:szCs w:val="22"/>
    </w:rPr>
  </w:style>
  <w:style w:type="paragraph" w:styleId="23">
    <w:name w:val="Body Text First Indent"/>
    <w:basedOn w:val="11"/>
    <w:link w:val="41"/>
    <w:qFormat/>
    <w:uiPriority w:val="99"/>
    <w:pPr>
      <w:adjustRightInd w:val="0"/>
      <w:snapToGrid w:val="0"/>
      <w:spacing w:beforeLines="50" w:after="0" w:line="360" w:lineRule="auto"/>
      <w:ind w:firstLine="200" w:firstLineChars="200"/>
    </w:pPr>
    <w:rPr>
      <w:sz w:val="24"/>
    </w:rPr>
  </w:style>
  <w:style w:type="paragraph" w:styleId="24">
    <w:name w:val="Body Text First Indent 2"/>
    <w:basedOn w:val="13"/>
    <w:next w:val="1"/>
    <w:qFormat/>
    <w:uiPriority w:val="0"/>
    <w:pPr>
      <w:ind w:firstLine="420"/>
    </w:pPr>
    <w:rPr>
      <w:rFonts w:ascii="Times New Roman" w:hAnsi="Times New Roman"/>
      <w:szCs w:val="20"/>
      <w:lang w:val="en-US" w:eastAsia="zh-C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qFormat/>
    <w:uiPriority w:val="0"/>
    <w:rPr>
      <w:color w:val="771CAA"/>
      <w:u w:val="none"/>
    </w:rPr>
  </w:style>
  <w:style w:type="character" w:styleId="29">
    <w:name w:val="Emphasis"/>
    <w:qFormat/>
    <w:uiPriority w:val="0"/>
    <w:rPr>
      <w:color w:val="F73131"/>
    </w:rPr>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styleId="32">
    <w:name w:val="HTML Cite"/>
    <w:qFormat/>
    <w:uiPriority w:val="0"/>
    <w:rPr>
      <w:color w:val="008000"/>
    </w:rPr>
  </w:style>
  <w:style w:type="paragraph" w:customStyle="1" w:styleId="33">
    <w:name w:val="Default"/>
    <w:basedOn w:val="34"/>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pPr>
    <w:rPr>
      <w:rFonts w:ascii="宋体" w:hAnsi="Courier New"/>
      <w:szCs w:val="20"/>
    </w:rPr>
  </w:style>
  <w:style w:type="character" w:customStyle="1" w:styleId="35">
    <w:name w:val="批注文字 Char"/>
    <w:link w:val="10"/>
    <w:semiHidden/>
    <w:qFormat/>
    <w:uiPriority w:val="0"/>
    <w:rPr>
      <w:rFonts w:ascii="宋体" w:hAnsi="宋体" w:cs="宋体"/>
      <w:sz w:val="24"/>
      <w:lang w:val="zh-CN" w:bidi="zh-CN"/>
    </w:rPr>
  </w:style>
  <w:style w:type="character" w:customStyle="1" w:styleId="36">
    <w:name w:val="纯文本 Char"/>
    <w:link w:val="15"/>
    <w:qFormat/>
    <w:uiPriority w:val="0"/>
    <w:rPr>
      <w:rFonts w:ascii="宋体" w:hAnsi="Courier New" w:cs="Courier New"/>
      <w:sz w:val="21"/>
      <w:szCs w:val="21"/>
      <w:lang w:val="zh-CN" w:bidi="zh-CN"/>
    </w:rPr>
  </w:style>
  <w:style w:type="character" w:customStyle="1" w:styleId="37">
    <w:name w:val="正文文本缩进 2 Char"/>
    <w:link w:val="14"/>
    <w:qFormat/>
    <w:uiPriority w:val="0"/>
    <w:rPr>
      <w:rFonts w:ascii="宋体" w:hAnsi="宋体" w:cs="宋体"/>
      <w:sz w:val="22"/>
      <w:szCs w:val="22"/>
      <w:lang w:val="zh-CN" w:bidi="zh-CN"/>
    </w:rPr>
  </w:style>
  <w:style w:type="character" w:customStyle="1" w:styleId="38">
    <w:name w:val="批注框文本 Char"/>
    <w:link w:val="17"/>
    <w:qFormat/>
    <w:uiPriority w:val="0"/>
    <w:rPr>
      <w:rFonts w:ascii="宋体" w:hAnsi="宋体" w:cs="宋体"/>
      <w:sz w:val="18"/>
      <w:szCs w:val="18"/>
      <w:lang w:val="zh-CN" w:bidi="zh-CN"/>
    </w:rPr>
  </w:style>
  <w:style w:type="character" w:customStyle="1" w:styleId="39">
    <w:name w:val="页脚 Char"/>
    <w:link w:val="18"/>
    <w:qFormat/>
    <w:uiPriority w:val="99"/>
    <w:rPr>
      <w:rFonts w:ascii="宋体" w:hAnsi="宋体" w:cs="宋体"/>
      <w:sz w:val="18"/>
      <w:szCs w:val="22"/>
      <w:lang w:val="zh-CN" w:bidi="zh-CN"/>
    </w:rPr>
  </w:style>
  <w:style w:type="character" w:customStyle="1" w:styleId="40">
    <w:name w:val="批注主题 Char"/>
    <w:link w:val="22"/>
    <w:qFormat/>
    <w:uiPriority w:val="0"/>
    <w:rPr>
      <w:rFonts w:ascii="宋体" w:hAnsi="宋体" w:cs="宋体"/>
      <w:b/>
      <w:bCs/>
      <w:sz w:val="22"/>
      <w:szCs w:val="22"/>
      <w:lang w:val="zh-CN" w:bidi="zh-CN"/>
    </w:rPr>
  </w:style>
  <w:style w:type="character" w:customStyle="1" w:styleId="41">
    <w:name w:val="正文首行缩进 Char"/>
    <w:link w:val="23"/>
    <w:qFormat/>
    <w:uiPriority w:val="0"/>
    <w:rPr>
      <w:rFonts w:ascii="黑体" w:hAnsi="黑体" w:eastAsia="黑体" w:cs="黑体"/>
      <w:sz w:val="24"/>
      <w:szCs w:val="30"/>
      <w:lang w:val="zh-CN" w:bidi="zh-CN"/>
    </w:rPr>
  </w:style>
  <w:style w:type="character" w:customStyle="1" w:styleId="42">
    <w:name w:val="fontstyle31"/>
    <w:qFormat/>
    <w:uiPriority w:val="0"/>
    <w:rPr>
      <w:rFonts w:hint="default" w:ascii="Times New Roman" w:hAnsi="Times New Roman" w:cs="Times New Roman"/>
      <w:color w:val="000000"/>
      <w:sz w:val="24"/>
      <w:szCs w:val="24"/>
    </w:rPr>
  </w:style>
  <w:style w:type="character" w:customStyle="1" w:styleId="43">
    <w:name w:val="hover25"/>
    <w:qFormat/>
    <w:uiPriority w:val="0"/>
  </w:style>
  <w:style w:type="character" w:customStyle="1" w:styleId="44">
    <w:name w:val="fontstyle11"/>
    <w:qFormat/>
    <w:uiPriority w:val="0"/>
    <w:rPr>
      <w:rFonts w:ascii="TimesNewRomanPS-BoldMT" w:hAnsi="TimesNewRomanPS-BoldMT" w:eastAsia="TimesNewRomanPS-BoldMT" w:cs="TimesNewRomanPS-BoldMT"/>
      <w:b/>
      <w:color w:val="000000"/>
      <w:sz w:val="72"/>
      <w:szCs w:val="72"/>
    </w:rPr>
  </w:style>
  <w:style w:type="character" w:customStyle="1" w:styleId="45">
    <w:name w:val="fontstyle01"/>
    <w:qFormat/>
    <w:uiPriority w:val="0"/>
    <w:rPr>
      <w:rFonts w:ascii="宋体" w:hAnsi="宋体" w:eastAsia="宋体" w:cs="宋体"/>
      <w:color w:val="000000"/>
      <w:sz w:val="24"/>
      <w:szCs w:val="24"/>
    </w:rPr>
  </w:style>
  <w:style w:type="character" w:customStyle="1" w:styleId="46">
    <w:name w:val="c-icon28"/>
    <w:qFormat/>
    <w:uiPriority w:val="0"/>
  </w:style>
  <w:style w:type="character" w:customStyle="1" w:styleId="47">
    <w:name w:val="hover24"/>
    <w:qFormat/>
    <w:uiPriority w:val="0"/>
    <w:rPr>
      <w:color w:val="315EFB"/>
    </w:rPr>
  </w:style>
  <w:style w:type="character" w:customStyle="1" w:styleId="48">
    <w:name w:val="fontstyle21"/>
    <w:qFormat/>
    <w:uiPriority w:val="0"/>
    <w:rPr>
      <w:rFonts w:ascii="TimesNewRomanPSMT" w:hAnsi="TimesNewRomanPSMT" w:eastAsia="TimesNewRomanPSMT" w:cs="TimesNewRomanPSMT"/>
      <w:color w:val="000000"/>
      <w:sz w:val="24"/>
      <w:szCs w:val="24"/>
    </w:rPr>
  </w:style>
  <w:style w:type="character" w:customStyle="1" w:styleId="49">
    <w:name w:val="报告正文 Char"/>
    <w:link w:val="50"/>
    <w:qFormat/>
    <w:locked/>
    <w:uiPriority w:val="0"/>
    <w:rPr>
      <w:color w:val="000000"/>
      <w:kern w:val="0"/>
      <w:sz w:val="24"/>
      <w:szCs w:val="20"/>
    </w:rPr>
  </w:style>
  <w:style w:type="paragraph" w:customStyle="1" w:styleId="50">
    <w:name w:val="报告正文"/>
    <w:basedOn w:val="1"/>
    <w:link w:val="49"/>
    <w:qFormat/>
    <w:uiPriority w:val="0"/>
    <w:pPr>
      <w:spacing w:line="480" w:lineRule="exact"/>
      <w:ind w:firstLine="200" w:firstLineChars="200"/>
    </w:pPr>
    <w:rPr>
      <w:color w:val="000000"/>
      <w:kern w:val="0"/>
      <w:sz w:val="24"/>
      <w:szCs w:val="20"/>
    </w:rPr>
  </w:style>
  <w:style w:type="paragraph" w:customStyle="1" w:styleId="51">
    <w:name w:val="Table Paragraph"/>
    <w:basedOn w:val="1"/>
    <w:qFormat/>
    <w:uiPriority w:val="1"/>
    <w:rPr>
      <w:rFonts w:ascii="宋体" w:hAnsi="宋体" w:eastAsia="宋体" w:cs="宋体"/>
      <w:lang w:val="zh-CN" w:eastAsia="zh-CN" w:bidi="zh-CN"/>
    </w:rPr>
  </w:style>
  <w:style w:type="paragraph" w:customStyle="1" w:styleId="52">
    <w:name w:val="表头"/>
    <w:basedOn w:val="1"/>
    <w:qFormat/>
    <w:uiPriority w:val="0"/>
    <w:pPr>
      <w:tabs>
        <w:tab w:val="left" w:pos="1021"/>
      </w:tabs>
      <w:snapToGrid w:val="0"/>
      <w:jc w:val="center"/>
    </w:pPr>
    <w:rPr>
      <w:snapToGrid w:val="0"/>
      <w:color w:val="000000"/>
      <w:kern w:val="0"/>
      <w:szCs w:val="21"/>
    </w:rPr>
  </w:style>
  <w:style w:type="paragraph" w:styleId="53">
    <w:name w:val="List Paragraph"/>
    <w:basedOn w:val="1"/>
    <w:qFormat/>
    <w:uiPriority w:val="1"/>
    <w:rPr>
      <w:lang w:val="zh-CN" w:eastAsia="zh-CN" w:bidi="zh-CN"/>
    </w:rPr>
  </w:style>
  <w:style w:type="paragraph" w:customStyle="1" w:styleId="54">
    <w:name w:val="样式2"/>
    <w:basedOn w:val="1"/>
    <w:qFormat/>
    <w:uiPriority w:val="0"/>
    <w:pPr>
      <w:spacing w:line="500" w:lineRule="exact"/>
      <w:ind w:firstLine="480" w:firstLineChars="200"/>
    </w:pPr>
    <w:rPr>
      <w:sz w:val="24"/>
      <w:szCs w:val="24"/>
    </w:rPr>
  </w:style>
  <w:style w:type="paragraph" w:customStyle="1" w:styleId="55">
    <w:name w:val="MM正文"/>
    <w:basedOn w:val="1"/>
    <w:qFormat/>
    <w:uiPriority w:val="99"/>
    <w:pPr>
      <w:spacing w:line="480" w:lineRule="exact"/>
      <w:ind w:firstLine="200" w:firstLineChars="200"/>
    </w:pPr>
    <w:rPr>
      <w:rFonts w:cs="楷体"/>
      <w:sz w:val="24"/>
      <w:szCs w:val="20"/>
    </w:rPr>
  </w:style>
  <w:style w:type="paragraph" w:customStyle="1" w:styleId="56">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57">
    <w:name w:val="样式 MM正文 + 首行缩进:  2 字符 行距: 固定值 26 磅"/>
    <w:basedOn w:val="55"/>
    <w:qFormat/>
    <w:uiPriority w:val="0"/>
    <w:pPr>
      <w:spacing w:line="520" w:lineRule="exact"/>
      <w:ind w:firstLine="480"/>
    </w:pPr>
    <w:rPr>
      <w:rFonts w:cs="宋体"/>
    </w:rPr>
  </w:style>
  <w:style w:type="paragraph" w:customStyle="1" w:styleId="58">
    <w:name w:val="正文缩进1"/>
    <w:basedOn w:val="1"/>
    <w:qFormat/>
    <w:uiPriority w:val="0"/>
    <w:pPr>
      <w:spacing w:line="520" w:lineRule="exact"/>
      <w:ind w:firstLine="624"/>
    </w:pPr>
    <w:rPr>
      <w:sz w:val="28"/>
    </w:rPr>
  </w:style>
  <w:style w:type="paragraph" w:customStyle="1" w:styleId="59">
    <w:name w:val="A正文1"/>
    <w:basedOn w:val="1"/>
    <w:qFormat/>
    <w:uiPriority w:val="0"/>
    <w:pPr>
      <w:spacing w:line="360" w:lineRule="auto"/>
      <w:ind w:firstLine="480" w:firstLineChars="200"/>
    </w:pPr>
    <w:rPr>
      <w:sz w:val="24"/>
      <w:szCs w:val="28"/>
    </w:rPr>
  </w:style>
  <w:style w:type="table" w:customStyle="1" w:styleId="60">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61">
    <w:name w:val="段落"/>
    <w:basedOn w:val="1"/>
    <w:link w:val="62"/>
    <w:qFormat/>
    <w:uiPriority w:val="0"/>
    <w:pPr>
      <w:tabs>
        <w:tab w:val="left" w:pos="780"/>
      </w:tabs>
      <w:autoSpaceDE/>
      <w:autoSpaceDN/>
      <w:adjustRightInd w:val="0"/>
      <w:spacing w:line="360" w:lineRule="auto"/>
      <w:ind w:firstLine="480" w:firstLineChars="200"/>
      <w:jc w:val="both"/>
    </w:pPr>
    <w:rPr>
      <w:rFonts w:ascii="Times New Roman" w:hAnsi="Times New Roman" w:cs="Times New Roman"/>
      <w:color w:val="000000"/>
      <w:sz w:val="24"/>
      <w:szCs w:val="24"/>
      <w:lang w:val="en-US" w:bidi="ar-SA"/>
    </w:rPr>
  </w:style>
  <w:style w:type="character" w:customStyle="1" w:styleId="62">
    <w:name w:val="段落 Char"/>
    <w:link w:val="61"/>
    <w:qFormat/>
    <w:uiPriority w:val="0"/>
    <w:rPr>
      <w:color w:val="000000"/>
      <w:sz w:val="24"/>
      <w:szCs w:val="24"/>
    </w:rPr>
  </w:style>
  <w:style w:type="paragraph" w:customStyle="1" w:styleId="63">
    <w:name w:val="样式 表头 + 段后: 0.2 行"/>
    <w:basedOn w:val="1"/>
    <w:qFormat/>
    <w:uiPriority w:val="0"/>
    <w:pPr>
      <w:tabs>
        <w:tab w:val="left" w:pos="1021"/>
      </w:tabs>
      <w:autoSpaceDE/>
      <w:autoSpaceDN/>
      <w:spacing w:beforeLines="100" w:afterLines="50"/>
      <w:jc w:val="center"/>
    </w:pPr>
    <w:rPr>
      <w:rFonts w:ascii="仿宋_GB2312" w:hAnsi="仿宋_GB2312" w:cs="Times New Roman"/>
      <w:b/>
      <w:color w:val="000000"/>
      <w:kern w:val="24"/>
      <w:sz w:val="21"/>
      <w:szCs w:val="24"/>
      <w:lang w:val="en-US" w:bidi="ar-SA"/>
    </w:rPr>
  </w:style>
  <w:style w:type="character" w:customStyle="1" w:styleId="64">
    <w:name w:val="表格 Char"/>
    <w:link w:val="65"/>
    <w:qFormat/>
    <w:locked/>
    <w:uiPriority w:val="0"/>
    <w:rPr>
      <w:rFonts w:ascii="宋体"/>
      <w:sz w:val="21"/>
    </w:rPr>
  </w:style>
  <w:style w:type="paragraph" w:customStyle="1" w:styleId="65">
    <w:name w:val="表格"/>
    <w:basedOn w:val="1"/>
    <w:next w:val="1"/>
    <w:link w:val="64"/>
    <w:qFormat/>
    <w:uiPriority w:val="0"/>
    <w:pPr>
      <w:autoSpaceDE/>
      <w:autoSpaceDN/>
      <w:adjustRightInd w:val="0"/>
      <w:snapToGrid w:val="0"/>
      <w:spacing w:beforeLines="10" w:afterLines="10" w:line="259" w:lineRule="auto"/>
      <w:jc w:val="center"/>
    </w:pPr>
    <w:rPr>
      <w:rFonts w:hAnsi="Times New Roman" w:cs="Times New Roman"/>
      <w:sz w:val="21"/>
      <w:szCs w:val="20"/>
      <w:lang w:val="en-US" w:bidi="ar-SA"/>
    </w:rPr>
  </w:style>
  <w:style w:type="paragraph" w:customStyle="1" w:styleId="66">
    <w:name w:val="文本"/>
    <w:basedOn w:val="1"/>
    <w:qFormat/>
    <w:uiPriority w:val="0"/>
    <w:pPr>
      <w:widowControl/>
      <w:ind w:firstLine="200" w:firstLineChars="200"/>
      <w:jc w:val="left"/>
    </w:pPr>
    <w:rPr>
      <w:kern w:val="0"/>
      <w:sz w:val="28"/>
      <w:szCs w:val="20"/>
    </w:rPr>
  </w:style>
  <w:style w:type="paragraph" w:customStyle="1" w:styleId="67">
    <w:name w:val="TOC 31"/>
    <w:basedOn w:val="1"/>
    <w:next w:val="1"/>
    <w:qFormat/>
    <w:uiPriority w:val="0"/>
    <w:pPr>
      <w:widowControl w:val="0"/>
      <w:autoSpaceDE/>
      <w:autoSpaceDN/>
      <w:spacing w:before="0" w:after="0" w:line="240" w:lineRule="auto"/>
      <w:ind w:left="420" w:firstLine="0"/>
      <w:jc w:val="both"/>
    </w:pPr>
    <w:rPr>
      <w:rFonts w:ascii="Times New Roman" w:eastAsia="宋体"/>
      <w: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18450</Words>
  <Characters>21073</Characters>
  <Lines>196</Lines>
  <Paragraphs>55</Paragraphs>
  <TotalTime>18</TotalTime>
  <ScaleCrop>false</ScaleCrop>
  <LinksUpToDate>false</LinksUpToDate>
  <CharactersWithSpaces>21083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2021-03-05T01:32:00Z</dcterms:created>
  <dc:creator>lhj</dc:creator>
  <cp:lastModifiedBy>24246</cp:lastModifiedBy>
  <dcterms:modified xsi:type="dcterms:W3CDTF">2023-01-18T03:53:58Z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2021-03-05T00:00:00Z</vt:filetime>
  </property>
  <property fmtid="{D5CDD505-2E9C-101B-9397-08002B2CF9AE}" pid="5" name="KSOProductBuildVer">
    <vt:lpwstr>2052-11.1.0.13703</vt:lpwstr>
  </property>
  <property fmtid="{D5CDD505-2E9C-101B-9397-08002B2CF9AE}" pid="6" name="ICV">
    <vt:lpwstr>EC141D726C2448D4A9B2B6673D02D9E6</vt:lpwstr>
  </property>
</Properties>
</file>