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68" w:rsidRDefault="00432A68">
      <w:pPr>
        <w:rPr>
          <w:color w:val="000000" w:themeColor="text1"/>
          <w:sz w:val="32"/>
          <w:szCs w:val="32"/>
        </w:rPr>
      </w:pPr>
    </w:p>
    <w:p w:rsidR="00432A68" w:rsidRDefault="00432A68">
      <w:pPr>
        <w:rPr>
          <w:color w:val="000000" w:themeColor="text1"/>
          <w:sz w:val="32"/>
          <w:szCs w:val="32"/>
        </w:rPr>
      </w:pPr>
    </w:p>
    <w:p w:rsidR="00432A68" w:rsidRDefault="00432A68">
      <w:pPr>
        <w:rPr>
          <w:color w:val="000000" w:themeColor="text1"/>
          <w:sz w:val="32"/>
          <w:szCs w:val="32"/>
        </w:rPr>
      </w:pPr>
    </w:p>
    <w:p w:rsidR="00432A68" w:rsidRDefault="00432A68">
      <w:pPr>
        <w:jc w:val="center"/>
        <w:rPr>
          <w:rFonts w:ascii="宋体"/>
          <w:color w:val="000000" w:themeColor="text1"/>
          <w:sz w:val="28"/>
          <w:szCs w:val="28"/>
        </w:rPr>
      </w:pPr>
    </w:p>
    <w:p w:rsidR="00432A68" w:rsidRDefault="00432A68">
      <w:pPr>
        <w:jc w:val="center"/>
        <w:rPr>
          <w:rFonts w:ascii="宋体"/>
          <w:color w:val="000000" w:themeColor="text1"/>
          <w:sz w:val="28"/>
          <w:szCs w:val="28"/>
        </w:rPr>
      </w:pPr>
    </w:p>
    <w:p w:rsidR="00432A68" w:rsidRDefault="00432A68">
      <w:pPr>
        <w:pStyle w:val="a0"/>
        <w:rPr>
          <w:color w:val="000000" w:themeColor="text1"/>
        </w:rPr>
      </w:pPr>
    </w:p>
    <w:p w:rsidR="00432A68" w:rsidRDefault="00D562B4">
      <w:pPr>
        <w:spacing w:line="240" w:lineRule="atLeast"/>
        <w:jc w:val="center"/>
        <w:rPr>
          <w:rFonts w:ascii="仿宋" w:eastAsia="仿宋" w:hAnsi="仿宋" w:cs="仿宋"/>
          <w:color w:val="000000" w:themeColor="text1"/>
          <w:sz w:val="32"/>
          <w:szCs w:val="32"/>
        </w:rPr>
      </w:pPr>
      <w:r>
        <w:rPr>
          <w:rFonts w:ascii="楷体" w:eastAsia="楷体" w:hAnsi="楷体" w:cs="楷体" w:hint="eastAsia"/>
          <w:color w:val="000000" w:themeColor="text1"/>
          <w:sz w:val="32"/>
          <w:szCs w:val="32"/>
        </w:rPr>
        <w:t>双环评〔</w:t>
      </w:r>
      <w:r>
        <w:rPr>
          <w:rFonts w:ascii="楷体" w:eastAsia="楷体" w:hAnsi="楷体" w:cs="楷体" w:hint="eastAsia"/>
          <w:color w:val="000000" w:themeColor="text1"/>
          <w:sz w:val="32"/>
          <w:szCs w:val="32"/>
        </w:rPr>
        <w:t>2022</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11</w:t>
      </w:r>
      <w:r>
        <w:rPr>
          <w:rFonts w:ascii="楷体" w:eastAsia="楷体" w:hAnsi="楷体" w:cs="楷体" w:hint="eastAsia"/>
          <w:color w:val="000000" w:themeColor="text1"/>
          <w:sz w:val="32"/>
          <w:szCs w:val="32"/>
        </w:rPr>
        <w:t>号</w:t>
      </w:r>
    </w:p>
    <w:p w:rsidR="00432A68" w:rsidRDefault="00432A68">
      <w:pPr>
        <w:spacing w:line="600" w:lineRule="exact"/>
        <w:jc w:val="center"/>
        <w:rPr>
          <w:rFonts w:eastAsia="仿宋_GB2312"/>
          <w:color w:val="000000" w:themeColor="text1"/>
          <w:sz w:val="15"/>
          <w:szCs w:val="15"/>
        </w:rPr>
      </w:pPr>
    </w:p>
    <w:p w:rsidR="00432A68" w:rsidRDefault="00D562B4">
      <w:pPr>
        <w:spacing w:line="600" w:lineRule="exact"/>
        <w:jc w:val="center"/>
        <w:rPr>
          <w:rFonts w:ascii="黑体" w:eastAsia="黑体" w:hAnsi="黑体" w:cs="黑体"/>
          <w:bCs/>
          <w:color w:val="000000" w:themeColor="text1"/>
          <w:spacing w:val="-6"/>
          <w:sz w:val="40"/>
          <w:szCs w:val="40"/>
          <w:vertAlign w:val="superscript"/>
        </w:rPr>
      </w:pPr>
      <w:r>
        <w:rPr>
          <w:rFonts w:ascii="黑体" w:eastAsia="黑体" w:hAnsi="黑体" w:cs="黑体" w:hint="eastAsia"/>
          <w:bCs/>
          <w:color w:val="000000" w:themeColor="text1"/>
          <w:spacing w:val="-6"/>
          <w:sz w:val="40"/>
          <w:szCs w:val="40"/>
        </w:rPr>
        <w:t>关于双牌县聚兴木材加工有限公司年产</w:t>
      </w:r>
      <w:r>
        <w:rPr>
          <w:rFonts w:ascii="黑体" w:eastAsia="黑体" w:hAnsi="黑体" w:cs="黑体" w:hint="eastAsia"/>
          <w:bCs/>
          <w:color w:val="000000" w:themeColor="text1"/>
          <w:spacing w:val="-6"/>
          <w:sz w:val="40"/>
          <w:szCs w:val="40"/>
        </w:rPr>
        <w:t>6000m</w:t>
      </w:r>
      <w:r>
        <w:rPr>
          <w:rFonts w:ascii="黑体" w:eastAsia="黑体" w:hAnsi="黑体" w:cs="黑体" w:hint="eastAsia"/>
          <w:bCs/>
          <w:color w:val="000000" w:themeColor="text1"/>
          <w:spacing w:val="-6"/>
          <w:sz w:val="40"/>
          <w:szCs w:val="40"/>
          <w:vertAlign w:val="superscript"/>
        </w:rPr>
        <w:t>3</w:t>
      </w:r>
    </w:p>
    <w:p w:rsidR="00432A68" w:rsidRDefault="00D562B4">
      <w:pPr>
        <w:spacing w:line="600" w:lineRule="exact"/>
        <w:jc w:val="center"/>
        <w:rPr>
          <w:rFonts w:ascii="黑体" w:eastAsia="黑体" w:hAnsi="黑体" w:cs="黑体"/>
          <w:bCs/>
          <w:color w:val="000000" w:themeColor="text1"/>
          <w:spacing w:val="-6"/>
          <w:sz w:val="40"/>
          <w:szCs w:val="40"/>
        </w:rPr>
      </w:pPr>
      <w:r>
        <w:rPr>
          <w:rFonts w:ascii="黑体" w:eastAsia="黑体" w:hAnsi="黑体" w:cs="黑体" w:hint="eastAsia"/>
          <w:bCs/>
          <w:color w:val="000000" w:themeColor="text1"/>
          <w:spacing w:val="-6"/>
          <w:sz w:val="40"/>
          <w:szCs w:val="40"/>
        </w:rPr>
        <w:t>指接板建设项目环</w:t>
      </w:r>
      <w:bookmarkStart w:id="0" w:name="_GoBack"/>
      <w:bookmarkEnd w:id="0"/>
      <w:r>
        <w:rPr>
          <w:rFonts w:ascii="黑体" w:eastAsia="黑体" w:hAnsi="黑体" w:cs="黑体" w:hint="eastAsia"/>
          <w:bCs/>
          <w:color w:val="000000" w:themeColor="text1"/>
          <w:spacing w:val="-6"/>
          <w:sz w:val="40"/>
          <w:szCs w:val="40"/>
        </w:rPr>
        <w:t>境影响报告表的批复</w:t>
      </w:r>
    </w:p>
    <w:p w:rsidR="00432A68" w:rsidRDefault="00432A68">
      <w:pPr>
        <w:spacing w:line="600" w:lineRule="exact"/>
        <w:jc w:val="center"/>
        <w:rPr>
          <w:rFonts w:ascii="Times New Roman" w:eastAsia="仿宋" w:hAnsi="Times New Roman"/>
          <w:b/>
          <w:color w:val="000000" w:themeColor="text1"/>
          <w:sz w:val="32"/>
          <w:szCs w:val="32"/>
        </w:rPr>
      </w:pPr>
    </w:p>
    <w:p w:rsidR="00432A68" w:rsidRDefault="00D562B4">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双牌县聚兴木材加工有限公司：</w:t>
      </w:r>
    </w:p>
    <w:p w:rsidR="00432A68" w:rsidRDefault="00D562B4">
      <w:pPr>
        <w:pStyle w:val="ac"/>
        <w:spacing w:beforeLines="0" w:afterLines="0" w:line="56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你</w:t>
      </w:r>
      <w:r>
        <w:rPr>
          <w:rFonts w:ascii="仿宋" w:eastAsia="仿宋" w:hAnsi="仿宋" w:cs="仿宋" w:hint="eastAsia"/>
          <w:color w:val="000000" w:themeColor="text1"/>
          <w:sz w:val="32"/>
          <w:szCs w:val="32"/>
        </w:rPr>
        <w:t>公司</w:t>
      </w:r>
      <w:r>
        <w:rPr>
          <w:rFonts w:ascii="仿宋" w:eastAsia="仿宋" w:hAnsi="仿宋" w:cs="仿宋" w:hint="eastAsia"/>
          <w:color w:val="000000" w:themeColor="text1"/>
          <w:sz w:val="32"/>
          <w:szCs w:val="32"/>
        </w:rPr>
        <w:t>委托</w:t>
      </w:r>
      <w:r>
        <w:rPr>
          <w:rFonts w:ascii="仿宋" w:eastAsia="仿宋" w:hAnsi="仿宋" w:cs="仿宋" w:hint="eastAsia"/>
          <w:color w:val="000000" w:themeColor="text1"/>
          <w:sz w:val="32"/>
          <w:szCs w:val="32"/>
        </w:rPr>
        <w:t>长沙则中环保技术有限公司</w:t>
      </w:r>
      <w:r>
        <w:rPr>
          <w:rFonts w:ascii="仿宋" w:eastAsia="仿宋" w:hAnsi="仿宋" w:cs="仿宋" w:hint="eastAsia"/>
          <w:color w:val="000000" w:themeColor="text1"/>
          <w:sz w:val="32"/>
          <w:szCs w:val="32"/>
        </w:rPr>
        <w:t>编制的《双牌县聚兴木材加工有限公司年产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指接板建设项目环境影响报告表》（以下简称《报告表》）及相关资料已收悉，经研究，现批复如下：</w:t>
      </w:r>
    </w:p>
    <w:p w:rsidR="00432A68" w:rsidRDefault="00D562B4">
      <w:pPr>
        <w:pStyle w:val="ac"/>
        <w:numPr>
          <w:ilvl w:val="0"/>
          <w:numId w:val="1"/>
        </w:numPr>
        <w:spacing w:beforeLines="0" w:afterLines="0" w:line="56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你公司年产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指接板建设项目位</w:t>
      </w:r>
      <w:r>
        <w:rPr>
          <w:rFonts w:ascii="仿宋" w:eastAsia="仿宋" w:hAnsi="仿宋" w:cs="仿宋" w:hint="eastAsia"/>
          <w:color w:val="000000" w:themeColor="text1"/>
          <w:sz w:val="32"/>
          <w:szCs w:val="32"/>
        </w:rPr>
        <w:t>于</w:t>
      </w:r>
      <w:r>
        <w:rPr>
          <w:rFonts w:ascii="仿宋" w:eastAsia="仿宋" w:hAnsi="仿宋" w:cs="仿宋" w:hint="eastAsia"/>
          <w:color w:val="000000" w:themeColor="text1"/>
          <w:sz w:val="32"/>
          <w:szCs w:val="32"/>
        </w:rPr>
        <w:t>双牌县泷泊镇观文口村</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组，项目总占地面积</w:t>
      </w:r>
      <w:r>
        <w:rPr>
          <w:rFonts w:ascii="仿宋" w:eastAsia="仿宋" w:hAnsi="仿宋" w:cs="仿宋" w:hint="eastAsia"/>
          <w:color w:val="000000" w:themeColor="text1"/>
          <w:sz w:val="32"/>
          <w:szCs w:val="32"/>
        </w:rPr>
        <w:t>3660m</w:t>
      </w:r>
      <w:r>
        <w:rPr>
          <w:rFonts w:ascii="仿宋" w:eastAsia="仿宋" w:hAnsi="仿宋" w:cs="仿宋" w:hint="eastAsia"/>
          <w:color w:val="000000" w:themeColor="text1"/>
          <w:sz w:val="32"/>
          <w:szCs w:val="32"/>
          <w:vertAlign w:val="superscript"/>
        </w:rPr>
        <w:t>2</w:t>
      </w:r>
      <w:r>
        <w:rPr>
          <w:rFonts w:ascii="仿宋" w:eastAsia="仿宋" w:hAnsi="仿宋" w:cs="仿宋" w:hint="eastAsia"/>
          <w:color w:val="000000" w:themeColor="text1"/>
          <w:sz w:val="32"/>
          <w:szCs w:val="32"/>
        </w:rPr>
        <w:t>，主要建设内容为生产车间、烤房、锅炉房、仓库、办公生活区及配套设施设备等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生产工</w:t>
      </w:r>
      <w:r>
        <w:rPr>
          <w:rFonts w:ascii="仿宋" w:eastAsia="仿宋" w:hAnsi="仿宋" w:cs="仿宋" w:hint="eastAsia"/>
          <w:color w:val="000000" w:themeColor="text1"/>
          <w:sz w:val="32"/>
          <w:szCs w:val="32"/>
        </w:rPr>
        <w:t>艺流程为</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烘干→开片→梳齿→接条→涂胶→拼板→热压→成品。</w:t>
      </w:r>
      <w:r>
        <w:rPr>
          <w:rFonts w:ascii="仿宋" w:eastAsia="仿宋" w:hAnsi="仿宋" w:cs="仿宋" w:hint="eastAsia"/>
          <w:color w:val="000000" w:themeColor="text1"/>
          <w:sz w:val="32"/>
          <w:szCs w:val="32"/>
        </w:rPr>
        <w:t>全年年产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指接板，项目总投资</w:t>
      </w:r>
      <w:r>
        <w:rPr>
          <w:rFonts w:ascii="仿宋" w:eastAsia="仿宋" w:hAnsi="仿宋" w:cs="仿宋" w:hint="eastAsia"/>
          <w:color w:val="000000" w:themeColor="text1"/>
          <w:sz w:val="32"/>
          <w:szCs w:val="32"/>
        </w:rPr>
        <w:t>200</w:t>
      </w:r>
      <w:r>
        <w:rPr>
          <w:rFonts w:ascii="仿宋" w:eastAsia="仿宋" w:hAnsi="仿宋" w:cs="仿宋" w:hint="eastAsia"/>
          <w:color w:val="000000" w:themeColor="text1"/>
          <w:sz w:val="32"/>
          <w:szCs w:val="32"/>
        </w:rPr>
        <w:t>万元，其中环保投资</w:t>
      </w:r>
      <w:r>
        <w:rPr>
          <w:rFonts w:ascii="仿宋" w:eastAsia="仿宋" w:hAnsi="仿宋" w:cs="仿宋" w:hint="eastAsia"/>
          <w:color w:val="000000" w:themeColor="text1"/>
          <w:sz w:val="32"/>
          <w:szCs w:val="32"/>
        </w:rPr>
        <w:t>24</w:t>
      </w:r>
      <w:r>
        <w:rPr>
          <w:rFonts w:ascii="仿宋" w:eastAsia="仿宋" w:hAnsi="仿宋" w:cs="仿宋" w:hint="eastAsia"/>
          <w:color w:val="000000" w:themeColor="text1"/>
          <w:sz w:val="32"/>
          <w:szCs w:val="32"/>
        </w:rPr>
        <w:t>万元，约占总投资的</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
    <w:p w:rsidR="00432A68" w:rsidRDefault="00D562B4">
      <w:pPr>
        <w:spacing w:line="560" w:lineRule="exact"/>
        <w:ind w:firstLineChars="200" w:firstLine="640"/>
        <w:jc w:val="left"/>
        <w:rPr>
          <w:rFonts w:ascii="仿宋" w:eastAsia="仿宋" w:hAnsi="仿宋" w:cs="仿宋"/>
          <w:color w:val="000000" w:themeColor="text1"/>
          <w:kern w:val="32"/>
          <w:sz w:val="32"/>
          <w:szCs w:val="32"/>
        </w:rPr>
      </w:pPr>
      <w:r>
        <w:rPr>
          <w:rFonts w:ascii="仿宋" w:eastAsia="仿宋" w:hAnsi="仿宋" w:cs="仿宋" w:hint="eastAsia"/>
          <w:color w:val="000000" w:themeColor="text1"/>
          <w:sz w:val="32"/>
          <w:szCs w:val="32"/>
        </w:rPr>
        <w:t>该项目符合国家产业政策，你</w:t>
      </w:r>
      <w:r>
        <w:rPr>
          <w:rFonts w:ascii="仿宋" w:eastAsia="仿宋" w:hAnsi="仿宋" w:cs="仿宋" w:hint="eastAsia"/>
          <w:color w:val="000000" w:themeColor="text1"/>
          <w:sz w:val="32"/>
          <w:szCs w:val="32"/>
        </w:rPr>
        <w:t>公司</w:t>
      </w:r>
      <w:r>
        <w:rPr>
          <w:rFonts w:ascii="仿宋" w:eastAsia="仿宋" w:hAnsi="仿宋" w:cs="仿宋" w:hint="eastAsia"/>
          <w:color w:val="000000" w:themeColor="text1"/>
          <w:sz w:val="32"/>
          <w:szCs w:val="32"/>
        </w:rPr>
        <w:t>在严格落实《报告表》和本批复提出的各项环保要求和环境影响减缓措施，确保污</w:t>
      </w:r>
      <w:r>
        <w:rPr>
          <w:rFonts w:ascii="仿宋" w:eastAsia="仿宋" w:hAnsi="仿宋" w:cs="仿宋" w:hint="eastAsia"/>
          <w:color w:val="000000" w:themeColor="text1"/>
          <w:sz w:val="32"/>
          <w:szCs w:val="32"/>
        </w:rPr>
        <w:lastRenderedPageBreak/>
        <w:t>染物达标排放的前提下，依据《中华人民共和国环境影响评价法》第二十二条等规定，从环境保护角度分析，我局同意该项目建设。本批复和</w:t>
      </w:r>
      <w:r>
        <w:rPr>
          <w:rFonts w:ascii="仿宋" w:eastAsia="仿宋" w:hAnsi="仿宋" w:cs="仿宋" w:hint="eastAsia"/>
          <w:color w:val="000000" w:themeColor="text1"/>
          <w:sz w:val="32"/>
          <w:szCs w:val="32"/>
        </w:rPr>
        <w:t>《报告表》是该项目环保审批的法律文件，自批复之日起超过</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年方开工建设，或项目性质、规模、地点、生产工艺、环境保护措施等发生重大变更的，必须依法重新报批。</w:t>
      </w:r>
    </w:p>
    <w:p w:rsidR="00432A68" w:rsidRDefault="00D562B4">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二、项目在建设过程中必须按照报告表提出的要求落实好各项环保措施，严格执行环保“三同时”制度，并重点做好以下工作</w:t>
      </w:r>
      <w:r>
        <w:rPr>
          <w:rFonts w:ascii="仿宋" w:eastAsia="仿宋" w:hAnsi="仿宋" w:cs="仿宋" w:hint="eastAsia"/>
          <w:color w:val="000000" w:themeColor="text1"/>
          <w:sz w:val="32"/>
          <w:szCs w:val="32"/>
        </w:rPr>
        <w:t>:</w:t>
      </w:r>
    </w:p>
    <w:p w:rsidR="00432A68" w:rsidRDefault="00D562B4">
      <w:pPr>
        <w:pStyle w:val="pa-3"/>
        <w:spacing w:line="560" w:lineRule="exact"/>
        <w:ind w:firstLineChars="200"/>
        <w:jc w:val="left"/>
        <w:rPr>
          <w:rFonts w:ascii="仿宋" w:eastAsia="宋体" w:hAnsi="仿宋" w:cs="仿宋"/>
          <w:color w:val="000000" w:themeColor="text1"/>
          <w:sz w:val="32"/>
          <w:szCs w:val="32"/>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lang w:val="zh-CN"/>
        </w:rPr>
        <w:t>）废气污染防治。</w:t>
      </w:r>
      <w:r>
        <w:rPr>
          <w:rFonts w:ascii="仿宋" w:eastAsia="仿宋" w:hAnsi="仿宋" w:cs="仿宋" w:hint="eastAsia"/>
          <w:color w:val="000000" w:themeColor="text1"/>
          <w:sz w:val="32"/>
          <w:szCs w:val="32"/>
        </w:rPr>
        <w:t>本项目设一台</w:t>
      </w:r>
      <w:r>
        <w:rPr>
          <w:rFonts w:ascii="仿宋" w:eastAsia="仿宋" w:hAnsi="仿宋" w:cs="仿宋" w:hint="eastAsia"/>
          <w:color w:val="000000" w:themeColor="text1"/>
          <w:sz w:val="32"/>
          <w:szCs w:val="32"/>
        </w:rPr>
        <w:t>1.5t/h</w:t>
      </w:r>
      <w:r>
        <w:rPr>
          <w:rFonts w:ascii="仿宋" w:eastAsia="仿宋" w:hAnsi="仿宋" w:cs="仿宋" w:hint="eastAsia"/>
          <w:color w:val="000000" w:themeColor="text1"/>
          <w:sz w:val="32"/>
          <w:szCs w:val="32"/>
        </w:rPr>
        <w:t>生物质蒸汽锅炉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锅炉废气经高效除尘处理后，达到</w:t>
      </w:r>
      <w:r>
        <w:rPr>
          <w:rFonts w:ascii="仿宋" w:eastAsia="仿宋" w:hAnsi="仿宋" w:cs="仿宋" w:hint="eastAsia"/>
          <w:color w:val="000000" w:themeColor="text1"/>
          <w:sz w:val="32"/>
          <w:szCs w:val="32"/>
        </w:rPr>
        <w:t>《锅炉大气污染物排放标准》（</w:t>
      </w:r>
      <w:r>
        <w:rPr>
          <w:rFonts w:ascii="仿宋" w:eastAsia="仿宋" w:hAnsi="仿宋" w:cs="仿宋" w:hint="eastAsia"/>
          <w:color w:val="000000" w:themeColor="text1"/>
          <w:sz w:val="32"/>
          <w:szCs w:val="32"/>
        </w:rPr>
        <w:t>GB13271-2014</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的燃煤锅炉大气污染物排放浓度限值</w:t>
      </w:r>
      <w:r>
        <w:rPr>
          <w:rFonts w:ascii="仿宋" w:eastAsia="仿宋" w:hAnsi="仿宋" w:cs="仿宋" w:hint="eastAsia"/>
          <w:color w:val="000000" w:themeColor="text1"/>
          <w:sz w:val="32"/>
          <w:szCs w:val="32"/>
        </w:rPr>
        <w:t>的要求后，通过不低于</w:t>
      </w:r>
      <w:r>
        <w:rPr>
          <w:rFonts w:ascii="仿宋" w:eastAsia="仿宋" w:hAnsi="仿宋" w:cs="仿宋" w:hint="eastAsia"/>
          <w:color w:val="000000" w:themeColor="text1"/>
          <w:sz w:val="32"/>
          <w:szCs w:val="32"/>
        </w:rPr>
        <w:t>25M</w:t>
      </w:r>
      <w:r>
        <w:rPr>
          <w:rFonts w:ascii="仿宋" w:eastAsia="仿宋" w:hAnsi="仿宋" w:cs="仿宋" w:hint="eastAsia"/>
          <w:color w:val="000000" w:themeColor="text1"/>
          <w:sz w:val="32"/>
          <w:szCs w:val="32"/>
        </w:rPr>
        <w:t>高排气筒</w:t>
      </w:r>
      <w:r>
        <w:rPr>
          <w:rFonts w:ascii="仿宋" w:eastAsia="仿宋" w:hAnsi="仿宋" w:cs="仿宋" w:hint="eastAsia"/>
          <w:color w:val="000000" w:themeColor="text1"/>
          <w:sz w:val="32"/>
          <w:szCs w:val="32"/>
        </w:rPr>
        <w:t>达标排放</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开片、梳齿废气经高效除尘处理后，达到《大气污染物综合排放标准》（</w:t>
      </w:r>
      <w:r>
        <w:rPr>
          <w:rFonts w:ascii="仿宋" w:eastAsia="仿宋" w:hAnsi="仿宋" w:cs="仿宋" w:hint="eastAsia"/>
          <w:color w:val="000000" w:themeColor="text1"/>
          <w:sz w:val="32"/>
          <w:szCs w:val="32"/>
        </w:rPr>
        <w:t>GB16297-1996</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中排放限值的要求后，通过不低于</w:t>
      </w:r>
      <w:r>
        <w:rPr>
          <w:rFonts w:ascii="仿宋" w:eastAsia="仿宋" w:hAnsi="仿宋" w:cs="仿宋" w:hint="eastAsia"/>
          <w:color w:val="000000" w:themeColor="text1"/>
          <w:sz w:val="32"/>
          <w:szCs w:val="32"/>
        </w:rPr>
        <w:t>15M</w:t>
      </w:r>
      <w:r>
        <w:rPr>
          <w:rFonts w:ascii="仿宋" w:eastAsia="仿宋" w:hAnsi="仿宋" w:cs="仿宋" w:hint="eastAsia"/>
          <w:color w:val="000000" w:themeColor="text1"/>
          <w:sz w:val="32"/>
          <w:szCs w:val="32"/>
        </w:rPr>
        <w:t>高排气筒达标排放。</w:t>
      </w:r>
      <w:r>
        <w:rPr>
          <w:rFonts w:ascii="仿宋" w:eastAsia="仿宋" w:hAnsi="仿宋" w:cs="仿宋" w:hint="eastAsia"/>
          <w:color w:val="000000" w:themeColor="text1"/>
          <w:sz w:val="32"/>
          <w:szCs w:val="32"/>
        </w:rPr>
        <w:t>涂胶、拼板、热压工序废气经集气罩</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活性炭吸附装置处理后</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达到《大气污染物综合排放标准》（</w:t>
      </w:r>
      <w:r>
        <w:rPr>
          <w:rFonts w:ascii="仿宋" w:eastAsia="仿宋" w:hAnsi="仿宋" w:cs="仿宋" w:hint="eastAsia"/>
          <w:color w:val="000000" w:themeColor="text1"/>
          <w:sz w:val="32"/>
          <w:szCs w:val="32"/>
        </w:rPr>
        <w:t>GB16297-1996</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中排放限值的要求后，通过不低于</w:t>
      </w:r>
      <w:r>
        <w:rPr>
          <w:rFonts w:ascii="仿宋" w:eastAsia="仿宋" w:hAnsi="仿宋" w:cs="仿宋" w:hint="eastAsia"/>
          <w:color w:val="000000" w:themeColor="text1"/>
          <w:sz w:val="32"/>
          <w:szCs w:val="32"/>
        </w:rPr>
        <w:t>15M</w:t>
      </w:r>
      <w:r>
        <w:rPr>
          <w:rFonts w:ascii="仿宋" w:eastAsia="仿宋" w:hAnsi="仿宋" w:cs="仿宋" w:hint="eastAsia"/>
          <w:color w:val="000000" w:themeColor="text1"/>
          <w:sz w:val="32"/>
          <w:szCs w:val="32"/>
        </w:rPr>
        <w:t>高排气筒达标排放。</w:t>
      </w:r>
    </w:p>
    <w:p w:rsidR="00432A68" w:rsidRDefault="00D562B4">
      <w:pPr>
        <w:pStyle w:val="pa-3"/>
        <w:spacing w:line="560" w:lineRule="exact"/>
        <w:ind w:firstLineChars="2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（二）</w:t>
      </w:r>
      <w:r>
        <w:rPr>
          <w:rFonts w:ascii="仿宋" w:eastAsia="仿宋" w:hAnsi="仿宋" w:cs="仿宋" w:hint="eastAsia"/>
          <w:color w:val="000000" w:themeColor="text1"/>
          <w:sz w:val="32"/>
          <w:szCs w:val="32"/>
        </w:rPr>
        <w:t>废水污染防治。该项目主要涉及生活污水。生活污水经一体化污水处理设施处理达《污水综合排放标准》（</w:t>
      </w:r>
      <w:r>
        <w:rPr>
          <w:rFonts w:ascii="仿宋" w:eastAsia="仿宋" w:hAnsi="仿宋" w:cs="仿宋" w:hint="eastAsia"/>
          <w:color w:val="000000" w:themeColor="text1"/>
          <w:sz w:val="32"/>
          <w:szCs w:val="32"/>
        </w:rPr>
        <w:t>GB8978-1996</w:t>
      </w:r>
      <w:r>
        <w:rPr>
          <w:rFonts w:ascii="仿宋" w:eastAsia="仿宋" w:hAnsi="仿宋" w:cs="仿宋" w:hint="eastAsia"/>
          <w:color w:val="000000" w:themeColor="text1"/>
          <w:sz w:val="32"/>
          <w:szCs w:val="32"/>
        </w:rPr>
        <w:t>）中一级标准后</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用于农作物施肥</w:t>
      </w:r>
      <w:r>
        <w:rPr>
          <w:rFonts w:ascii="仿宋" w:eastAsia="仿宋" w:hAnsi="仿宋" w:cs="仿宋" w:hint="eastAsia"/>
          <w:color w:val="000000" w:themeColor="text1"/>
          <w:sz w:val="32"/>
          <w:szCs w:val="32"/>
          <w:lang w:val="en-GB"/>
        </w:rPr>
        <w:t>，不外排</w:t>
      </w:r>
      <w:r>
        <w:rPr>
          <w:rFonts w:ascii="仿宋" w:eastAsia="仿宋" w:hAnsi="仿宋" w:cs="仿宋" w:hint="eastAsia"/>
          <w:color w:val="000000" w:themeColor="text1"/>
          <w:sz w:val="32"/>
          <w:szCs w:val="32"/>
          <w:lang w:val="en-GB"/>
        </w:rPr>
        <w:t>。</w:t>
      </w:r>
    </w:p>
    <w:p w:rsidR="00432A68" w:rsidRDefault="00D562B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（三）噪声污染防治。</w:t>
      </w:r>
      <w:r>
        <w:rPr>
          <w:rFonts w:ascii="仿宋" w:eastAsia="仿宋" w:hAnsi="仿宋" w:cs="仿宋" w:hint="eastAsia"/>
          <w:color w:val="000000" w:themeColor="text1"/>
          <w:sz w:val="32"/>
          <w:szCs w:val="32"/>
        </w:rPr>
        <w:t>项目应</w:t>
      </w:r>
      <w:r>
        <w:rPr>
          <w:rFonts w:ascii="仿宋" w:eastAsia="仿宋" w:hAnsi="仿宋" w:cs="仿宋" w:hint="eastAsia"/>
          <w:color w:val="000000" w:themeColor="text1"/>
          <w:sz w:val="32"/>
          <w:szCs w:val="32"/>
        </w:rPr>
        <w:t>合理布局，主要对噪声源机械设备采取基础减振、隔声、消声等措施，做好设备维护，</w:t>
      </w:r>
      <w:r>
        <w:rPr>
          <w:rFonts w:ascii="仿宋" w:eastAsia="仿宋" w:hAnsi="仿宋" w:cs="仿宋" w:hint="eastAsia"/>
          <w:color w:val="000000" w:themeColor="text1"/>
          <w:sz w:val="32"/>
          <w:szCs w:val="32"/>
        </w:rPr>
        <w:lastRenderedPageBreak/>
        <w:t>确保厂界噪声排放控制在《工业企业厂界环境噪声排放标准》（</w:t>
      </w:r>
      <w:r>
        <w:rPr>
          <w:rFonts w:ascii="仿宋" w:eastAsia="仿宋" w:hAnsi="仿宋" w:cs="仿宋" w:hint="eastAsia"/>
          <w:color w:val="000000" w:themeColor="text1"/>
          <w:sz w:val="32"/>
          <w:szCs w:val="32"/>
        </w:rPr>
        <w:t>GB12348-2008</w:t>
      </w:r>
      <w:r>
        <w:rPr>
          <w:rFonts w:ascii="仿宋" w:eastAsia="仿宋" w:hAnsi="仿宋" w:cs="仿宋" w:hint="eastAsia"/>
          <w:color w:val="000000" w:themeColor="text1"/>
          <w:sz w:val="32"/>
          <w:szCs w:val="32"/>
        </w:rPr>
        <w:t>）中的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类标准范围内。加强管理，文明操作，进出厂区车辆减速慢行，禁止鸣笛。</w:t>
      </w:r>
    </w:p>
    <w:p w:rsidR="00432A68" w:rsidRDefault="00D562B4">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lang w:val="zh-CN"/>
        </w:rPr>
        <w:t>（四）固体废物处置。</w:t>
      </w:r>
      <w:r>
        <w:rPr>
          <w:rFonts w:ascii="仿宋" w:eastAsia="仿宋" w:hAnsi="仿宋" w:cs="仿宋" w:hint="eastAsia"/>
          <w:color w:val="000000" w:themeColor="text1"/>
          <w:sz w:val="32"/>
          <w:szCs w:val="32"/>
        </w:rPr>
        <w:t>按固体废物“减量化、资源化、无害化”处置原则，落实各类固体废物贮存、处置及综合利用措施，严禁固体废弃物随意排放，厂内的固废暂存场所按国家规定要求分类设置，防止二次污染。该项目</w:t>
      </w:r>
      <w:r>
        <w:rPr>
          <w:rFonts w:ascii="仿宋" w:eastAsia="仿宋" w:hAnsi="仿宋" w:cs="仿宋" w:hint="eastAsia"/>
          <w:color w:val="000000" w:themeColor="text1"/>
          <w:sz w:val="32"/>
          <w:szCs w:val="32"/>
        </w:rPr>
        <w:t>设置</w:t>
      </w:r>
      <w:r>
        <w:rPr>
          <w:rFonts w:ascii="仿宋" w:eastAsia="仿宋" w:hAnsi="仿宋" w:cs="仿宋" w:hint="eastAsia"/>
          <w:color w:val="000000" w:themeColor="text1"/>
          <w:sz w:val="32"/>
          <w:szCs w:val="32"/>
        </w:rPr>
        <w:t>一般固废暂存间</w:t>
      </w:r>
      <w:r>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危废暂存间</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该项目</w:t>
      </w:r>
      <w:r>
        <w:rPr>
          <w:rFonts w:ascii="仿宋" w:eastAsia="仿宋" w:hAnsi="仿宋" w:cs="仿宋" w:hint="eastAsia"/>
          <w:color w:val="000000" w:themeColor="text1"/>
          <w:sz w:val="32"/>
          <w:szCs w:val="32"/>
        </w:rPr>
        <w:t>的</w:t>
      </w:r>
      <w:r>
        <w:rPr>
          <w:rFonts w:ascii="仿宋" w:eastAsia="仿宋" w:hAnsi="仿宋" w:cs="仿宋" w:hint="eastAsia"/>
          <w:color w:val="000000" w:themeColor="text1"/>
          <w:sz w:val="32"/>
          <w:szCs w:val="32"/>
        </w:rPr>
        <w:t>废包装袋</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边角料、木屑</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布袋除尘器收集的粉尘</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锅炉炉渣</w:t>
      </w:r>
      <w:r>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锅炉布袋除尘器的烟尘</w:t>
      </w:r>
      <w:r>
        <w:rPr>
          <w:rFonts w:ascii="仿宋" w:eastAsia="仿宋" w:hAnsi="仿宋" w:cs="仿宋" w:hint="eastAsia"/>
          <w:color w:val="000000" w:themeColor="text1"/>
          <w:sz w:val="32"/>
          <w:szCs w:val="32"/>
        </w:rPr>
        <w:t>，按一般固体废物管理，经收集后综合利用；</w:t>
      </w:r>
      <w:r>
        <w:rPr>
          <w:rFonts w:ascii="仿宋" w:eastAsia="仿宋" w:hAnsi="仿宋" w:cs="仿宋" w:hint="eastAsia"/>
          <w:color w:val="000000" w:themeColor="text1"/>
          <w:sz w:val="32"/>
          <w:szCs w:val="32"/>
        </w:rPr>
        <w:t>生活垃圾统一收集后交由环卫部门集中处置</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废大豆胶桶、废活性炭、废矿物油、含油抹布</w:t>
      </w:r>
      <w:r>
        <w:rPr>
          <w:rFonts w:ascii="仿宋" w:eastAsia="仿宋" w:hAnsi="仿宋" w:cs="仿宋" w:hint="eastAsia"/>
          <w:color w:val="000000" w:themeColor="text1"/>
          <w:sz w:val="32"/>
          <w:szCs w:val="32"/>
        </w:rPr>
        <w:t>和含油</w:t>
      </w:r>
      <w:r>
        <w:rPr>
          <w:rFonts w:ascii="仿宋" w:eastAsia="仿宋" w:hAnsi="仿宋" w:cs="仿宋" w:hint="eastAsia"/>
          <w:color w:val="000000" w:themeColor="text1"/>
          <w:sz w:val="32"/>
          <w:szCs w:val="32"/>
        </w:rPr>
        <w:t>劳保用品</w:t>
      </w:r>
      <w:r>
        <w:rPr>
          <w:rFonts w:ascii="仿宋" w:eastAsia="仿宋" w:hAnsi="仿宋" w:cs="仿宋" w:hint="eastAsia"/>
          <w:color w:val="000000" w:themeColor="text1"/>
          <w:sz w:val="32"/>
          <w:szCs w:val="32"/>
        </w:rPr>
        <w:t>，按危险废物管理，</w:t>
      </w:r>
      <w:r>
        <w:rPr>
          <w:rFonts w:ascii="仿宋" w:eastAsia="仿宋" w:hAnsi="仿宋" w:cs="仿宋" w:hint="eastAsia"/>
          <w:color w:val="000000" w:themeColor="text1"/>
          <w:sz w:val="32"/>
          <w:szCs w:val="32"/>
        </w:rPr>
        <w:t>经收集后暂存危险废物储存间，交由有资质的单位处置</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shd w:val="clear" w:color="auto" w:fill="FFFFFF"/>
        </w:rPr>
        <w:t>必须规范化设置专门的危险废物储存间，做好防渗漏、防扩散等措施，并根据危险废物相关管理规定设置标志、建立管理台账，转运前申请</w:t>
      </w:r>
      <w:r>
        <w:rPr>
          <w:rFonts w:ascii="仿宋" w:eastAsia="仿宋" w:hAnsi="仿宋" w:cs="仿宋" w:hint="eastAsia"/>
          <w:color w:val="000000" w:themeColor="text1"/>
          <w:sz w:val="32"/>
          <w:szCs w:val="32"/>
        </w:rPr>
        <w:t>转移联单，</w:t>
      </w:r>
      <w:r>
        <w:rPr>
          <w:rFonts w:ascii="仿宋" w:eastAsia="仿宋" w:hAnsi="仿宋" w:cs="仿宋" w:hint="eastAsia"/>
          <w:color w:val="000000" w:themeColor="text1"/>
          <w:sz w:val="32"/>
          <w:szCs w:val="32"/>
          <w:shd w:val="clear" w:color="auto" w:fill="FFFFFF"/>
        </w:rPr>
        <w:t>由具有相关资质的单位进行清运和</w:t>
      </w:r>
      <w:r>
        <w:rPr>
          <w:rFonts w:ascii="仿宋" w:eastAsia="仿宋" w:hAnsi="仿宋" w:cs="仿宋" w:hint="eastAsia"/>
          <w:color w:val="000000" w:themeColor="text1"/>
          <w:sz w:val="32"/>
          <w:szCs w:val="32"/>
        </w:rPr>
        <w:t>无害化处置</w:t>
      </w:r>
      <w:r>
        <w:rPr>
          <w:rFonts w:ascii="仿宋" w:eastAsia="仿宋" w:hAnsi="仿宋" w:cs="仿宋" w:hint="eastAsia"/>
          <w:color w:val="000000" w:themeColor="text1"/>
          <w:sz w:val="32"/>
          <w:szCs w:val="32"/>
          <w:shd w:val="clear" w:color="auto" w:fill="FFFFFF"/>
        </w:rPr>
        <w:t>，不得自行处理。</w:t>
      </w:r>
    </w:p>
    <w:p w:rsidR="00432A68" w:rsidRDefault="00D562B4">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（五）环境风险防范。加强环境风险管理及项目安全生产检查，</w:t>
      </w:r>
      <w:r>
        <w:rPr>
          <w:rFonts w:ascii="仿宋" w:eastAsia="仿宋" w:hAnsi="仿宋" w:cs="仿宋" w:hint="eastAsia"/>
          <w:bCs/>
          <w:sz w:val="32"/>
          <w:szCs w:val="32"/>
        </w:rPr>
        <w:t>制定</w:t>
      </w:r>
      <w:r>
        <w:rPr>
          <w:rFonts w:ascii="仿宋" w:eastAsia="仿宋" w:hAnsi="仿宋" w:cs="仿宋" w:hint="eastAsia"/>
          <w:bCs/>
          <w:sz w:val="32"/>
          <w:szCs w:val="32"/>
        </w:rPr>
        <w:t>突发环境事件</w:t>
      </w:r>
      <w:r>
        <w:rPr>
          <w:rFonts w:ascii="仿宋" w:eastAsia="仿宋" w:hAnsi="仿宋" w:cs="仿宋" w:hint="eastAsia"/>
          <w:bCs/>
          <w:sz w:val="32"/>
          <w:szCs w:val="32"/>
        </w:rPr>
        <w:t>应急预案及防范措施</w:t>
      </w:r>
      <w:r>
        <w:rPr>
          <w:rFonts w:ascii="仿宋" w:eastAsia="仿宋" w:hAnsi="仿宋" w:cs="仿宋" w:hint="eastAsia"/>
          <w:bCs/>
          <w:sz w:val="32"/>
          <w:szCs w:val="32"/>
        </w:rPr>
        <w:t>，</w:t>
      </w:r>
      <w:r>
        <w:rPr>
          <w:rFonts w:ascii="仿宋" w:eastAsia="仿宋" w:hAnsi="仿宋" w:cs="仿宋" w:hint="eastAsia"/>
          <w:color w:val="000000" w:themeColor="text1"/>
          <w:sz w:val="32"/>
          <w:szCs w:val="32"/>
        </w:rPr>
        <w:t>提高事故风险防范和污染控制能力，对事故隐患做到及早发现，及时处理，确保区域环境安全。建立严格的操作制度，通过岗前培训等方式，不断提高职工素质和处理突发事件的能力。做好污染防治设施的维护管理，确保环保设备长期稳定运行。</w:t>
      </w:r>
    </w:p>
    <w:p w:rsidR="00432A68" w:rsidRDefault="00D562B4">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（六）维护社会稳定。加强对项目附近环境敏感点的环</w:t>
      </w:r>
      <w:r>
        <w:rPr>
          <w:rFonts w:ascii="仿宋" w:eastAsia="仿宋" w:hAnsi="仿宋" w:cs="仿宋" w:hint="eastAsia"/>
          <w:color w:val="000000" w:themeColor="text1"/>
          <w:sz w:val="32"/>
          <w:szCs w:val="32"/>
        </w:rPr>
        <w:lastRenderedPageBreak/>
        <w:t>境保护，处理好与周边的关系，防止因环保诉求而引发矛盾，自觉维护社会稳定。</w:t>
      </w:r>
    </w:p>
    <w:p w:rsidR="00432A68" w:rsidRDefault="00D562B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（七）总量控制指标。</w:t>
      </w:r>
      <w:r>
        <w:rPr>
          <w:rFonts w:ascii="仿宋" w:eastAsia="仿宋" w:hAnsi="仿宋" w:cs="仿宋" w:hint="eastAsia"/>
          <w:color w:val="000000" w:themeColor="text1"/>
          <w:sz w:val="32"/>
          <w:szCs w:val="32"/>
        </w:rPr>
        <w:t>根据环评报告和专家意见，确定本项目污染物总量控制指标：二氧化硫（</w:t>
      </w:r>
      <w:r>
        <w:rPr>
          <w:rFonts w:ascii="仿宋" w:eastAsia="仿宋" w:hAnsi="仿宋" w:cs="仿宋" w:hint="eastAsia"/>
          <w:color w:val="000000" w:themeColor="text1"/>
          <w:sz w:val="32"/>
          <w:szCs w:val="32"/>
        </w:rPr>
        <w:t>SO</w:t>
      </w:r>
      <w:r>
        <w:rPr>
          <w:rFonts w:ascii="仿宋" w:eastAsia="仿宋" w:hAnsi="仿宋" w:cs="仿宋" w:hint="eastAsia"/>
          <w:color w:val="000000" w:themeColor="text1"/>
          <w:sz w:val="32"/>
          <w:szCs w:val="32"/>
          <w:vertAlign w:val="subscript"/>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1.258</w:t>
      </w:r>
      <w:r>
        <w:rPr>
          <w:rFonts w:ascii="仿宋" w:eastAsia="仿宋" w:hAnsi="仿宋" w:cs="仿宋" w:hint="eastAsia"/>
          <w:color w:val="000000" w:themeColor="text1"/>
          <w:sz w:val="32"/>
          <w:szCs w:val="32"/>
        </w:rPr>
        <w:t>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年：氮氧化物（</w:t>
      </w:r>
      <w:r>
        <w:rPr>
          <w:rFonts w:ascii="仿宋" w:eastAsia="仿宋" w:hAnsi="仿宋" w:cs="仿宋" w:hint="eastAsia"/>
          <w:color w:val="000000" w:themeColor="text1"/>
          <w:sz w:val="32"/>
          <w:szCs w:val="32"/>
        </w:rPr>
        <w:t>NOx</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1.258</w:t>
      </w:r>
      <w:r>
        <w:rPr>
          <w:rFonts w:ascii="仿宋" w:eastAsia="仿宋" w:hAnsi="仿宋" w:cs="仿宋" w:hint="eastAsia"/>
          <w:color w:val="000000" w:themeColor="text1"/>
          <w:sz w:val="32"/>
          <w:szCs w:val="32"/>
        </w:rPr>
        <w:t>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年。</w:t>
      </w:r>
    </w:p>
    <w:p w:rsidR="00432A68" w:rsidRDefault="00D562B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三、项目在环保申报过程中不得隐情不报，如有瞒报、谎报属违法行为，建设单位将承担由此产生的一切后果。本批复各项内容必须严格执行，建设单位如有违反，将依法追究法律责任。</w:t>
      </w:r>
    </w:p>
    <w:p w:rsidR="00432A68" w:rsidRDefault="00D562B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四、项目</w:t>
      </w:r>
      <w:r>
        <w:rPr>
          <w:rFonts w:ascii="仿宋" w:eastAsia="仿宋" w:hAnsi="仿宋" w:cs="仿宋" w:hint="eastAsia"/>
          <w:bCs/>
          <w:color w:val="000000" w:themeColor="text1"/>
          <w:kern w:val="0"/>
          <w:sz w:val="32"/>
          <w:szCs w:val="32"/>
        </w:rPr>
        <w:t>应当在建成投运前依法申请并取得排污许可证或者进行排污许可登记，并按照</w:t>
      </w:r>
      <w:r>
        <w:rPr>
          <w:rFonts w:ascii="仿宋" w:eastAsia="仿宋" w:hAnsi="仿宋" w:cs="仿宋" w:hint="eastAsia"/>
          <w:color w:val="000000" w:themeColor="text1"/>
          <w:sz w:val="32"/>
          <w:szCs w:val="32"/>
        </w:rPr>
        <w:t>建设项目环境保护“三同时”规定，自主开展环境保护竣工验收。</w:t>
      </w:r>
    </w:p>
    <w:p w:rsidR="00432A68" w:rsidRDefault="00D562B4">
      <w:pPr>
        <w:adjustRightInd w:val="0"/>
        <w:snapToGrid w:val="0"/>
        <w:spacing w:line="560" w:lineRule="exact"/>
        <w:ind w:firstLineChars="200" w:firstLine="640"/>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五、永州市双牌生态环境保护综合行政执法局负责该项目环保“三同时”制度执行情况的监督检查和日常环境管理工作，督促落实好各项环保措施。你单位应当按规定接受各级生态环境部门的监督检查。</w:t>
      </w:r>
    </w:p>
    <w:p w:rsidR="00432A68" w:rsidRDefault="00432A68">
      <w:pPr>
        <w:adjustRightInd w:val="0"/>
        <w:snapToGrid w:val="0"/>
        <w:spacing w:line="560" w:lineRule="exact"/>
        <w:ind w:firstLineChars="200" w:firstLine="640"/>
        <w:jc w:val="right"/>
        <w:outlineLvl w:val="0"/>
        <w:rPr>
          <w:rFonts w:ascii="仿宋" w:eastAsia="仿宋" w:hAnsi="仿宋" w:cs="仿宋"/>
          <w:color w:val="000000" w:themeColor="text1"/>
          <w:sz w:val="32"/>
          <w:szCs w:val="32"/>
          <w:lang w:val="zh-CN"/>
        </w:rPr>
      </w:pPr>
    </w:p>
    <w:p w:rsidR="00432A68" w:rsidRDefault="00432A68">
      <w:pPr>
        <w:adjustRightInd w:val="0"/>
        <w:snapToGrid w:val="0"/>
        <w:spacing w:line="560" w:lineRule="exact"/>
        <w:ind w:firstLineChars="200" w:firstLine="640"/>
        <w:jc w:val="right"/>
        <w:outlineLvl w:val="0"/>
        <w:rPr>
          <w:rFonts w:ascii="仿宋" w:eastAsia="仿宋" w:hAnsi="仿宋" w:cs="仿宋"/>
          <w:color w:val="000000" w:themeColor="text1"/>
          <w:sz w:val="32"/>
          <w:szCs w:val="32"/>
          <w:lang w:val="zh-CN"/>
        </w:rPr>
      </w:pPr>
    </w:p>
    <w:p w:rsidR="00432A68" w:rsidRDefault="00D562B4">
      <w:pPr>
        <w:adjustRightInd w:val="0"/>
        <w:snapToGrid w:val="0"/>
        <w:spacing w:line="560" w:lineRule="exact"/>
        <w:ind w:firstLineChars="200" w:firstLine="640"/>
        <w:jc w:val="right"/>
        <w:outlineLvl w:val="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永州市生态环境局</w:t>
      </w:r>
    </w:p>
    <w:p w:rsidR="00432A68" w:rsidRDefault="00D562B4">
      <w:pPr>
        <w:adjustRightInd w:val="0"/>
        <w:snapToGrid w:val="0"/>
        <w:spacing w:line="56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2022</w:t>
      </w:r>
      <w:r>
        <w:rPr>
          <w:rFonts w:ascii="仿宋" w:eastAsia="仿宋" w:hAnsi="仿宋" w:cs="仿宋" w:hint="eastAsia"/>
          <w:color w:val="000000" w:themeColor="text1"/>
          <w:sz w:val="32"/>
          <w:szCs w:val="32"/>
          <w:lang w:val="zh-CN"/>
        </w:rPr>
        <w:t>年</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lang w:val="zh-CN"/>
        </w:rPr>
        <w:t>月</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日</w:t>
      </w:r>
    </w:p>
    <w:p w:rsidR="00432A68" w:rsidRDefault="00432A68">
      <w:pPr>
        <w:pStyle w:val="a0"/>
        <w:spacing w:line="560" w:lineRule="exact"/>
        <w:rPr>
          <w:color w:val="000000" w:themeColor="text1"/>
          <w:lang w:val="zh-CN"/>
        </w:rPr>
      </w:pPr>
    </w:p>
    <w:p w:rsidR="00432A68" w:rsidRDefault="00432A68">
      <w:pPr>
        <w:rPr>
          <w:color w:val="000000" w:themeColor="text1"/>
          <w:lang w:val="zh-CN"/>
        </w:rPr>
      </w:pPr>
    </w:p>
    <w:p w:rsidR="00432A68" w:rsidRDefault="00432A68">
      <w:pPr>
        <w:pStyle w:val="a0"/>
        <w:rPr>
          <w:color w:val="000000" w:themeColor="text1"/>
          <w:lang w:val="zh-CN"/>
        </w:rPr>
      </w:pPr>
    </w:p>
    <w:p w:rsidR="00432A68" w:rsidRDefault="00432A68">
      <w:pPr>
        <w:rPr>
          <w:lang w:val="zh-CN"/>
        </w:rPr>
      </w:pPr>
    </w:p>
    <w:p w:rsidR="00432A68" w:rsidRDefault="00D562B4">
      <w:pPr>
        <w:pStyle w:val="Default1"/>
        <w:spacing w:line="560" w:lineRule="exact"/>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抄送：</w:t>
      </w:r>
      <w:r>
        <w:rPr>
          <w:rFonts w:ascii="仿宋" w:eastAsia="仿宋" w:hAnsi="仿宋" w:cs="仿宋" w:hint="eastAsia"/>
          <w:color w:val="000000" w:themeColor="text1"/>
          <w:kern w:val="2"/>
          <w:sz w:val="32"/>
          <w:szCs w:val="32"/>
        </w:rPr>
        <w:t>泷泊镇</w:t>
      </w:r>
      <w:r>
        <w:rPr>
          <w:rFonts w:ascii="仿宋" w:eastAsia="仿宋" w:hAnsi="仿宋" w:cs="仿宋" w:hint="eastAsia"/>
          <w:color w:val="000000" w:themeColor="text1"/>
          <w:kern w:val="2"/>
          <w:sz w:val="32"/>
          <w:szCs w:val="32"/>
        </w:rPr>
        <w:t>人民政府，</w:t>
      </w:r>
      <w:r>
        <w:rPr>
          <w:rFonts w:ascii="仿宋" w:eastAsia="仿宋" w:hAnsi="仿宋" w:cs="仿宋" w:hint="eastAsia"/>
          <w:color w:val="000000" w:themeColor="text1"/>
          <w:sz w:val="32"/>
          <w:szCs w:val="32"/>
        </w:rPr>
        <w:t>长沙则中环保技术有限公司</w:t>
      </w:r>
      <w:r>
        <w:rPr>
          <w:rFonts w:ascii="仿宋" w:eastAsia="仿宋" w:hAnsi="仿宋" w:cs="仿宋" w:hint="eastAsia"/>
          <w:color w:val="000000" w:themeColor="text1"/>
          <w:sz w:val="32"/>
          <w:szCs w:val="32"/>
        </w:rPr>
        <w:t>。</w:t>
      </w:r>
    </w:p>
    <w:sectPr w:rsidR="00432A68" w:rsidSect="00432A6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A68" w:rsidRDefault="00432A68" w:rsidP="00432A68">
      <w:r>
        <w:separator/>
      </w:r>
    </w:p>
  </w:endnote>
  <w:endnote w:type="continuationSeparator" w:id="0">
    <w:p w:rsidR="00432A68" w:rsidRDefault="00432A68" w:rsidP="00432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0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68" w:rsidRDefault="00432A68">
    <w:pPr>
      <w:pStyle w:val="aa"/>
    </w:pPr>
    <w:r>
      <w:pict>
        <v:shapetype id="_x0000_t202" coordsize="21600,21600" o:spt="202" path="m,l,21600r21600,l21600,xe">
          <v:stroke joinstyle="miter"/>
          <v:path gradientshapeok="t" o:connecttype="rect"/>
        </v:shapetype>
        <v:shape id="_x0000_s1026" type="#_x0000_t202" style="position:absolute;margin-left:209.3pt;margin-top:0;width:2in;height:2in;z-index:251659264;mso-wrap-style:none;mso-position-horizontal-relative:margin;mso-width-relative:page;mso-height-relative:page" o:gfxdata="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zYxk9UAAAAIAQAADwAAAAAAAAABACAAAAAiAAAAZHJzL2Rvd25yZXYueG1sUEsB&#10;AhQAFAAAAAgAh07iQGuF+fsxAgAAYQQAAA4AAAAAAAAAAQAgAAAAJAEAAGRycy9lMm9Eb2MueG1s&#10;UEsFBgAAAAAGAAYAWQEAAMcFAAAAAA==&#10;" filled="f" stroked="f" strokeweight=".5pt">
          <v:textbox style="mso-fit-shape-to-text:t" inset="0,0,0,0">
            <w:txbxContent>
              <w:p w:rsidR="00432A68" w:rsidRDefault="00432A68">
                <w:pPr>
                  <w:pStyle w:val="aa"/>
                  <w:rPr>
                    <w:sz w:val="21"/>
                    <w:szCs w:val="21"/>
                  </w:rPr>
                </w:pPr>
                <w:r>
                  <w:fldChar w:fldCharType="begin"/>
                </w:r>
                <w:r w:rsidR="00D562B4">
                  <w:instrText xml:space="preserve"> PAGE  \* MERGEFORMAT </w:instrText>
                </w:r>
                <w:r>
                  <w:fldChar w:fldCharType="separate"/>
                </w:r>
                <w:r w:rsidR="00D562B4">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A68" w:rsidRDefault="00432A68" w:rsidP="00432A68">
      <w:r>
        <w:separator/>
      </w:r>
    </w:p>
  </w:footnote>
  <w:footnote w:type="continuationSeparator" w:id="0">
    <w:p w:rsidR="00432A68" w:rsidRDefault="00432A68" w:rsidP="00432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DCE2"/>
    <w:multiLevelType w:val="singleLevel"/>
    <w:tmpl w:val="100ADCE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c0ZDQzNDNhNWI2YTdjOWNiOTY2YmU4YzBmYjY3ZDAifQ=="/>
  </w:docVars>
  <w:rsids>
    <w:rsidRoot w:val="00B03383"/>
    <w:rsid w:val="00140BC9"/>
    <w:rsid w:val="00432A68"/>
    <w:rsid w:val="00B03383"/>
    <w:rsid w:val="00C87F00"/>
    <w:rsid w:val="00D562B4"/>
    <w:rsid w:val="00FD2B5E"/>
    <w:rsid w:val="0A0A57EF"/>
    <w:rsid w:val="0B115215"/>
    <w:rsid w:val="0B59088C"/>
    <w:rsid w:val="0DD12D0F"/>
    <w:rsid w:val="0EA16C5D"/>
    <w:rsid w:val="12355D4D"/>
    <w:rsid w:val="14665C03"/>
    <w:rsid w:val="14D643B6"/>
    <w:rsid w:val="14FB2324"/>
    <w:rsid w:val="15B146E4"/>
    <w:rsid w:val="169E4FEC"/>
    <w:rsid w:val="16DD7035"/>
    <w:rsid w:val="17170AE5"/>
    <w:rsid w:val="178578B4"/>
    <w:rsid w:val="17B751EB"/>
    <w:rsid w:val="187C7B09"/>
    <w:rsid w:val="19B06615"/>
    <w:rsid w:val="1EAF2B4B"/>
    <w:rsid w:val="20470C35"/>
    <w:rsid w:val="20FE1272"/>
    <w:rsid w:val="220372A7"/>
    <w:rsid w:val="259A5A26"/>
    <w:rsid w:val="26086788"/>
    <w:rsid w:val="262A6103"/>
    <w:rsid w:val="263251C0"/>
    <w:rsid w:val="27563793"/>
    <w:rsid w:val="2A3447CE"/>
    <w:rsid w:val="2AF05EF0"/>
    <w:rsid w:val="2B353C86"/>
    <w:rsid w:val="2C8259AD"/>
    <w:rsid w:val="2DD91458"/>
    <w:rsid w:val="33383C25"/>
    <w:rsid w:val="347758B2"/>
    <w:rsid w:val="35BB23D8"/>
    <w:rsid w:val="37AA237E"/>
    <w:rsid w:val="38496C05"/>
    <w:rsid w:val="39130330"/>
    <w:rsid w:val="39517C80"/>
    <w:rsid w:val="39BE5419"/>
    <w:rsid w:val="3DA67496"/>
    <w:rsid w:val="408F042A"/>
    <w:rsid w:val="41AC6986"/>
    <w:rsid w:val="432E2DA3"/>
    <w:rsid w:val="436851B2"/>
    <w:rsid w:val="4379286C"/>
    <w:rsid w:val="48803793"/>
    <w:rsid w:val="49AB1D73"/>
    <w:rsid w:val="4C1700E0"/>
    <w:rsid w:val="4E4C5E9D"/>
    <w:rsid w:val="50153F1C"/>
    <w:rsid w:val="51014BC5"/>
    <w:rsid w:val="52B33EB9"/>
    <w:rsid w:val="53B120EF"/>
    <w:rsid w:val="58E62963"/>
    <w:rsid w:val="59055CB5"/>
    <w:rsid w:val="59772F3B"/>
    <w:rsid w:val="5B747D25"/>
    <w:rsid w:val="5CF12F66"/>
    <w:rsid w:val="5E5F33D6"/>
    <w:rsid w:val="5F2501B8"/>
    <w:rsid w:val="5F2D100B"/>
    <w:rsid w:val="5FCF6AD0"/>
    <w:rsid w:val="61CF0091"/>
    <w:rsid w:val="64382500"/>
    <w:rsid w:val="646A2032"/>
    <w:rsid w:val="64A5737D"/>
    <w:rsid w:val="64D37167"/>
    <w:rsid w:val="65F27180"/>
    <w:rsid w:val="68F128F8"/>
    <w:rsid w:val="6A7272FA"/>
    <w:rsid w:val="6DD06E71"/>
    <w:rsid w:val="6F7A2368"/>
    <w:rsid w:val="71EA23A2"/>
    <w:rsid w:val="71F333FC"/>
    <w:rsid w:val="744E2F35"/>
    <w:rsid w:val="74F61490"/>
    <w:rsid w:val="75DF118D"/>
    <w:rsid w:val="761B2736"/>
    <w:rsid w:val="76C21ABB"/>
    <w:rsid w:val="77005FAD"/>
    <w:rsid w:val="777C25CA"/>
    <w:rsid w:val="7F2C4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Closing" w:qFormat="1"/>
    <w:lsdException w:name="Default Paragraph Font" w:semiHidden="1" w:uiPriority="1" w:unhideWhenUsed="1" w:qFormat="1"/>
    <w:lsdException w:name="Body Text" w:uiPriority="99" w:qFormat="1"/>
    <w:lsdException w:name="List Continue 3"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2A68"/>
    <w:pPr>
      <w:widowControl w:val="0"/>
      <w:jc w:val="both"/>
    </w:pPr>
    <w:rPr>
      <w:rFonts w:eastAsia="等线"/>
      <w:kern w:val="2"/>
      <w:sz w:val="21"/>
      <w:szCs w:val="22"/>
    </w:rPr>
  </w:style>
  <w:style w:type="paragraph" w:styleId="1">
    <w:name w:val="heading 1"/>
    <w:basedOn w:val="a"/>
    <w:next w:val="xl48"/>
    <w:uiPriority w:val="9"/>
    <w:qFormat/>
    <w:rsid w:val="00432A68"/>
    <w:pPr>
      <w:keepNext/>
      <w:keepLines/>
      <w:spacing w:line="360" w:lineRule="auto"/>
      <w:outlineLvl w:val="0"/>
    </w:pPr>
    <w:rPr>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432A68"/>
    <w:pPr>
      <w:spacing w:after="120"/>
    </w:pPr>
    <w:rPr>
      <w:kern w:val="0"/>
      <w:sz w:val="20"/>
    </w:rPr>
  </w:style>
  <w:style w:type="paragraph" w:customStyle="1" w:styleId="xl48">
    <w:name w:val="xl48"/>
    <w:basedOn w:val="a"/>
    <w:next w:val="3"/>
    <w:qFormat/>
    <w:rsid w:val="00432A68"/>
    <w:pPr>
      <w:widowControl/>
      <w:pBdr>
        <w:bottom w:val="single" w:sz="4" w:space="0" w:color="auto"/>
        <w:right w:val="single" w:sz="4" w:space="0" w:color="auto"/>
      </w:pBdr>
      <w:spacing w:before="100" w:beforeAutospacing="1" w:after="100" w:afterAutospacing="1"/>
      <w:jc w:val="center"/>
    </w:pPr>
    <w:rPr>
      <w:rFonts w:ascii="宋体" w:hAnsi="宋体" w:cs="宋体"/>
      <w:kern w:val="0"/>
    </w:rPr>
  </w:style>
  <w:style w:type="paragraph" w:styleId="3">
    <w:name w:val="List Continue 3"/>
    <w:basedOn w:val="a"/>
    <w:next w:val="a4"/>
    <w:qFormat/>
    <w:rsid w:val="00432A68"/>
    <w:pPr>
      <w:spacing w:after="120"/>
      <w:ind w:leftChars="600" w:left="1260"/>
    </w:pPr>
  </w:style>
  <w:style w:type="paragraph" w:customStyle="1" w:styleId="a4">
    <w:name w:val="表编号文字"/>
    <w:basedOn w:val="a0"/>
    <w:next w:val="ParaCharCharCharChar"/>
    <w:semiHidden/>
    <w:qFormat/>
    <w:rsid w:val="00432A68"/>
    <w:rPr>
      <w:sz w:val="21"/>
      <w:szCs w:val="24"/>
    </w:rPr>
  </w:style>
  <w:style w:type="paragraph" w:customStyle="1" w:styleId="ParaCharCharCharChar">
    <w:name w:val="默认段落字体 Para Char Char Char Char"/>
    <w:basedOn w:val="a"/>
    <w:next w:val="a"/>
    <w:qFormat/>
    <w:rsid w:val="00432A68"/>
    <w:pPr>
      <w:spacing w:line="360" w:lineRule="auto"/>
      <w:ind w:firstLineChars="200" w:firstLine="200"/>
    </w:pPr>
    <w:rPr>
      <w:rFonts w:ascii="宋体" w:hAnsi="宋体" w:cs="宋体"/>
      <w:sz w:val="24"/>
      <w:szCs w:val="24"/>
    </w:rPr>
  </w:style>
  <w:style w:type="paragraph" w:styleId="a5">
    <w:name w:val="annotation text"/>
    <w:basedOn w:val="a"/>
    <w:uiPriority w:val="99"/>
    <w:unhideWhenUsed/>
    <w:qFormat/>
    <w:rsid w:val="00432A68"/>
    <w:pPr>
      <w:spacing w:line="360" w:lineRule="auto"/>
      <w:ind w:firstLineChars="200" w:firstLine="200"/>
      <w:jc w:val="left"/>
    </w:pPr>
    <w:rPr>
      <w:sz w:val="24"/>
    </w:rPr>
  </w:style>
  <w:style w:type="paragraph" w:styleId="a6">
    <w:name w:val="Closing"/>
    <w:basedOn w:val="a"/>
    <w:next w:val="a7"/>
    <w:qFormat/>
    <w:rsid w:val="00432A68"/>
    <w:pPr>
      <w:ind w:leftChars="2100" w:left="100"/>
    </w:pPr>
  </w:style>
  <w:style w:type="paragraph" w:customStyle="1" w:styleId="a7">
    <w:name w:val="段落"/>
    <w:basedOn w:val="a"/>
    <w:next w:val="ParaChar"/>
    <w:qFormat/>
    <w:rsid w:val="00432A68"/>
    <w:pPr>
      <w:tabs>
        <w:tab w:val="left" w:pos="0"/>
        <w:tab w:val="left" w:pos="1021"/>
        <w:tab w:val="left" w:pos="3420"/>
      </w:tabs>
      <w:spacing w:line="500" w:lineRule="exact"/>
    </w:pPr>
    <w:rPr>
      <w:rFonts w:ascii="宋体" w:hAnsi="宋体"/>
      <w:sz w:val="24"/>
      <w:szCs w:val="24"/>
    </w:rPr>
  </w:style>
  <w:style w:type="paragraph" w:customStyle="1" w:styleId="ParaChar">
    <w:name w:val="默认段落字体 Para Char"/>
    <w:basedOn w:val="a"/>
    <w:next w:val="222"/>
    <w:qFormat/>
    <w:rsid w:val="00432A68"/>
    <w:rPr>
      <w:rFonts w:ascii="Times New Roman" w:hAnsi="Times New Roman"/>
      <w:szCs w:val="28"/>
    </w:rPr>
  </w:style>
  <w:style w:type="paragraph" w:customStyle="1" w:styleId="222">
    <w:name w:val="样式 正文首行缩进 2 + 左侧:  2 字符 首行缩进:  2 字符 +"/>
    <w:basedOn w:val="a"/>
    <w:next w:val="32"/>
    <w:semiHidden/>
    <w:qFormat/>
    <w:rsid w:val="00432A68"/>
    <w:pPr>
      <w:spacing w:beforeLines="50"/>
      <w:ind w:firstLine="561"/>
    </w:pPr>
    <w:rPr>
      <w:rFonts w:cs="宋体"/>
    </w:rPr>
  </w:style>
  <w:style w:type="paragraph" w:customStyle="1" w:styleId="32">
    <w:name w:val="正文 32"/>
    <w:basedOn w:val="a"/>
    <w:next w:val="xl30"/>
    <w:qFormat/>
    <w:rsid w:val="00432A68"/>
    <w:pPr>
      <w:autoSpaceDE w:val="0"/>
      <w:autoSpaceDN w:val="0"/>
      <w:adjustRightInd w:val="0"/>
      <w:spacing w:line="300" w:lineRule="auto"/>
      <w:ind w:firstLine="567"/>
      <w:textAlignment w:val="baseline"/>
    </w:pPr>
    <w:rPr>
      <w:rFonts w:ascii="Times New Roman" w:eastAsia="楷体_GB2312" w:hAnsi="Times New Roman"/>
      <w:kern w:val="0"/>
      <w:sz w:val="24"/>
      <w:szCs w:val="20"/>
    </w:rPr>
  </w:style>
  <w:style w:type="paragraph" w:customStyle="1" w:styleId="xl30">
    <w:name w:val="xl30"/>
    <w:basedOn w:val="a"/>
    <w:next w:val="a8"/>
    <w:qFormat/>
    <w:rsid w:val="00432A68"/>
    <w:pPr>
      <w:widowControl/>
      <w:pBdr>
        <w:bottom w:val="single" w:sz="4" w:space="0" w:color="auto"/>
      </w:pBdr>
      <w:spacing w:beforeLines="50"/>
      <w:jc w:val="center"/>
      <w:textAlignment w:val="center"/>
    </w:pPr>
    <w:rPr>
      <w:rFonts w:eastAsia="Arial Unicode MS"/>
      <w:kern w:val="0"/>
    </w:rPr>
  </w:style>
  <w:style w:type="paragraph" w:styleId="a8">
    <w:name w:val="annotation subject"/>
    <w:basedOn w:val="a5"/>
    <w:next w:val="10"/>
    <w:uiPriority w:val="99"/>
    <w:unhideWhenUsed/>
    <w:qFormat/>
    <w:rsid w:val="00432A68"/>
    <w:pPr>
      <w:spacing w:line="240" w:lineRule="auto"/>
      <w:ind w:firstLineChars="0" w:firstLine="0"/>
    </w:pPr>
    <w:rPr>
      <w:b/>
      <w:bCs/>
      <w:sz w:val="21"/>
    </w:rPr>
  </w:style>
  <w:style w:type="paragraph" w:customStyle="1" w:styleId="10">
    <w:name w:val="样式 标题 1 + 黑色"/>
    <w:basedOn w:val="1"/>
    <w:next w:val="a"/>
    <w:qFormat/>
    <w:rsid w:val="00432A68"/>
    <w:pPr>
      <w:keepNext w:val="0"/>
      <w:pageBreakBefore/>
      <w:widowControl/>
      <w:tabs>
        <w:tab w:val="left" w:pos="567"/>
      </w:tabs>
      <w:spacing w:before="240" w:line="240" w:lineRule="auto"/>
      <w:ind w:left="431" w:hanging="431"/>
      <w:jc w:val="left"/>
    </w:pPr>
    <w:rPr>
      <w:color w:val="000000"/>
      <w:kern w:val="32"/>
      <w:sz w:val="32"/>
      <w:szCs w:val="32"/>
    </w:rPr>
  </w:style>
  <w:style w:type="paragraph" w:styleId="a9">
    <w:name w:val="Date"/>
    <w:basedOn w:val="a"/>
    <w:next w:val="a"/>
    <w:link w:val="Char"/>
    <w:qFormat/>
    <w:rsid w:val="00432A68"/>
    <w:pPr>
      <w:ind w:leftChars="2500" w:left="100"/>
    </w:pPr>
  </w:style>
  <w:style w:type="paragraph" w:styleId="aa">
    <w:name w:val="footer"/>
    <w:basedOn w:val="a"/>
    <w:qFormat/>
    <w:rsid w:val="00432A68"/>
    <w:pPr>
      <w:tabs>
        <w:tab w:val="center" w:pos="4153"/>
        <w:tab w:val="right" w:pos="8306"/>
      </w:tabs>
      <w:snapToGrid w:val="0"/>
      <w:jc w:val="left"/>
    </w:pPr>
    <w:rPr>
      <w:sz w:val="18"/>
    </w:rPr>
  </w:style>
  <w:style w:type="paragraph" w:styleId="ab">
    <w:name w:val="header"/>
    <w:basedOn w:val="a"/>
    <w:qFormat/>
    <w:rsid w:val="00432A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xl27">
    <w:name w:val="xl27"/>
    <w:basedOn w:val="a"/>
    <w:next w:val="CharChar1CharChar"/>
    <w:qFormat/>
    <w:rsid w:val="00432A68"/>
    <w:pPr>
      <w:widowControl/>
      <w:pBdr>
        <w:bottom w:val="single" w:sz="4" w:space="0" w:color="auto"/>
        <w:right w:val="single" w:sz="4" w:space="0" w:color="auto"/>
      </w:pBdr>
      <w:spacing w:beforeAutospacing="1" w:afterAutospacing="1"/>
      <w:jc w:val="center"/>
    </w:pPr>
    <w:rPr>
      <w:rFonts w:ascii="Arial Unicode MS" w:eastAsia="Arial Unicode MS" w:hAnsi="Arial Unicode MS" w:cs="Arial Unicode MS"/>
      <w:kern w:val="0"/>
      <w:szCs w:val="21"/>
    </w:rPr>
  </w:style>
  <w:style w:type="paragraph" w:customStyle="1" w:styleId="CharChar1CharChar">
    <w:name w:val="Char Char1 Char Char"/>
    <w:basedOn w:val="a"/>
    <w:next w:val="xl42"/>
    <w:qFormat/>
    <w:rsid w:val="00432A68"/>
    <w:rPr>
      <w:rFonts w:ascii="Times New Roman" w:eastAsia="宋体"/>
      <w:sz w:val="24"/>
    </w:rPr>
  </w:style>
  <w:style w:type="paragraph" w:customStyle="1" w:styleId="xl42">
    <w:name w:val="xl42"/>
    <w:basedOn w:val="a"/>
    <w:next w:val="a6"/>
    <w:qFormat/>
    <w:rsid w:val="00432A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Default1">
    <w:name w:val="Default1"/>
    <w:qFormat/>
    <w:rsid w:val="00432A68"/>
    <w:pPr>
      <w:widowControl w:val="0"/>
      <w:autoSpaceDE w:val="0"/>
      <w:autoSpaceDN w:val="0"/>
      <w:adjustRightInd w:val="0"/>
      <w:spacing w:line="360" w:lineRule="auto"/>
    </w:pPr>
    <w:rPr>
      <w:rFonts w:ascii="Times New Roman" w:hAnsi="Times New Roman" w:cs="宋体"/>
      <w:color w:val="000000"/>
      <w:sz w:val="24"/>
      <w:szCs w:val="24"/>
    </w:rPr>
  </w:style>
  <w:style w:type="paragraph" w:customStyle="1" w:styleId="ac">
    <w:name w:val="永环书正文"/>
    <w:basedOn w:val="a"/>
    <w:qFormat/>
    <w:rsid w:val="00432A68"/>
    <w:pPr>
      <w:spacing w:beforeLines="20" w:afterLines="20" w:line="360" w:lineRule="auto"/>
      <w:ind w:firstLineChars="200" w:firstLine="200"/>
    </w:pPr>
    <w:rPr>
      <w:rFonts w:ascii="Times New Roman" w:hAnsi="Times New Roman"/>
      <w:sz w:val="24"/>
      <w:szCs w:val="24"/>
    </w:rPr>
  </w:style>
  <w:style w:type="paragraph" w:customStyle="1" w:styleId="pa-3">
    <w:name w:val="pa-3"/>
    <w:basedOn w:val="a"/>
    <w:qFormat/>
    <w:rsid w:val="00432A68"/>
    <w:pPr>
      <w:widowControl/>
      <w:spacing w:line="360" w:lineRule="atLeast"/>
      <w:ind w:firstLine="640"/>
    </w:pPr>
    <w:rPr>
      <w:rFonts w:ascii="宋体" w:hAnsi="宋体" w:cs="宋体"/>
      <w:kern w:val="0"/>
      <w:sz w:val="24"/>
    </w:rPr>
  </w:style>
  <w:style w:type="character" w:customStyle="1" w:styleId="Char">
    <w:name w:val="日期 Char"/>
    <w:basedOn w:val="a1"/>
    <w:link w:val="a9"/>
    <w:qFormat/>
    <w:rsid w:val="00432A68"/>
    <w:rPr>
      <w:rFonts w:eastAsia="等线"/>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2022-11-21T01:20:00Z</cp:lastPrinted>
  <dcterms:created xsi:type="dcterms:W3CDTF">2019-06-18T02:10:00Z</dcterms:created>
  <dcterms:modified xsi:type="dcterms:W3CDTF">2022-11-22T01:54:00Z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590B26D22DBD45B69C4654191D0649E0</vt:lpwstr>
  </property>
</Properties>
</file>