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70B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双牌县关于推进基本养老服务体系建设</w:t>
      </w:r>
    </w:p>
    <w:p w14:paraId="4683B3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44"/>
          <w:szCs w:val="44"/>
          <w:lang w:eastAsia="zh-CN"/>
        </w:rPr>
      </w:pPr>
      <w:r>
        <w:rPr>
          <w:rFonts w:hint="eastAsia" w:ascii="方正小标宋简体" w:hAnsi="方正小标宋简体" w:eastAsia="方正小标宋简体" w:cs="方正小标宋简体"/>
          <w:b w:val="0"/>
          <w:bCs/>
          <w:color w:val="000000"/>
          <w:sz w:val="44"/>
          <w:szCs w:val="44"/>
        </w:rPr>
        <w:t>实施意见</w:t>
      </w:r>
      <w:r>
        <w:rPr>
          <w:rFonts w:hint="eastAsia" w:ascii="方正小标宋简体" w:hAnsi="方正小标宋简体" w:eastAsia="方正小标宋简体" w:cs="方正小标宋简体"/>
          <w:b w:val="0"/>
          <w:bCs/>
          <w:color w:val="000000"/>
          <w:sz w:val="44"/>
          <w:szCs w:val="44"/>
          <w:lang w:eastAsia="zh-CN"/>
        </w:rPr>
        <w:t>（</w:t>
      </w:r>
      <w:r>
        <w:rPr>
          <w:rFonts w:hint="eastAsia" w:ascii="方正小标宋简体" w:hAnsi="方正小标宋简体" w:eastAsia="方正小标宋简体" w:cs="方正小标宋简体"/>
          <w:b w:val="0"/>
          <w:bCs/>
          <w:color w:val="000000"/>
          <w:sz w:val="44"/>
          <w:szCs w:val="44"/>
          <w:lang w:val="en-US" w:eastAsia="zh-CN"/>
        </w:rPr>
        <w:t>征求意见稿</w:t>
      </w:r>
      <w:r>
        <w:rPr>
          <w:rFonts w:hint="eastAsia" w:ascii="方正小标宋简体" w:hAnsi="方正小标宋简体" w:eastAsia="方正小标宋简体" w:cs="方正小标宋简体"/>
          <w:b w:val="0"/>
          <w:bCs/>
          <w:color w:val="000000"/>
          <w:sz w:val="44"/>
          <w:szCs w:val="44"/>
          <w:lang w:eastAsia="zh-CN"/>
        </w:rPr>
        <w:t>）</w:t>
      </w:r>
    </w:p>
    <w:p w14:paraId="5EFD6A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44"/>
          <w:szCs w:val="44"/>
        </w:rPr>
      </w:pPr>
    </w:p>
    <w:p w14:paraId="1A5BE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认真贯彻落实党中央、国务院关于推进基本养老服务体系建设决策部署和省委、省人民政府工作要求，加快推动我县基本养老服务体系高质量发展，根据《湖南省人民政府办公厅关于印发＜湖南省推进基本养老服务体系建设实施方案（2022-2025年）＞的通知》（湘政办发〔2022〕68号）和《永州市人民政府办公室关于印发&lt;永州市推进基本养老服务体系建设若干措施&gt;的通知》（永政办发〔2023〕9号）等文件精神，结合我县实际，提出如下实施意见。</w:t>
      </w:r>
    </w:p>
    <w:p w14:paraId="1EA49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一、贯彻落实基本养老服务清单。</w:t>
      </w:r>
    </w:p>
    <w:p w14:paraId="105992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各乡镇人民政府（含阳明山管</w:t>
      </w:r>
      <w:r>
        <w:rPr>
          <w:rFonts w:hint="eastAsia" w:ascii="仿宋_GB2312" w:hAnsi="仿宋_GB2312" w:eastAsia="仿宋_GB2312" w:cs="仿宋_GB2312"/>
          <w:color w:val="000000"/>
          <w:sz w:val="32"/>
          <w:szCs w:val="32"/>
        </w:rPr>
        <w:t>理局、泷泊林场、打鼓坪林场、五星岭林场，下同）、县直各有关部门要严格贯彻落实《双牌县基本养老服务清单》（见附件）。各乡镇人民政府、县直有关单位要对照《双牌县基本养老服务清单》，认真抓好清单的组织实施，并根据经济发展水平、老年人养老服务需求，适时调整清单项目，及时公开发布。（责任单位：各乡镇人民政府，县直相关单位）</w:t>
      </w:r>
    </w:p>
    <w:p w14:paraId="4F7732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二、合理优化养老服务设施布局。</w:t>
      </w:r>
    </w:p>
    <w:p w14:paraId="791CF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将养老服务设施（含光荣院）规划纳入双牌县国土空间总体规划，合理确定设施种类、数量、规模以及布局。根据《双牌县“十五五”养老服务体系建设规划》，大力实施公办养老服务机构能力提升行动，</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4384" behindDoc="0" locked="0" layoutInCell="1" allowOverlap="1">
                <wp:simplePos x="0" y="0"/>
                <wp:positionH relativeFrom="page">
                  <wp:posOffset>901700</wp:posOffset>
                </wp:positionH>
                <wp:positionV relativeFrom="paragraph">
                  <wp:posOffset>8699500</wp:posOffset>
                </wp:positionV>
                <wp:extent cx="1130300" cy="190500"/>
                <wp:effectExtent l="0" t="0" r="0" b="0"/>
                <wp:wrapNone/>
                <wp:docPr id="8"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27D704AE">
                            <w:pPr>
                              <w:spacing w:line="280" w:lineRule="exact"/>
                              <w:jc w:val="center"/>
                            </w:pPr>
                            <w:r>
                              <w:rPr>
                                <w:rFonts w:hint="eastAsia" w:ascii="宋体" w:hAnsi="宋体"/>
                                <w:color w:val="000000"/>
                                <w:sz w:val="24"/>
                              </w:rPr>
                              <w:t>-4-</w:t>
                            </w:r>
                          </w:p>
                        </w:txbxContent>
                      </wps:txbx>
                      <wps:bodyPr wrap="square" lIns="25400" tIns="0" rIns="25400" bIns="0">
                        <a:noAutofit/>
                      </wps:bodyPr>
                    </wps:wsp>
                  </a:graphicData>
                </a:graphic>
              </wp:anchor>
            </w:drawing>
          </mc:Choice>
          <mc:Fallback>
            <w:pict>
              <v:shape id="文本框 2" o:spid="_x0000_s1026" o:spt="202" type="#_x0000_t202" style="position:absolute;left:0pt;margin-left:71pt;margin-top:685pt;height:15pt;width:89pt;mso-position-horizontal-relative:page;z-index:251664384;mso-width-relative:page;mso-height-relative:page;" filled="f" stroked="f" coordsize="21600,21600" o:gfxdata="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jOszXX&#10;AAAADQEAAA8AAAAAAAAAAQAgAAAAIgAAAGRycy9kb3ducmV2LnhtbFBLAQIUABQAAAAIAIdO4kDa&#10;UMZs6AEAALoDAAAOAAAAAAAAAAEAIAAAACYBAABkcnMvZTJvRG9jLnhtbFBLBQYAAAAABgAGAFkB&#10;AACABQAAAAA=&#10;">
                <v:fill on="f" focussize="0,0"/>
                <v:stroke on="f" weight="0.5pt"/>
                <v:imagedata o:title=""/>
                <o:lock v:ext="edit" aspectratio="f"/>
                <v:textbox inset="2pt,0mm,2pt,0mm">
                  <w:txbxContent>
                    <w:p w14:paraId="27D704AE">
                      <w:pPr>
                        <w:spacing w:line="280" w:lineRule="exact"/>
                        <w:jc w:val="center"/>
                      </w:pPr>
                      <w:r>
                        <w:rPr>
                          <w:rFonts w:hint="eastAsia" w:ascii="宋体" w:hAnsi="宋体"/>
                          <w:color w:val="000000"/>
                          <w:sz w:val="24"/>
                        </w:rPr>
                        <w:t>-4-</w:t>
                      </w:r>
                    </w:p>
                  </w:txbxContent>
                </v:textbox>
              </v:shape>
            </w:pict>
          </mc:Fallback>
        </mc:AlternateContent>
      </w:r>
      <w:r>
        <w:rPr>
          <w:rFonts w:hint="eastAsia" w:ascii="仿宋_GB2312" w:hAnsi="仿宋_GB2312" w:eastAsia="仿宋_GB2312" w:cs="仿宋_GB2312"/>
          <w:color w:val="000000"/>
          <w:sz w:val="32"/>
          <w:szCs w:val="32"/>
        </w:rPr>
        <w:t>新建一所县级特困人员失能照护机构和区域性中心敬老院，加大护理型床位改造力度，增设失智老年人照护专区。推进养老服务骨干网建设，发展集中管理运营的社区嵌入式、分布式、小型化、连锁化的养老服务设施。所有养老机构的用水、用电、用气（燃气）按居民生活类价格执行。优化用地保障和存量资源利用，将养老用地纳入建设用地供应计划并予以保障，公益性养老服务设施建设用地可依法使用国有划拨地或集体所有土地。探索将老旧小区中的国企房产和设施以适当方式转交政府集中改造利用，支持养老产业发展。村民委员会、农村集体经济组织可以利用闲置的村集体用房、生产经营用房等场所提供养老服务，满足农村老年人的基本养老服务需求。鼓励村民委员会、农村集体经济组织依法使用集体土</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5408" behindDoc="0" locked="0" layoutInCell="1" allowOverlap="1">
                <wp:simplePos x="0" y="0"/>
                <wp:positionH relativeFrom="page">
                  <wp:posOffset>5994400</wp:posOffset>
                </wp:positionH>
                <wp:positionV relativeFrom="paragraph">
                  <wp:posOffset>8699500</wp:posOffset>
                </wp:positionV>
                <wp:extent cx="1092200" cy="190500"/>
                <wp:effectExtent l="0" t="0" r="0" b="0"/>
                <wp:wrapNone/>
                <wp:docPr id="14"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1875B6E9">
                            <w:pPr>
                              <w:spacing w:line="280" w:lineRule="exact"/>
                              <w:jc w:val="center"/>
                            </w:pPr>
                            <w:r>
                              <w:rPr>
                                <w:rFonts w:hint="eastAsia" w:ascii="宋体" w:hAnsi="宋体"/>
                                <w:color w:val="000000"/>
                                <w:sz w:val="26"/>
                              </w:rPr>
                              <w:t>-7-</w:t>
                            </w:r>
                          </w:p>
                        </w:txbxContent>
                      </wps:txbx>
                      <wps:bodyPr wrap="square" lIns="25400" tIns="0" rIns="25400" bIns="0">
                        <a:noAutofit/>
                      </wps:bodyPr>
                    </wps:wsp>
                  </a:graphicData>
                </a:graphic>
              </wp:anchor>
            </w:drawing>
          </mc:Choice>
          <mc:Fallback>
            <w:pict>
              <v:shape id="文本框 2" o:spid="_x0000_s1026" o:spt="202" type="#_x0000_t202" style="position:absolute;left:0pt;margin-left:472pt;margin-top:685pt;height:15pt;width:86pt;mso-position-horizontal-relative:page;z-index:251665408;mso-width-relative:page;mso-height-relative:page;" filled="f" stroked="f" coordsize="21600,21600" o:gfxdata="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nBQ&#10;W9kAAAAOAQAADwAAAAAAAAABACAAAAAiAAAAZHJzL2Rvd25yZXYueG1sUEsBAhQAFAAAAAgAh07i&#10;QDCkiOXoAQAAuwMAAA4AAAAAAAAAAQAgAAAAKAEAAGRycy9lMm9Eb2MueG1sUEsFBgAAAAAGAAYA&#10;WQEAAIIFAAAAAA==&#10;">
                <v:fill on="f" focussize="0,0"/>
                <v:stroke on="f" weight="0.5pt"/>
                <v:imagedata o:title=""/>
                <o:lock v:ext="edit" aspectratio="f"/>
                <v:textbox inset="2pt,0mm,2pt,0mm">
                  <w:txbxContent>
                    <w:p w14:paraId="1875B6E9">
                      <w:pPr>
                        <w:spacing w:line="280" w:lineRule="exact"/>
                        <w:jc w:val="center"/>
                      </w:pPr>
                      <w:r>
                        <w:rPr>
                          <w:rFonts w:hint="eastAsia" w:ascii="宋体" w:hAnsi="宋体"/>
                          <w:color w:val="000000"/>
                          <w:sz w:val="26"/>
                        </w:rPr>
                        <w:t>-7-</w:t>
                      </w:r>
                    </w:p>
                  </w:txbxContent>
                </v:textbox>
              </v:shape>
            </w:pict>
          </mc:Fallback>
        </mc:AlternateContent>
      </w:r>
      <w:r>
        <w:rPr>
          <w:rFonts w:hint="eastAsia" w:ascii="仿宋_GB2312" w:hAnsi="仿宋_GB2312" w:eastAsia="仿宋_GB2312" w:cs="仿宋_GB2312"/>
          <w:color w:val="000000"/>
          <w:sz w:val="32"/>
          <w:szCs w:val="32"/>
        </w:rPr>
        <w:t>地为本组织成员建设非营利性养老服务用房。县人民政府可以对提供养老服务的村民委员会、农村集体经济组织给予补贴。（责任单位：县发改委、县自然资源和规划局、县民政局、县财政局、县住建局、县国资委、县卫健局、县退役军人事务局，各乡镇人民政府）</w:t>
      </w:r>
    </w:p>
    <w:p w14:paraId="6D32B0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三、依法配建养老服务设施。</w:t>
      </w:r>
    </w:p>
    <w:p w14:paraId="4A3E0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建住宅小区要将配套养老服务设施纳入公共服务配套用房计划，按照30平方米／百户且每处最小规模不少于350平方米的标准进行配建，并与住宅同步规划、同步建设、同步验收、同步交付使用。相关配建要求应纳入地块规划条件和国土出让合同，自项目竣工验收合格之日起3个月内，将养老服务设施及有关建设资料全部无偿移交所在地的县人民政府，由县民政部门统筹使用并履行监管职责。养老服务用房不达标的老旧小区和已建成居住区，要通过改造补建、政府回购、租赁、置换等方式，按照人均用地不少于0.1平方米的标准分区分级规划设置配套养老服务设施。住建部门要制定新建住宅小区、老旧小区和已建成居住区养老服务设施配建具体工作方案，支持利用综合服务设施开展养老服务，支持</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page">
                  <wp:posOffset>5969000</wp:posOffset>
                </wp:positionH>
                <wp:positionV relativeFrom="paragraph">
                  <wp:posOffset>8724900</wp:posOffset>
                </wp:positionV>
                <wp:extent cx="1092200" cy="190500"/>
                <wp:effectExtent l="0" t="0" r="0" b="0"/>
                <wp:wrapNone/>
                <wp:docPr id="6"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6274E13E">
                            <w:pPr>
                              <w:spacing w:line="280" w:lineRule="exact"/>
                              <w:jc w:val="center"/>
                            </w:pPr>
                          </w:p>
                        </w:txbxContent>
                      </wps:txbx>
                      <wps:bodyPr wrap="square" lIns="25400" tIns="0" rIns="25400" bIns="0">
                        <a:noAutofit/>
                      </wps:bodyPr>
                    </wps:wsp>
                  </a:graphicData>
                </a:graphic>
              </wp:anchor>
            </w:drawing>
          </mc:Choice>
          <mc:Fallback>
            <w:pict>
              <v:shape id="文本框 2" o:spid="_x0000_s1026" o:spt="202" type="#_x0000_t202" style="position:absolute;left:0pt;margin-left:470pt;margin-top:687pt;height:15pt;width:86pt;mso-position-horizontal-relative:page;z-index:251659264;mso-width-relative:page;mso-height-relative:page;" filled="f" stroked="f" coordsize="21600,21600" o:gfxdata="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zno&#10;SdoAAAAOAQAADwAAAAAAAAABACAAAAAiAAAAZHJzL2Rvd25yZXYueG1sUEsBAhQAFAAAAAgAh07i&#10;QDxDR6TnAQAAugMAAA4AAAAAAAAAAQAgAAAAKQEAAGRycy9lMm9Eb2MueG1sUEsFBgAAAAAGAAYA&#10;WQEAAIIFAAAAAA==&#10;">
                <v:fill on="f" focussize="0,0"/>
                <v:stroke on="f" weight="0.5pt"/>
                <v:imagedata o:title=""/>
                <o:lock v:ext="edit" aspectratio="f"/>
                <v:textbox inset="2pt,0mm,2pt,0mm">
                  <w:txbxContent>
                    <w:p w14:paraId="6274E13E">
                      <w:pPr>
                        <w:spacing w:line="280" w:lineRule="exact"/>
                        <w:jc w:val="center"/>
                      </w:pPr>
                    </w:p>
                  </w:txbxContent>
                </v:textbox>
              </v:shape>
            </w:pict>
          </mc:Fallback>
        </mc:AlternateContent>
      </w:r>
      <w:r>
        <w:rPr>
          <w:rFonts w:hint="eastAsia" w:ascii="仿宋_GB2312" w:hAnsi="仿宋_GB2312" w:eastAsia="仿宋_GB2312" w:cs="仿宋_GB2312"/>
          <w:color w:val="000000"/>
          <w:sz w:val="32"/>
          <w:szCs w:val="32"/>
        </w:rPr>
        <w:t>养老机构利用配套设施提供社区养老服务，支持养老机构参与社区养老服务平台管理运营。到2030年，实现以老年人生活服务小区为核心的15分钟基本养老服务圈，并通过养老综合服务平台，链接专业机构、队伍，及时有效满足老年人医疗、康复、照护、全托、日托以及助餐、助洁等服务。（责任单位：县民政局、县自然资源、县住建局，各乡镇人民政府）</w:t>
      </w:r>
    </w:p>
    <w:p w14:paraId="46A08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四、建立精准识别和动态管理机制。</w:t>
      </w:r>
    </w:p>
    <w:p w14:paraId="0B8BAF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开展老年人能力综合评估，</w:t>
      </w:r>
      <w:r>
        <w:rPr>
          <w:rFonts w:hint="eastAsia" w:ascii="仿宋_GB2312" w:hAnsi="仿宋_GB2312" w:eastAsia="仿宋_GB2312" w:cs="仿宋_GB2312"/>
          <w:color w:val="000000"/>
          <w:sz w:val="32"/>
          <w:szCs w:val="32"/>
        </w:rPr>
        <w:t>组织老年人养老服务需求调查摸底。依托信息网络平台，推动老年人医保、社保、健康状况、经济状况等数据共享，建立困难老</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3360" behindDoc="0" locked="0" layoutInCell="1" allowOverlap="1">
                <wp:simplePos x="0" y="0"/>
                <wp:positionH relativeFrom="page">
                  <wp:posOffset>850900</wp:posOffset>
                </wp:positionH>
                <wp:positionV relativeFrom="paragraph">
                  <wp:posOffset>8737600</wp:posOffset>
                </wp:positionV>
                <wp:extent cx="1117600" cy="190500"/>
                <wp:effectExtent l="0" t="0" r="0" b="0"/>
                <wp:wrapNone/>
                <wp:docPr id="4"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11FDFA4C">
                            <w:pPr>
                              <w:spacing w:line="280" w:lineRule="exact"/>
                              <w:jc w:val="center"/>
                            </w:pPr>
                            <w:r>
                              <w:rPr>
                                <w:rFonts w:hint="eastAsia" w:ascii="宋体" w:hAnsi="宋体"/>
                                <w:color w:val="000000"/>
                                <w:sz w:val="24"/>
                              </w:rPr>
                              <w:t>-2-</w:t>
                            </w:r>
                          </w:p>
                        </w:txbxContent>
                      </wps:txbx>
                      <wps:bodyPr wrap="square" lIns="25400" tIns="0" rIns="25400" bIns="0">
                        <a:noAutofit/>
                      </wps:bodyPr>
                    </wps:wsp>
                  </a:graphicData>
                </a:graphic>
              </wp:anchor>
            </w:drawing>
          </mc:Choice>
          <mc:Fallback>
            <w:pict>
              <v:shape id="文本框 2" o:spid="_x0000_s1026" o:spt="202" type="#_x0000_t202" style="position:absolute;left:0pt;margin-left:67pt;margin-top:688pt;height:15pt;width:88pt;mso-position-horizontal-relative:page;z-index:251663360;mso-width-relative:page;mso-height-relative:page;" filled="f" stroked="f" coordsize="21600,21600" o:gfxdata="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rhh&#10;2AAAAA0BAAAPAAAAAAAAAAEAIAAAACIAAABkcnMvZG93bnJldi54bWxQSwECFAAUAAAACACHTuJA&#10;3fK6z+gBAAC6AwAADgAAAAAAAAABACAAAAAnAQAAZHJzL2Uyb0RvYy54bWxQSwUGAAAAAAYABgBZ&#10;AQAAgQUAAAAA&#10;">
                <v:fill on="f" focussize="0,0"/>
                <v:stroke on="f" weight="0.5pt"/>
                <v:imagedata o:title=""/>
                <o:lock v:ext="edit" aspectratio="f"/>
                <v:textbox inset="2pt,0mm,2pt,0mm">
                  <w:txbxContent>
                    <w:p w14:paraId="11FDFA4C">
                      <w:pPr>
                        <w:spacing w:line="280" w:lineRule="exact"/>
                        <w:jc w:val="center"/>
                      </w:pPr>
                      <w:r>
                        <w:rPr>
                          <w:rFonts w:hint="eastAsia" w:ascii="宋体" w:hAnsi="宋体"/>
                          <w:color w:val="000000"/>
                          <w:sz w:val="24"/>
                        </w:rPr>
                        <w:t>-2-</w:t>
                      </w:r>
                    </w:p>
                  </w:txbxContent>
                </v:textbox>
              </v:shape>
            </w:pict>
          </mc:Fallback>
        </mc:AlternateContent>
      </w:r>
      <w:r>
        <w:rPr>
          <w:rFonts w:hint="eastAsia" w:ascii="仿宋_GB2312" w:hAnsi="仿宋_GB2312" w:eastAsia="仿宋_GB2312" w:cs="仿宋_GB2312"/>
          <w:color w:val="000000"/>
          <w:sz w:val="32"/>
          <w:szCs w:val="32"/>
        </w:rPr>
        <w:t>年人精准识别和动态管理机制。依托社区、农村养老服务站点，通过社工志愿者向高龄、独居、空巢、留守、失能、残疾、计划生育特殊家庭等老年人开展探访关爱服务，实现100％全覆盖。落实现有老年人能力、健康、残疾、照护等相关评估制度，实现老年人的分类保障。科学确定老年人能力等级，作为其享受基本养老服务补贴、接受居家社区养老服务、享受长期护理保险待遇等的依据。（责任单位：县民政局、县财政局、县卫健局、县医保局、县人社局，各乡镇人民政府）</w:t>
      </w:r>
    </w:p>
    <w:p w14:paraId="23F79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五、提升公办养老机构服务建设。</w:t>
      </w:r>
    </w:p>
    <w:p w14:paraId="000C3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发挥公办养老机构提供</w:t>
      </w:r>
      <w:r>
        <w:rPr>
          <w:rFonts w:hint="eastAsia" w:ascii="仿宋_GB2312" w:hAnsi="仿宋_GB2312" w:eastAsia="仿宋_GB2312" w:cs="仿宋_GB2312"/>
          <w:color w:val="000000"/>
          <w:sz w:val="32"/>
          <w:szCs w:val="32"/>
        </w:rPr>
        <w:t>基本养老服务的基础作用。加大现有公办养老机构改造力度，对已建成但未达到消防安全标准的公办养老服务机构由县级民政部门联合住房和城乡建设、消防部门开展全方位检查，提出整改意见，进行建筑消防设施改造，配备消防器材，按照消防安全标准验收合格后方可投入使用。建立入住评估管理制度，明确入住条件和排序原则，提升失能老年人照护能力。公办养老机构要在满足有入住意愿特困人员“应住尽住”的前提下，向社会老年人开展养老服务，并根据入住特困人员数量，按照不低于3000元／年·人的标准配套运转经费。对符合规定条件申请入住公办养老机构的现役</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page">
                  <wp:posOffset>5994400</wp:posOffset>
                </wp:positionH>
                <wp:positionV relativeFrom="paragraph">
                  <wp:posOffset>8712200</wp:posOffset>
                </wp:positionV>
                <wp:extent cx="1092200" cy="190500"/>
                <wp:effectExtent l="0" t="0" r="0" b="0"/>
                <wp:wrapNone/>
                <wp:docPr id="10"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67715832">
                            <w:pPr>
                              <w:spacing w:line="280" w:lineRule="exact"/>
                              <w:jc w:val="center"/>
                            </w:pPr>
                          </w:p>
                        </w:txbxContent>
                      </wps:txbx>
                      <wps:bodyPr wrap="square" lIns="25400" tIns="0" rIns="25400" bIns="0">
                        <a:noAutofit/>
                      </wps:bodyPr>
                    </wps:wsp>
                  </a:graphicData>
                </a:graphic>
              </wp:anchor>
            </w:drawing>
          </mc:Choice>
          <mc:Fallback>
            <w:pict>
              <v:shape id="文本框 2" o:spid="_x0000_s1026" o:spt="202" type="#_x0000_t202" style="position:absolute;left:0pt;margin-left:472pt;margin-top:686pt;height:15pt;width:86pt;mso-position-horizontal-relative:page;z-index:251660288;mso-width-relative:page;mso-height-relative:page;" filled="f" stroked="f" coordsize="21600,21600" o:gfxdata="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SRm&#10;FNoAAAAOAQAADwAAAAAAAAABACAAAAAiAAAAZHJzL2Rvd25yZXYueG1sUEsBAhQAFAAAAAgAh07i&#10;QPLHczLnAQAAuwMAAA4AAAAAAAAAAQAgAAAAKQEAAGRycy9lMm9Eb2MueG1sUEsFBgAAAAAGAAYA&#10;WQEAAIIFAAAAAA==&#10;">
                <v:fill on="f" focussize="0,0"/>
                <v:stroke on="f" weight="0.5pt"/>
                <v:imagedata o:title=""/>
                <o:lock v:ext="edit" aspectratio="f"/>
                <v:textbox inset="2pt,0mm,2pt,0mm">
                  <w:txbxContent>
                    <w:p w14:paraId="67715832">
                      <w:pPr>
                        <w:spacing w:line="280" w:lineRule="exact"/>
                        <w:jc w:val="center"/>
                      </w:pPr>
                    </w:p>
                  </w:txbxContent>
                </v:textbox>
              </v:shape>
            </w:pict>
          </mc:Fallback>
        </mc:AlternateContent>
      </w:r>
      <w:r>
        <w:rPr>
          <w:rFonts w:hint="eastAsia" w:ascii="仿宋_GB2312" w:hAnsi="仿宋_GB2312" w:eastAsia="仿宋_GB2312" w:cs="仿宋_GB2312"/>
          <w:color w:val="000000"/>
          <w:sz w:val="32"/>
          <w:szCs w:val="32"/>
        </w:rPr>
        <w:t>军人家属和烈士、因公牺牲军人、病故军人的遗属，同等条件下优先安排。推动养老机构应急救援体系建设，提升应急保障能力。（责任单位：县民政局、县住建局、县财政局、县退役军人事务局、县消防救援局，各乡镇人民政府）</w:t>
      </w:r>
    </w:p>
    <w:p w14:paraId="1B6672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六、加大农村养老服务能力建设。</w:t>
      </w:r>
    </w:p>
    <w:p w14:paraId="79F1E2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加大资源整合和场地利用，加快形成以“一乡一阵地、一村一场所”为支撑的农村养老服务格局，打造“四助五有”（助餐、助安、助医、助娱，有场所、有设备、有经费、有队伍、有制度）养老体系。充分利用农家大院、闲置校舍和民房等资源，配套村级互助养老服务设施。支持特困人员供养服务机构将专业养老服务延伸到村级养老服务设施和居家老年人，引导城市养老机构对农村养老服务开展挂钩帮扶，鼓励优质的品牌化、连锁化养老服务企业拓展农村养老服务市场。整合农村闲置设施，组织农村留守妇女、低龄健康老年人等，发展农村自助互助养老服务。（责任单位：县民政局、县农业农村局，各乡镇人民政府）</w:t>
      </w:r>
    </w:p>
    <w:p w14:paraId="073ED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七、深入推进医养结合。</w:t>
      </w:r>
    </w:p>
    <w:p w14:paraId="1A4DA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合优质医疗资源和养老资源，推动医养康养服务有效衔接、融合发展。建立健全医疗卫生机构与养老机构合作机制，支持医疗卫生机构提高康复、照护、护理床位比例和增设安宁疗护床位。推进医保支付方式改革，推动长期护理保险制度，鼓励社区卫生服务机构、乡镇卫生院等医疗机构以及具备服务能力的养老服务机构，为失能老年人提供长期照护服务</w:t>
      </w:r>
      <w:r>
        <w:rPr>
          <w:rFonts w:hint="eastAsia" w:ascii="仿宋_GB2312" w:hAnsi="仿宋_GB2312" w:eastAsia="仿宋_GB2312" w:cs="仿宋_GB2312"/>
          <w:color w:val="FF0000"/>
          <w:sz w:val="32"/>
          <w:szCs w:val="32"/>
        </w:rPr>
        <w:t>。开展家庭医生签约服务，为患有常见病、慢性病的老年人开展基本医疗、双向转诊和个性化防治服务，签约服务率达到</w:t>
      </w:r>
      <w:r>
        <w:rPr>
          <w:rFonts w:hint="eastAsia" w:ascii="仿宋_GB2312" w:hAnsi="仿宋_GB2312" w:eastAsia="仿宋_GB2312" w:cs="仿宋_GB2312"/>
          <w:color w:val="FF0000"/>
          <w:sz w:val="32"/>
          <w:szCs w:val="32"/>
          <w:lang w:val="en-US" w:eastAsia="zh-CN"/>
        </w:rPr>
        <w:t>80</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color w:val="000000"/>
          <w:sz w:val="32"/>
          <w:szCs w:val="32"/>
        </w:rPr>
        <w:t>落实养老服务机构传染病防控和安全生产责任，医疗卫生机构提供养老服务的场所要与医疗服务区域实行分区管理，做到物理隔离、独立设置。（责任单位：县卫健</w:t>
      </w:r>
      <w:r>
        <w:rPr>
          <w:rFonts w:hint="eastAsia" w:ascii="仿宋_GB2312" w:hAnsi="仿宋_GB2312" w:eastAsia="仿宋_GB2312" w:cs="仿宋_GB2312"/>
          <w:color w:val="000000"/>
          <w:sz w:val="32"/>
          <w:szCs w:val="32"/>
          <w:lang w:val="en-US" w:eastAsia="zh-CN"/>
        </w:rPr>
        <w:t>局</w:t>
      </w:r>
      <w:bookmarkStart w:id="1" w:name="_GoBack"/>
      <w:bookmarkEnd w:id="1"/>
      <w:r>
        <w:rPr>
          <w:rFonts w:hint="eastAsia" w:ascii="仿宋_GB2312" w:hAnsi="仿宋_GB2312" w:eastAsia="仿宋_GB2312" w:cs="仿宋_GB2312"/>
          <w:color w:val="000000"/>
          <w:sz w:val="32"/>
          <w:szCs w:val="32"/>
        </w:rPr>
        <w:t>、县民政局、县医保局，各乡镇人民政府）</w:t>
      </w:r>
    </w:p>
    <w:p w14:paraId="75984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八、推行老年人助餐服务。</w:t>
      </w:r>
    </w:p>
    <w:p w14:paraId="0E69F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湖南省社区居家养老助餐服务若干规定》，加快老年助餐网络建设，建立政府引导、市场化运营、社会力量参与、家庭尽责的助餐机制，支持老年人助餐服务场所的建设和运营，根据我县经济社会发展水平、财力状况等因素，对老年人的助餐服务给予适当补贴。鼓励、扶持企业、社会组织或者个人兴办老年人助餐服务场所或者开展老年人助</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page">
                  <wp:posOffset>977900</wp:posOffset>
                </wp:positionH>
                <wp:positionV relativeFrom="paragraph">
                  <wp:posOffset>8712200</wp:posOffset>
                </wp:positionV>
                <wp:extent cx="1117600" cy="190500"/>
                <wp:effectExtent l="0" t="0" r="0" b="0"/>
                <wp:wrapNone/>
                <wp:docPr id="1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12FC274D">
                            <w:pPr>
                              <w:spacing w:line="280" w:lineRule="exact"/>
                              <w:jc w:val="center"/>
                            </w:pPr>
                            <w:r>
                              <w:rPr>
                                <w:rFonts w:hint="eastAsia" w:ascii="宋体" w:hAnsi="宋体"/>
                                <w:color w:val="000000"/>
                                <w:sz w:val="24"/>
                              </w:rPr>
                              <w:t>-6-</w:t>
                            </w:r>
                          </w:p>
                        </w:txbxContent>
                      </wps:txbx>
                      <wps:bodyPr wrap="square" lIns="25400" tIns="0" rIns="25400" bIns="0">
                        <a:noAutofit/>
                      </wps:bodyPr>
                    </wps:wsp>
                  </a:graphicData>
                </a:graphic>
              </wp:anchor>
            </w:drawing>
          </mc:Choice>
          <mc:Fallback>
            <w:pict>
              <v:shape id="文本框 2" o:spid="_x0000_s1026" o:spt="202" type="#_x0000_t202" style="position:absolute;left:0pt;margin-left:77pt;margin-top:686pt;height:15pt;width:88pt;mso-position-horizontal-relative:page;z-index:251661312;mso-width-relative:page;mso-height-relative:page;" filled="f" stroked="f" coordsize="21600,21600" o:gfxdata="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rCL&#10;fdkAAAANAQAADwAAAAAAAAABACAAAAAiAAAAZHJzL2Rvd25yZXYueG1sUEsBAhQAFAAAAAgAh07i&#10;QBN2jlnoAQAAuwMAAA4AAAAAAAAAAQAgAAAAKAEAAGRycy9lMm9Eb2MueG1sUEsFBgAAAAAGAAYA&#10;WQEAAIIFAAAAAA==&#10;">
                <v:fill on="f" focussize="0,0"/>
                <v:stroke on="f" weight="0.5pt"/>
                <v:imagedata o:title=""/>
                <o:lock v:ext="edit" aspectratio="f"/>
                <v:textbox inset="2pt,0mm,2pt,0mm">
                  <w:txbxContent>
                    <w:p w14:paraId="12FC274D">
                      <w:pPr>
                        <w:spacing w:line="280" w:lineRule="exact"/>
                        <w:jc w:val="center"/>
                      </w:pPr>
                      <w:r>
                        <w:rPr>
                          <w:rFonts w:hint="eastAsia" w:ascii="宋体" w:hAnsi="宋体"/>
                          <w:color w:val="000000"/>
                          <w:sz w:val="24"/>
                        </w:rPr>
                        <w:t>-6-</w:t>
                      </w:r>
                    </w:p>
                  </w:txbxContent>
                </v:textbox>
              </v:shape>
            </w:pict>
          </mc:Fallback>
        </mc:AlternateContent>
      </w:r>
      <w:r>
        <w:rPr>
          <w:rFonts w:hint="eastAsia" w:ascii="仿宋_GB2312" w:hAnsi="仿宋_GB2312" w:eastAsia="仿宋_GB2312" w:cs="仿宋_GB2312"/>
          <w:color w:val="000000"/>
          <w:sz w:val="32"/>
          <w:szCs w:val="32"/>
        </w:rPr>
        <w:t>餐服务。鼓励机关、事业单位食堂提供老年人助餐服务。提倡志愿服务组织、志愿者为老年人助餐提供志愿服务。（责任单位：县民政局、县财政局、县市场监督管理局，各乡镇人民政府）</w:t>
      </w:r>
    </w:p>
    <w:p w14:paraId="7CA2D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九、推进智慧养老服务发展。</w:t>
      </w:r>
    </w:p>
    <w:p w14:paraId="253CA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加快养老服务信息网络建设，推进养老服务业与“互联网＋”的融合发展。搭建智慧养老服务平台，建立65周岁及以上老年人基本信息数据库，着重采集低收入家庭老年人和失能老年人信息。到2030年，并入市、县两级联通的养老服务信息指导平台，为老年人建立“线上＋线下”精准服务主动响应机制，提供紧急呼叫、家政预约、健康咨询、物品代购、服务缴费等老年需求服务项目，实现养老信息和资源的互通共享。积极推动智能养老技术的试点建设，全面推进居家社区养老服务信息化建设，实现对老年人居家养老的数字化、网络化、动态化和智能化服务。（责任单位：县发改委、县科工信局、县民政局、县卫健局、</w:t>
      </w:r>
      <w:r>
        <w:rPr>
          <w:rFonts w:hint="eastAsia" w:ascii="仿宋_GB2312" w:hAnsi="仿宋_GB2312" w:eastAsia="仿宋_GB2312" w:cs="仿宋_GB2312"/>
          <w:color w:val="FF0000"/>
          <w:sz w:val="32"/>
          <w:szCs w:val="32"/>
        </w:rPr>
        <w:t>县</w:t>
      </w:r>
      <w:r>
        <w:rPr>
          <w:rFonts w:hint="eastAsia" w:ascii="仿宋_GB2312" w:hAnsi="仿宋_GB2312" w:eastAsia="仿宋_GB2312" w:cs="仿宋_GB2312"/>
          <w:color w:val="FF0000"/>
          <w:sz w:val="32"/>
          <w:szCs w:val="32"/>
          <w:lang w:val="en-US" w:eastAsia="zh-CN"/>
        </w:rPr>
        <w:t>政务中心</w:t>
      </w:r>
      <w:r>
        <w:rPr>
          <w:rFonts w:hint="eastAsia" w:ascii="仿宋_GB2312" w:hAnsi="仿宋_GB2312" w:eastAsia="仿宋_GB2312" w:cs="仿宋_GB2312"/>
          <w:color w:val="000000"/>
          <w:sz w:val="32"/>
          <w:szCs w:val="32"/>
        </w:rPr>
        <w:t>，各乡镇人民政府）</w:t>
      </w:r>
    </w:p>
    <w:p w14:paraId="5C2D2E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000000"/>
          <w:sz w:val="32"/>
          <w:szCs w:val="32"/>
        </w:rPr>
      </w:pPr>
      <w:r>
        <w:rPr>
          <w:rFonts w:hint="eastAsia" w:ascii="黑体" w:hAnsi="黑体" w:eastAsia="黑体" w:cs="黑体"/>
          <w:b w:val="0"/>
          <w:bCs w:val="0"/>
          <w:color w:val="000000"/>
          <w:sz w:val="32"/>
          <w:szCs w:val="32"/>
        </w:rPr>
        <w:t>十、加强资金保障力度。</w:t>
      </w:r>
    </w:p>
    <w:p w14:paraId="203C6F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部门要建立基本养老服务经费保障机制，统筹相关资金保障基本养老服务体系建设，县级福利彩票公益金安排不低于55％用于支持发展养老服务。优化调整养老服务机构床位建设补贴、运营补贴、等级评定补助、居家社区养老服务设施运营补助、养老护理员岗位补贴等政策，支持养老服务机构提供基本养老服务。经民政部门办理备案的社会办养老机构，按新建实际投入使用每张护理型床位一次性给予3000元补贴，改扩建或租赁用房按每张护理型床位一次性给予1000元补贴，单个机构补贴金额最高不超过30万元；对收住满一个月的社会寄养老人，按失能、部分失能分别给予社会办养老机构150元人／月、75元人／月的运营补贴，补贴期限按社会寄养老人实际收住时间计算，补贴期限最高不超过5年；经民政部门评定为三星级、四星级、五星级的社会办养老机构，在评定周期内分别给予一次性补助3万元、5万元、10万元，在下一评定周期继续保持原有星级的，不再给予补助；由社会专业机构或服务组织运营一年以上的居家社区养老服务设施，根据永州市居家社区养老服务中心等级评定标</w:t>
      </w:r>
      <w:r>
        <w:rPr>
          <w:rFonts w:hint="eastAsia" w:ascii="仿宋_GB2312" w:hAnsi="仿宋_GB2312" w:eastAsia="仿宋_GB2312" w:cs="仿宋_GB2312"/>
          <w:color w:val="000000"/>
          <w:sz w:val="32"/>
          <w:szCs w:val="32"/>
        </w:rPr>
        <mc:AlternateContent>
          <mc:Choice Requires="wps">
            <w:drawing>
              <wp:anchor distT="0" distB="0" distL="114300" distR="114300" simplePos="0" relativeHeight="251662336" behindDoc="0" locked="0" layoutInCell="1" allowOverlap="1">
                <wp:simplePos x="0" y="0"/>
                <wp:positionH relativeFrom="page">
                  <wp:posOffset>838200</wp:posOffset>
                </wp:positionH>
                <wp:positionV relativeFrom="paragraph">
                  <wp:posOffset>8686800</wp:posOffset>
                </wp:positionV>
                <wp:extent cx="1117600" cy="177800"/>
                <wp:effectExtent l="0" t="0" r="0" b="0"/>
                <wp:wrapNone/>
                <wp:docPr id="16"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14:paraId="66DA7F29">
                            <w:pPr>
                              <w:spacing w:line="280" w:lineRule="exact"/>
                              <w:jc w:val="center"/>
                            </w:pPr>
                            <w:r>
                              <w:rPr>
                                <w:rFonts w:hint="eastAsia" w:ascii="宋体" w:hAnsi="宋体"/>
                                <w:color w:val="000000"/>
                                <w:sz w:val="22"/>
                              </w:rPr>
                              <w:t>-8-</w:t>
                            </w:r>
                          </w:p>
                        </w:txbxContent>
                      </wps:txbx>
                      <wps:bodyPr wrap="square" lIns="25400" tIns="0" rIns="25400" bIns="0">
                        <a:noAutofit/>
                      </wps:bodyPr>
                    </wps:wsp>
                  </a:graphicData>
                </a:graphic>
              </wp:anchor>
            </w:drawing>
          </mc:Choice>
          <mc:Fallback>
            <w:pict>
              <v:shape id="文本框 2" o:spid="_x0000_s1026" o:spt="202" type="#_x0000_t202" style="position:absolute;left:0pt;margin-left:66pt;margin-top:684pt;height:14pt;width:88pt;mso-position-horizontal-relative:page;z-index:251662336;mso-width-relative:page;mso-height-relative:page;" filled="f" stroked="f" coordsize="21600,21600" o:gfxdata="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sMtfX&#10;AAAADQEAAA8AAAAAAAAAAQAgAAAAIgAAAGRycy9kb3ducmV2LnhtbFBLAQIUABQAAAAIAIdO4kDR&#10;FXWO6AEAALsDAAAOAAAAAAAAAAEAIAAAACYBAABkcnMvZTJvRG9jLnhtbFBLBQYAAAAABgAGAFkB&#10;AACABQAAAAA=&#10;">
                <v:fill on="f" focussize="0,0"/>
                <v:stroke on="f" weight="0.5pt"/>
                <v:imagedata o:title=""/>
                <o:lock v:ext="edit" aspectratio="f"/>
                <v:textbox inset="2pt,0mm,2pt,0mm">
                  <w:txbxContent>
                    <w:p w14:paraId="66DA7F29">
                      <w:pPr>
                        <w:spacing w:line="280" w:lineRule="exact"/>
                        <w:jc w:val="center"/>
                      </w:pPr>
                      <w:r>
                        <w:rPr>
                          <w:rFonts w:hint="eastAsia" w:ascii="宋体" w:hAnsi="宋体"/>
                          <w:color w:val="000000"/>
                          <w:sz w:val="22"/>
                        </w:rPr>
                        <w:t>-8-</w:t>
                      </w:r>
                    </w:p>
                  </w:txbxContent>
                </v:textbox>
              </v:shape>
            </w:pict>
          </mc:Fallback>
        </mc:AlternateContent>
      </w:r>
      <w:r>
        <w:rPr>
          <w:rFonts w:hint="eastAsia" w:ascii="仿宋_GB2312" w:hAnsi="仿宋_GB2312" w:eastAsia="仿宋_GB2312" w:cs="仿宋_GB2312"/>
          <w:color w:val="000000"/>
          <w:sz w:val="32"/>
          <w:szCs w:val="32"/>
        </w:rPr>
        <w:t>准，对评为3A、4A、5A级的居家社区养老服务中心分别给予3万元／年、5万元／年、10万元／年的运营补贴，补贴期限最高不超过5年；对连锁运营3个及以上社区（村）养老服务设施，并实施同一品牌服务标准、同一品牌连锁养老服务的社会专业机构或服务组织，按照连锁运营数量给予1万元／个·年的品牌运营补贴，补贴期限最高不超过5年；对取得国家养老护理资格初级、中级、高级、技师职业技能证书，并在养老机构护理岗位连续从业满1年以上的非编制在岗护理人员，用人单位给予每人每月100元、200元、300元、400元的护理岗位补贴。（责任单位：县财政局、县民政局、县人社局，各乡镇人民政府）</w:t>
      </w:r>
    </w:p>
    <w:p w14:paraId="7CBEE4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十一、强化养老人才队伍建设。</w:t>
      </w:r>
    </w:p>
    <w:p w14:paraId="3A96D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统筹各类资金，结合当地实际在乡镇、村（社区）合理开发为老服务公益性岗位，原则上每个乡镇至少要设置1个为老服务公益性岗位，优先吸纳返乡农民工、留守妇女、本地富余劳动力等从事养老服务一线岗位。持续推进养老服务从业人员职业技能培训，按规定将养老服务类职业（工种）纳入政府补贴性培训职业范围，建立培训需求台账和信息共享机制，对在国家、省、市级养老服务技能比武大赛中获得优异成绩的，按规定给予奖励。鼓励四中等职业院校（技工院校）开设养老服务相关专业或课程。完善我县和养老机构二级养老服务培训和实训体系。人社部门要将养老护理员培训纳入职业技术培训补贴目录范围，开展养老护理员职业技能等级认定。（责任单位：县人社局、县民政局、县财政局、县农业农村局，各乡镇人民政府）</w:t>
      </w:r>
    </w:p>
    <w:p w14:paraId="2F5828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000000"/>
          <w:sz w:val="32"/>
          <w:szCs w:val="32"/>
        </w:rPr>
      </w:pPr>
      <w:r>
        <w:rPr>
          <w:rFonts w:hint="eastAsia" w:ascii="黑体" w:hAnsi="黑体" w:eastAsia="黑体" w:cs="黑体"/>
          <w:b w:val="0"/>
          <w:bCs w:val="0"/>
          <w:color w:val="000000"/>
          <w:sz w:val="32"/>
          <w:szCs w:val="32"/>
        </w:rPr>
        <w:t>十二、防范化解养老领域风险。</w:t>
      </w:r>
    </w:p>
    <w:p w14:paraId="3A0835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健全养老服务行业协同监管机制，民政部门要会同相关部门强化养老服务机构登记备案管理、风险预警排查，加大违法违规行为打击处置力度，消除养老服务机构在建筑、消防、食品、医疗卫生、疫情防控等方面的安全风险隐患。推行“双随机一公开”监管，提高养老服务、安全管理、风险防控的能力和水平。推进“互联网＋监管”，实现监管规范化、精准化、智能化。推动成立各级养老服务行业协会，加强行业自律。多层次、多样化开展防范养老服务机构非法集资宣传，妥善处置纠纷，加强风险监测与防控，做好养老服务领域各类风险防范化解工作，提高突发事件处置能力。（责任单位：县民政局、县委网信办、县公安局、县自然资源局、县住建局、县市场监督管理局、县卫健局、县应急管理局、县政府金融办、县文旅广体局、县消防救援局，各乡镇人民政府）</w:t>
      </w:r>
    </w:p>
    <w:p w14:paraId="38B511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十三、加强工作督导。</w:t>
      </w:r>
    </w:p>
    <w:p w14:paraId="3D524A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级各部门要高度重视养老服务体系建设工作。县直相关部门要精心组织、紧密协作，对各乡镇工作开展情况适时进行督导，及时解决工作推进中遇到的困难和问题，确保各项任务落到实处。对工作推进有力、绩效显著的乡镇，申报上级相关激励措施时重点推荐，安排养老服务补助及有关基础设施建设资金、遴选养老服务建设项目等方面给予支持，对工作推进不力的乡镇将在全县范围内进行通报，问题突出、造成不良影响的依法依规追究相关单位和责任人责任。</w:t>
      </w:r>
      <w:bookmarkStart w:id="0" w:name="OLE_LINK19"/>
      <w:r>
        <w:rPr>
          <w:rFonts w:hint="eastAsia" w:ascii="仿宋_GB2312" w:hAnsi="仿宋_GB2312" w:eastAsia="仿宋_GB2312" w:cs="仿宋_GB2312"/>
          <w:color w:val="000000"/>
          <w:sz w:val="32"/>
          <w:szCs w:val="32"/>
        </w:rPr>
        <w:t>对未按程序和时限办理审批的；出具虚假证明材料的；玩忽职守、徇私舞弊或者贪污、挪用、扣压、拖欠高龄补贴的；采取虚报、隐瞒、伪造等非法手段，骗取和冒领高龄补贴的；因老年去世、迁出等情况未及时上报办理停发、退出以及其他违反相关规定情形的工作人员，由县纪委监委给予党纪、政纪处分。（责任单位：县纪委监委、县委组织部、县民政局，各乡镇人民政府）</w:t>
      </w:r>
    </w:p>
    <w:bookmarkEnd w:id="0"/>
    <w:p w14:paraId="7BA313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sectPr>
          <w:footerReference r:id="rId3" w:type="default"/>
          <w:type w:val="continuous"/>
          <w:pgSz w:w="11780" w:h="16840"/>
          <w:pgMar w:top="2154" w:right="1240" w:bottom="1361" w:left="1587" w:header="0" w:footer="1417" w:gutter="0"/>
          <w:pgNumType w:fmt="decimal"/>
          <w:cols w:space="720" w:num="1"/>
          <w:docGrid w:type="lines" w:linePitch="312" w:charSpace="0"/>
        </w:sect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双牌县基本养老服务清单</w:t>
      </w:r>
    </w:p>
    <w:p w14:paraId="16C01C1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附件</w:t>
      </w:r>
    </w:p>
    <w:p w14:paraId="0558A044">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双牌县基本养老服务清单</w:t>
      </w:r>
    </w:p>
    <w:tbl>
      <w:tblPr>
        <w:tblStyle w:val="7"/>
        <w:tblW w:w="15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09"/>
        <w:gridCol w:w="323"/>
        <w:gridCol w:w="1147"/>
        <w:gridCol w:w="3615"/>
        <w:gridCol w:w="1290"/>
        <w:gridCol w:w="5745"/>
        <w:gridCol w:w="1635"/>
        <w:gridCol w:w="1123"/>
      </w:tblGrid>
      <w:tr w14:paraId="6AF6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0" w:hRule="atLeast"/>
          <w:tblHeader/>
          <w:jc w:val="center"/>
        </w:trPr>
        <w:tc>
          <w:tcPr>
            <w:tcW w:w="1109" w:type="dxa"/>
            <w:noWrap w:val="0"/>
            <w:vAlign w:val="center"/>
          </w:tcPr>
          <w:p w14:paraId="0374159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服务对象</w:t>
            </w:r>
          </w:p>
        </w:tc>
        <w:tc>
          <w:tcPr>
            <w:tcW w:w="1470" w:type="dxa"/>
            <w:gridSpan w:val="2"/>
            <w:noWrap w:val="0"/>
            <w:vAlign w:val="center"/>
          </w:tcPr>
          <w:p w14:paraId="0B397D2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服务项目</w:t>
            </w:r>
          </w:p>
        </w:tc>
        <w:tc>
          <w:tcPr>
            <w:tcW w:w="3615" w:type="dxa"/>
            <w:noWrap w:val="0"/>
            <w:vAlign w:val="center"/>
          </w:tcPr>
          <w:p w14:paraId="16B92CF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服务内容</w:t>
            </w:r>
          </w:p>
        </w:tc>
        <w:tc>
          <w:tcPr>
            <w:tcW w:w="1290" w:type="dxa"/>
            <w:noWrap w:val="0"/>
            <w:vAlign w:val="center"/>
          </w:tcPr>
          <w:p w14:paraId="0D89AD5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服务类型</w:t>
            </w:r>
          </w:p>
        </w:tc>
        <w:tc>
          <w:tcPr>
            <w:tcW w:w="5745" w:type="dxa"/>
            <w:noWrap w:val="0"/>
            <w:vAlign w:val="center"/>
          </w:tcPr>
          <w:p w14:paraId="2C0C04B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服务标准</w:t>
            </w:r>
          </w:p>
        </w:tc>
        <w:tc>
          <w:tcPr>
            <w:tcW w:w="1635" w:type="dxa"/>
            <w:noWrap w:val="0"/>
            <w:vAlign w:val="center"/>
          </w:tcPr>
          <w:p w14:paraId="42A0073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具体（支付）</w:t>
            </w:r>
          </w:p>
          <w:p w14:paraId="087C338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责任单位</w:t>
            </w:r>
          </w:p>
        </w:tc>
        <w:tc>
          <w:tcPr>
            <w:tcW w:w="1123" w:type="dxa"/>
            <w:noWrap w:val="0"/>
            <w:vAlign w:val="center"/>
          </w:tcPr>
          <w:p w14:paraId="5741343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牵头县直单位</w:t>
            </w:r>
          </w:p>
        </w:tc>
      </w:tr>
      <w:tr w14:paraId="3185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09" w:type="dxa"/>
            <w:vMerge w:val="restart"/>
            <w:noWrap w:val="0"/>
            <w:vAlign w:val="center"/>
          </w:tcPr>
          <w:p w14:paraId="4803C7E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达到待遇享受年龄的老年人</w:t>
            </w:r>
          </w:p>
        </w:tc>
        <w:tc>
          <w:tcPr>
            <w:tcW w:w="323" w:type="dxa"/>
            <w:noWrap w:val="0"/>
            <w:vAlign w:val="center"/>
          </w:tcPr>
          <w:p w14:paraId="0D8ADE8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147" w:type="dxa"/>
            <w:noWrap w:val="0"/>
            <w:vAlign w:val="center"/>
          </w:tcPr>
          <w:p w14:paraId="5E44B48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职工基本养老保险</w:t>
            </w:r>
          </w:p>
        </w:tc>
        <w:tc>
          <w:tcPr>
            <w:tcW w:w="3615" w:type="dxa"/>
            <w:noWrap w:val="0"/>
            <w:vAlign w:val="center"/>
          </w:tcPr>
          <w:p w14:paraId="1866F96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为符合条件的参保老年人按时足额发放基本养老金</w:t>
            </w:r>
          </w:p>
        </w:tc>
        <w:tc>
          <w:tcPr>
            <w:tcW w:w="1290" w:type="dxa"/>
            <w:noWrap w:val="0"/>
            <w:vAlign w:val="center"/>
          </w:tcPr>
          <w:p w14:paraId="262AF77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30FA756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执行《国务院关于完善企业职工基本养老保险制度的决定》《国务院关于机关事业单位工作人员养老保险制度改革的决定》等规定。</w:t>
            </w:r>
          </w:p>
        </w:tc>
        <w:tc>
          <w:tcPr>
            <w:tcW w:w="1635" w:type="dxa"/>
            <w:noWrap w:val="0"/>
            <w:vAlign w:val="center"/>
          </w:tcPr>
          <w:p w14:paraId="2944EAD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14E388E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政府（含阳明山管理区下同）</w:t>
            </w:r>
          </w:p>
        </w:tc>
        <w:tc>
          <w:tcPr>
            <w:tcW w:w="1123" w:type="dxa"/>
            <w:noWrap w:val="0"/>
            <w:vAlign w:val="center"/>
          </w:tcPr>
          <w:p w14:paraId="690EE34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县人社局</w:t>
            </w:r>
          </w:p>
          <w:p w14:paraId="2EA5DED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tc>
      </w:tr>
      <w:tr w14:paraId="7095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0" w:hRule="atLeast"/>
          <w:jc w:val="center"/>
        </w:trPr>
        <w:tc>
          <w:tcPr>
            <w:tcW w:w="1109" w:type="dxa"/>
            <w:vMerge w:val="continue"/>
            <w:noWrap w:val="0"/>
            <w:vAlign w:val="center"/>
          </w:tcPr>
          <w:p w14:paraId="436AC6D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45467D1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1147" w:type="dxa"/>
            <w:noWrap w:val="0"/>
            <w:vAlign w:val="center"/>
          </w:tcPr>
          <w:p w14:paraId="7AE1BF5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城乡居民基本养老保险</w:t>
            </w:r>
          </w:p>
        </w:tc>
        <w:tc>
          <w:tcPr>
            <w:tcW w:w="3615" w:type="dxa"/>
            <w:noWrap w:val="0"/>
            <w:vAlign w:val="center"/>
          </w:tcPr>
          <w:p w14:paraId="04F2C0EA">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为符合条件的参保老年人发放基础养老金和个人账户养老金，并按规定调整</w:t>
            </w:r>
          </w:p>
        </w:tc>
        <w:tc>
          <w:tcPr>
            <w:tcW w:w="1290" w:type="dxa"/>
            <w:noWrap w:val="0"/>
            <w:vAlign w:val="center"/>
          </w:tcPr>
          <w:p w14:paraId="736966F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6B84315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执行《国务院关于建立统一的城乡居民基本养老保险制度的意见》等规定。</w:t>
            </w:r>
          </w:p>
        </w:tc>
        <w:tc>
          <w:tcPr>
            <w:tcW w:w="1635" w:type="dxa"/>
            <w:noWrap w:val="0"/>
            <w:vAlign w:val="center"/>
          </w:tcPr>
          <w:p w14:paraId="014B7B9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个人缴费、集体补助、政府补贴</w:t>
            </w:r>
          </w:p>
        </w:tc>
        <w:tc>
          <w:tcPr>
            <w:tcW w:w="1123" w:type="dxa"/>
            <w:noWrap w:val="0"/>
            <w:vAlign w:val="center"/>
          </w:tcPr>
          <w:p w14:paraId="21680AE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县人社局</w:t>
            </w:r>
          </w:p>
          <w:p w14:paraId="67C9203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tc>
      </w:tr>
      <w:tr w14:paraId="5345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10" w:hRule="atLeast"/>
          <w:jc w:val="center"/>
        </w:trPr>
        <w:tc>
          <w:tcPr>
            <w:tcW w:w="1109" w:type="dxa"/>
            <w:vMerge w:val="continue"/>
            <w:noWrap w:val="0"/>
            <w:vAlign w:val="center"/>
          </w:tcPr>
          <w:p w14:paraId="691A00A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68D76F3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1147" w:type="dxa"/>
            <w:noWrap w:val="0"/>
            <w:vAlign w:val="center"/>
          </w:tcPr>
          <w:p w14:paraId="0BB31BA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老年人健康管理服务</w:t>
            </w:r>
          </w:p>
        </w:tc>
        <w:tc>
          <w:tcPr>
            <w:tcW w:w="3615" w:type="dxa"/>
            <w:noWrap w:val="0"/>
            <w:vAlign w:val="center"/>
          </w:tcPr>
          <w:p w14:paraId="5E6B343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基层医疗卫生机构，为符</w:t>
            </w:r>
          </w:p>
          <w:p w14:paraId="2E5E547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合条件的老年人提供健康管理服务</w:t>
            </w:r>
          </w:p>
        </w:tc>
        <w:tc>
          <w:tcPr>
            <w:tcW w:w="1290" w:type="dxa"/>
            <w:noWrap w:val="0"/>
            <w:vAlign w:val="center"/>
          </w:tcPr>
          <w:p w14:paraId="064936B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关爱服务</w:t>
            </w:r>
          </w:p>
          <w:p w14:paraId="6C6DFAA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健康服务</w:t>
            </w:r>
          </w:p>
          <w:p w14:paraId="58BC36E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4DFD402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照《基本卫生公共服务规范（第三版）》及相应技术方案等规定。基层医疗卫生机构为符合标准的老年人，每年提供1次健康管理服务，包括生活方式和健康状况评估、体格检查、辅助检查和健康指导，每年提供1次中医药健康管理服务，包括中医体质辨识和中医药保健指导。</w:t>
            </w:r>
          </w:p>
        </w:tc>
        <w:tc>
          <w:tcPr>
            <w:tcW w:w="1635" w:type="dxa"/>
            <w:noWrap w:val="0"/>
            <w:vAlign w:val="center"/>
          </w:tcPr>
          <w:p w14:paraId="7615CE2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各乡镇人民政府</w:t>
            </w:r>
          </w:p>
        </w:tc>
        <w:tc>
          <w:tcPr>
            <w:tcW w:w="1123" w:type="dxa"/>
            <w:noWrap w:val="0"/>
            <w:vAlign w:val="center"/>
          </w:tcPr>
          <w:p w14:paraId="21F9138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县卫健局</w:t>
            </w:r>
          </w:p>
          <w:p w14:paraId="5DF0F2A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315F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0" w:hRule="atLeast"/>
          <w:jc w:val="center"/>
        </w:trPr>
        <w:tc>
          <w:tcPr>
            <w:tcW w:w="1109" w:type="dxa"/>
            <w:vMerge w:val="continue"/>
            <w:noWrap w:val="0"/>
            <w:vAlign w:val="center"/>
          </w:tcPr>
          <w:p w14:paraId="72831BA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410D783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1147" w:type="dxa"/>
            <w:noWrap w:val="0"/>
            <w:vAlign w:val="center"/>
          </w:tcPr>
          <w:p w14:paraId="1CCCDA0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就医便利服务</w:t>
            </w:r>
          </w:p>
        </w:tc>
        <w:tc>
          <w:tcPr>
            <w:tcW w:w="3615" w:type="dxa"/>
            <w:noWrap w:val="0"/>
            <w:vAlign w:val="center"/>
          </w:tcPr>
          <w:p w14:paraId="0F9F74B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所有医疗机构为老年人提供挂号、就医等方面的便利服务</w:t>
            </w:r>
          </w:p>
        </w:tc>
        <w:tc>
          <w:tcPr>
            <w:tcW w:w="1290" w:type="dxa"/>
            <w:noWrap w:val="0"/>
            <w:vAlign w:val="center"/>
          </w:tcPr>
          <w:p w14:paraId="0005CB8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关爱服务就医服务</w:t>
            </w:r>
          </w:p>
        </w:tc>
        <w:tc>
          <w:tcPr>
            <w:tcW w:w="5745" w:type="dxa"/>
            <w:noWrap w:val="0"/>
            <w:vAlign w:val="center"/>
          </w:tcPr>
          <w:p w14:paraId="4449031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执行《国家卫生健康委办公厅关于实施进一</w:t>
            </w:r>
          </w:p>
          <w:p w14:paraId="1A332A3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步便利老年人就医举措的通知》等规定。</w:t>
            </w:r>
          </w:p>
        </w:tc>
        <w:tc>
          <w:tcPr>
            <w:tcW w:w="1635" w:type="dxa"/>
            <w:noWrap w:val="0"/>
            <w:vAlign w:val="center"/>
          </w:tcPr>
          <w:p w14:paraId="40BBEE1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40C48D2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780ED0C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县卫健局</w:t>
            </w:r>
          </w:p>
        </w:tc>
      </w:tr>
      <w:tr w14:paraId="4D42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0" w:hRule="atLeast"/>
          <w:jc w:val="center"/>
        </w:trPr>
        <w:tc>
          <w:tcPr>
            <w:tcW w:w="1109" w:type="dxa"/>
            <w:vMerge w:val="continue"/>
            <w:noWrap w:val="0"/>
            <w:vAlign w:val="center"/>
          </w:tcPr>
          <w:p w14:paraId="539CEE2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207FF06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1147" w:type="dxa"/>
            <w:noWrap w:val="0"/>
            <w:vAlign w:val="center"/>
          </w:tcPr>
          <w:p w14:paraId="223208D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居家上门服务</w:t>
            </w:r>
          </w:p>
        </w:tc>
        <w:tc>
          <w:tcPr>
            <w:tcW w:w="3615" w:type="dxa"/>
            <w:noWrap w:val="0"/>
            <w:vAlign w:val="center"/>
          </w:tcPr>
          <w:p w14:paraId="722BB79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为符合当地规定的低收入家庭中的高龄、失能（失智）、计划生育等特殊家庭老年人提供居家上门服务</w:t>
            </w:r>
          </w:p>
        </w:tc>
        <w:tc>
          <w:tcPr>
            <w:tcW w:w="1290" w:type="dxa"/>
            <w:noWrap w:val="0"/>
            <w:vAlign w:val="center"/>
          </w:tcPr>
          <w:p w14:paraId="7D38C0B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64A90529">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通过政府购买服务的方式引入第三方专业服务组织，提供助餐、助洁、助浴、助医、助行居家上门服务。</w:t>
            </w:r>
          </w:p>
        </w:tc>
        <w:tc>
          <w:tcPr>
            <w:tcW w:w="1635" w:type="dxa"/>
            <w:noWrap w:val="0"/>
            <w:vAlign w:val="center"/>
          </w:tcPr>
          <w:p w14:paraId="22FE8EA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各乡镇人民政府</w:t>
            </w:r>
          </w:p>
        </w:tc>
        <w:tc>
          <w:tcPr>
            <w:tcW w:w="1123" w:type="dxa"/>
            <w:noWrap w:val="0"/>
            <w:vAlign w:val="center"/>
          </w:tcPr>
          <w:p w14:paraId="4AC28C5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1CD1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5" w:hRule="atLeast"/>
          <w:jc w:val="center"/>
        </w:trPr>
        <w:tc>
          <w:tcPr>
            <w:tcW w:w="1109" w:type="dxa"/>
            <w:vMerge w:val="continue"/>
            <w:noWrap w:val="0"/>
            <w:vAlign w:val="center"/>
          </w:tcPr>
          <w:p w14:paraId="10E1B96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3A37E60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1147" w:type="dxa"/>
            <w:noWrap w:val="0"/>
            <w:vAlign w:val="center"/>
          </w:tcPr>
          <w:p w14:paraId="5FA5124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社区日间照料</w:t>
            </w:r>
          </w:p>
        </w:tc>
        <w:tc>
          <w:tcPr>
            <w:tcW w:w="3615" w:type="dxa"/>
            <w:noWrap w:val="0"/>
            <w:vAlign w:val="center"/>
          </w:tcPr>
          <w:p w14:paraId="436B6BF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为老年人提供安全可靠、环境适宜、相对固定的室内外活动场所</w:t>
            </w:r>
          </w:p>
        </w:tc>
        <w:tc>
          <w:tcPr>
            <w:tcW w:w="1290" w:type="dxa"/>
            <w:noWrap w:val="0"/>
            <w:vAlign w:val="center"/>
          </w:tcPr>
          <w:p w14:paraId="1536A21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关爱服务</w:t>
            </w:r>
          </w:p>
          <w:p w14:paraId="360C5A0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优待服务</w:t>
            </w:r>
          </w:p>
        </w:tc>
        <w:tc>
          <w:tcPr>
            <w:tcW w:w="5745" w:type="dxa"/>
            <w:noWrap w:val="0"/>
            <w:vAlign w:val="center"/>
          </w:tcPr>
          <w:p w14:paraId="1412269A">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为达到待遇享受年龄的老年人提供安全可靠、环境适宜、相对固定的室内外活动场所</w:t>
            </w:r>
          </w:p>
        </w:tc>
        <w:tc>
          <w:tcPr>
            <w:tcW w:w="1635" w:type="dxa"/>
            <w:noWrap w:val="0"/>
            <w:vAlign w:val="center"/>
          </w:tcPr>
          <w:p w14:paraId="57C50EA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369681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6FFE0B2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1AA5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0" w:hRule="atLeast"/>
          <w:jc w:val="center"/>
        </w:trPr>
        <w:tc>
          <w:tcPr>
            <w:tcW w:w="1109" w:type="dxa"/>
            <w:noWrap w:val="0"/>
            <w:vAlign w:val="center"/>
          </w:tcPr>
          <w:p w14:paraId="42A531E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65周岁以</w:t>
            </w:r>
          </w:p>
          <w:p w14:paraId="29B4468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上老年人</w:t>
            </w:r>
          </w:p>
        </w:tc>
        <w:tc>
          <w:tcPr>
            <w:tcW w:w="323" w:type="dxa"/>
            <w:noWrap w:val="0"/>
            <w:vAlign w:val="center"/>
          </w:tcPr>
          <w:p w14:paraId="4726F65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1147" w:type="dxa"/>
            <w:noWrap w:val="0"/>
            <w:vAlign w:val="center"/>
          </w:tcPr>
          <w:p w14:paraId="18BD4A3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老年人能力综合评估</w:t>
            </w:r>
          </w:p>
        </w:tc>
        <w:tc>
          <w:tcPr>
            <w:tcW w:w="3615" w:type="dxa"/>
            <w:noWrap w:val="0"/>
            <w:vAlign w:val="center"/>
          </w:tcPr>
          <w:p w14:paraId="6A53913D">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为有需求的老年人提供能力综合评估</w:t>
            </w:r>
          </w:p>
        </w:tc>
        <w:tc>
          <w:tcPr>
            <w:tcW w:w="1290" w:type="dxa"/>
            <w:noWrap w:val="0"/>
            <w:vAlign w:val="center"/>
          </w:tcPr>
          <w:p w14:paraId="39967CA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447CCD13">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为有需求的老年人提供能力综合评估，可与基本公共卫生服务结合，做好老年人能力综合评估与健康状况评估的衔接。</w:t>
            </w:r>
          </w:p>
        </w:tc>
        <w:tc>
          <w:tcPr>
            <w:tcW w:w="1635" w:type="dxa"/>
            <w:noWrap w:val="0"/>
            <w:vAlign w:val="center"/>
          </w:tcPr>
          <w:p w14:paraId="7E75596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2578DF3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7D501CD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p w14:paraId="6D2199B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县卫健局</w:t>
            </w:r>
          </w:p>
        </w:tc>
      </w:tr>
      <w:tr w14:paraId="3C0C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jc w:val="center"/>
        </w:trPr>
        <w:tc>
          <w:tcPr>
            <w:tcW w:w="1109" w:type="dxa"/>
            <w:vMerge w:val="restart"/>
            <w:noWrap w:val="0"/>
            <w:vAlign w:val="center"/>
          </w:tcPr>
          <w:p w14:paraId="561BFB5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80周岁及</w:t>
            </w:r>
          </w:p>
          <w:p w14:paraId="6998DFD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以上老年人</w:t>
            </w:r>
          </w:p>
        </w:tc>
        <w:tc>
          <w:tcPr>
            <w:tcW w:w="323" w:type="dxa"/>
            <w:noWrap w:val="0"/>
            <w:vAlign w:val="center"/>
          </w:tcPr>
          <w:p w14:paraId="2B9522C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1147" w:type="dxa"/>
            <w:noWrap w:val="0"/>
            <w:vAlign w:val="center"/>
          </w:tcPr>
          <w:p w14:paraId="3F85B6F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高龄津贴</w:t>
            </w:r>
          </w:p>
        </w:tc>
        <w:tc>
          <w:tcPr>
            <w:tcW w:w="3615" w:type="dxa"/>
            <w:noWrap w:val="0"/>
            <w:vAlign w:val="center"/>
          </w:tcPr>
          <w:p w14:paraId="5250A9F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为本地户籍80-99周岁老</w:t>
            </w:r>
          </w:p>
          <w:p w14:paraId="3D779AA2">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年人发放高龄津贴</w:t>
            </w:r>
          </w:p>
        </w:tc>
        <w:tc>
          <w:tcPr>
            <w:tcW w:w="1290" w:type="dxa"/>
            <w:noWrap w:val="0"/>
            <w:vAlign w:val="center"/>
          </w:tcPr>
          <w:p w14:paraId="18417C5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5B9398F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80-89周岁老年人补贴标准每月不低于20元（低保老人不低于50元），90-99周岁老年人补贴标准每月不低于100元。</w:t>
            </w:r>
          </w:p>
        </w:tc>
        <w:tc>
          <w:tcPr>
            <w:tcW w:w="1635" w:type="dxa"/>
            <w:noWrap w:val="0"/>
            <w:vAlign w:val="center"/>
          </w:tcPr>
          <w:p w14:paraId="7DF2370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43B1B6C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3AD662D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p w14:paraId="36EF41C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406F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0" w:hRule="atLeast"/>
          <w:jc w:val="center"/>
        </w:trPr>
        <w:tc>
          <w:tcPr>
            <w:tcW w:w="1109" w:type="dxa"/>
            <w:vMerge w:val="continue"/>
            <w:noWrap w:val="0"/>
            <w:vAlign w:val="center"/>
          </w:tcPr>
          <w:p w14:paraId="3D78A31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14027A9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1147" w:type="dxa"/>
            <w:noWrap w:val="0"/>
            <w:vAlign w:val="center"/>
          </w:tcPr>
          <w:p w14:paraId="76D513B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百岁老年人长寿保健补贴</w:t>
            </w:r>
          </w:p>
        </w:tc>
        <w:tc>
          <w:tcPr>
            <w:tcW w:w="3615" w:type="dxa"/>
            <w:noWrap w:val="0"/>
            <w:vAlign w:val="center"/>
          </w:tcPr>
          <w:p w14:paraId="4E89DF2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为本地户籍100周岁及以</w:t>
            </w:r>
          </w:p>
          <w:p w14:paraId="2F036A6A">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上老年人发放百岁老人长寿保健补贴</w:t>
            </w:r>
          </w:p>
        </w:tc>
        <w:tc>
          <w:tcPr>
            <w:tcW w:w="1290" w:type="dxa"/>
            <w:noWrap w:val="0"/>
            <w:vAlign w:val="center"/>
          </w:tcPr>
          <w:p w14:paraId="4814DFF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7A8E3743">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补贴标准每月不低于600元。</w:t>
            </w:r>
          </w:p>
        </w:tc>
        <w:tc>
          <w:tcPr>
            <w:tcW w:w="1635" w:type="dxa"/>
            <w:noWrap w:val="0"/>
            <w:vAlign w:val="center"/>
          </w:tcPr>
          <w:p w14:paraId="7DA1092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2ABD350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535BC06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p w14:paraId="45F1E21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6CB0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45" w:hRule="atLeast"/>
          <w:jc w:val="center"/>
        </w:trPr>
        <w:tc>
          <w:tcPr>
            <w:tcW w:w="1109" w:type="dxa"/>
            <w:vMerge w:val="restart"/>
            <w:noWrap w:val="0"/>
            <w:vAlign w:val="center"/>
          </w:tcPr>
          <w:p w14:paraId="1A55811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经济困难</w:t>
            </w:r>
          </w:p>
          <w:p w14:paraId="1E2E736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的老年人</w:t>
            </w:r>
          </w:p>
        </w:tc>
        <w:tc>
          <w:tcPr>
            <w:tcW w:w="323" w:type="dxa"/>
            <w:noWrap w:val="0"/>
            <w:vAlign w:val="center"/>
          </w:tcPr>
          <w:p w14:paraId="6540F1A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1147" w:type="dxa"/>
            <w:noWrap w:val="0"/>
            <w:vAlign w:val="center"/>
          </w:tcPr>
          <w:p w14:paraId="3BD8C61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基本养老</w:t>
            </w:r>
          </w:p>
          <w:p w14:paraId="68F01F0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服务补贴</w:t>
            </w:r>
          </w:p>
        </w:tc>
        <w:tc>
          <w:tcPr>
            <w:tcW w:w="3615" w:type="dxa"/>
            <w:noWrap w:val="0"/>
            <w:vAlign w:val="center"/>
          </w:tcPr>
          <w:p w14:paraId="66430E39">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为经济困难的老年人提供养老服务补贴</w:t>
            </w:r>
          </w:p>
        </w:tc>
        <w:tc>
          <w:tcPr>
            <w:tcW w:w="1290" w:type="dxa"/>
            <w:noWrap w:val="0"/>
            <w:vAlign w:val="center"/>
          </w:tcPr>
          <w:p w14:paraId="19F4F06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1803F8F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农村65周岁及以上的特困老年人和农村低保家庭中65周岁及以上的完全失能或部分失能老年人按不低于20元人月的标准发放。入住养老机构的低保中度失能老年人，补贴支付给相应机构；居家的老年人，可通过政府购买第三方服务的方式提供上门服务。</w:t>
            </w:r>
          </w:p>
        </w:tc>
        <w:tc>
          <w:tcPr>
            <w:tcW w:w="1635" w:type="dxa"/>
            <w:noWrap w:val="0"/>
            <w:vAlign w:val="center"/>
          </w:tcPr>
          <w:p w14:paraId="05FD559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8AAE3F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1382B1F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p w14:paraId="38AE7C6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tc>
      </w:tr>
      <w:tr w14:paraId="629E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10" w:hRule="atLeast"/>
          <w:jc w:val="center"/>
        </w:trPr>
        <w:tc>
          <w:tcPr>
            <w:tcW w:w="1109" w:type="dxa"/>
            <w:vMerge w:val="continue"/>
            <w:noWrap w:val="0"/>
            <w:vAlign w:val="center"/>
          </w:tcPr>
          <w:p w14:paraId="565798A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6647B91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w:t>
            </w:r>
          </w:p>
        </w:tc>
        <w:tc>
          <w:tcPr>
            <w:tcW w:w="1147" w:type="dxa"/>
            <w:noWrap w:val="0"/>
            <w:vAlign w:val="center"/>
          </w:tcPr>
          <w:p w14:paraId="4485063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居家适老化改造</w:t>
            </w:r>
          </w:p>
        </w:tc>
        <w:tc>
          <w:tcPr>
            <w:tcW w:w="3615" w:type="dxa"/>
            <w:noWrap w:val="0"/>
            <w:vAlign w:val="center"/>
          </w:tcPr>
          <w:p w14:paraId="2B1ACED8">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为符合条件的经济困难老年人提供居家适老化改造服务</w:t>
            </w:r>
          </w:p>
        </w:tc>
        <w:tc>
          <w:tcPr>
            <w:tcW w:w="1290" w:type="dxa"/>
            <w:noWrap w:val="0"/>
            <w:vAlign w:val="center"/>
          </w:tcPr>
          <w:p w14:paraId="28688F1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p w14:paraId="60EF67C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67DB66DB">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以自愿申请为原则，通过政府补贴等方式，</w:t>
            </w:r>
          </w:p>
          <w:p w14:paraId="75BC1C3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为分散供养特困老年人家庭以及低保对象中的高龄、失能、重度残疾的老年人家庭，通过政府补贴等方式，为经济困难的老年人提供居家适老化改造服务。</w:t>
            </w:r>
          </w:p>
        </w:tc>
        <w:tc>
          <w:tcPr>
            <w:tcW w:w="1635" w:type="dxa"/>
            <w:noWrap w:val="0"/>
            <w:vAlign w:val="center"/>
          </w:tcPr>
          <w:p w14:paraId="594CC66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0E095AE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769A947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p w14:paraId="78EA971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县财政局</w:t>
            </w:r>
          </w:p>
        </w:tc>
      </w:tr>
      <w:tr w14:paraId="4851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09" w:type="dxa"/>
            <w:vMerge w:val="restart"/>
            <w:noWrap w:val="0"/>
            <w:vAlign w:val="center"/>
          </w:tcPr>
          <w:p w14:paraId="0681764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经认定生活不能自理的老年人</w:t>
            </w:r>
          </w:p>
        </w:tc>
        <w:tc>
          <w:tcPr>
            <w:tcW w:w="323" w:type="dxa"/>
            <w:noWrap w:val="0"/>
            <w:vAlign w:val="center"/>
          </w:tcPr>
          <w:p w14:paraId="68609C8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1147" w:type="dxa"/>
            <w:noWrap w:val="0"/>
            <w:vAlign w:val="center"/>
          </w:tcPr>
          <w:p w14:paraId="73D267B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护理补贴</w:t>
            </w:r>
          </w:p>
        </w:tc>
        <w:tc>
          <w:tcPr>
            <w:tcW w:w="3615" w:type="dxa"/>
            <w:noWrap w:val="0"/>
            <w:vAlign w:val="center"/>
          </w:tcPr>
          <w:p w14:paraId="45F10731">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为经认定生活不能自理的经济困难的老年人提供护理补贴</w:t>
            </w:r>
          </w:p>
        </w:tc>
        <w:tc>
          <w:tcPr>
            <w:tcW w:w="1290" w:type="dxa"/>
            <w:noWrap w:val="0"/>
            <w:vAlign w:val="center"/>
          </w:tcPr>
          <w:p w14:paraId="6E15E17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374B9491">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为无劳动能力、无生活来源、无法定赡养扶养义务人或者其法定义务人无履行义务能力的60周岁及以上特困老年人，提供护理补贴。</w:t>
            </w:r>
          </w:p>
        </w:tc>
        <w:tc>
          <w:tcPr>
            <w:tcW w:w="1635" w:type="dxa"/>
            <w:noWrap w:val="0"/>
            <w:vAlign w:val="center"/>
          </w:tcPr>
          <w:p w14:paraId="32C5295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4180E04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74FB17B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3CEA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45" w:hRule="atLeast"/>
          <w:jc w:val="center"/>
        </w:trPr>
        <w:tc>
          <w:tcPr>
            <w:tcW w:w="1109" w:type="dxa"/>
            <w:vMerge w:val="continue"/>
            <w:noWrap w:val="0"/>
            <w:vAlign w:val="center"/>
          </w:tcPr>
          <w:p w14:paraId="57ED29C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453620F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p>
        </w:tc>
        <w:tc>
          <w:tcPr>
            <w:tcW w:w="1147" w:type="dxa"/>
            <w:noWrap w:val="0"/>
            <w:vAlign w:val="center"/>
          </w:tcPr>
          <w:p w14:paraId="42C8AA2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家庭养老</w:t>
            </w:r>
          </w:p>
          <w:p w14:paraId="007CCA9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支持服务</w:t>
            </w:r>
          </w:p>
        </w:tc>
        <w:tc>
          <w:tcPr>
            <w:tcW w:w="3615" w:type="dxa"/>
            <w:noWrap w:val="0"/>
            <w:vAlign w:val="center"/>
          </w:tcPr>
          <w:p w14:paraId="4FD262C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符合条件的失能老年人家庭成员参加照护培训等相关职业技能培训的，按规定给予职业培训补贴</w:t>
            </w:r>
          </w:p>
        </w:tc>
        <w:tc>
          <w:tcPr>
            <w:tcW w:w="1290" w:type="dxa"/>
            <w:noWrap w:val="0"/>
            <w:vAlign w:val="center"/>
          </w:tcPr>
          <w:p w14:paraId="2BAAA32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7DFEEA6B">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组织符合条件的失能老年人家庭成员每年参加不少于1次养老护理技能培训照护培训等相关职业技能培训，向家庭成员普及照料失能、失智老年人的护理知识和技能，并按规定给予职业培训补贴。</w:t>
            </w:r>
          </w:p>
        </w:tc>
        <w:tc>
          <w:tcPr>
            <w:tcW w:w="1635" w:type="dxa"/>
            <w:noWrap w:val="0"/>
            <w:vAlign w:val="center"/>
          </w:tcPr>
          <w:p w14:paraId="26CBAEA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58D142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2E8FC76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县人社局</w:t>
            </w:r>
          </w:p>
          <w:p w14:paraId="1517B0E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3DED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5" w:hRule="atLeast"/>
          <w:jc w:val="center"/>
        </w:trPr>
        <w:tc>
          <w:tcPr>
            <w:tcW w:w="1109" w:type="dxa"/>
            <w:vMerge w:val="continue"/>
            <w:noWrap w:val="0"/>
            <w:vAlign w:val="center"/>
          </w:tcPr>
          <w:p w14:paraId="7DFBEE9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2CA584E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c>
          <w:tcPr>
            <w:tcW w:w="1147" w:type="dxa"/>
            <w:noWrap w:val="0"/>
            <w:vAlign w:val="center"/>
          </w:tcPr>
          <w:p w14:paraId="73E27BF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长期护理保险</w:t>
            </w:r>
          </w:p>
        </w:tc>
        <w:tc>
          <w:tcPr>
            <w:tcW w:w="3615" w:type="dxa"/>
            <w:noWrap w:val="0"/>
            <w:vAlign w:val="center"/>
          </w:tcPr>
          <w:p w14:paraId="430C7812">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p>
        </w:tc>
        <w:tc>
          <w:tcPr>
            <w:tcW w:w="1290" w:type="dxa"/>
            <w:noWrap w:val="0"/>
            <w:vAlign w:val="center"/>
          </w:tcPr>
          <w:p w14:paraId="2E5139F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0835F59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p>
        </w:tc>
        <w:tc>
          <w:tcPr>
            <w:tcW w:w="1635" w:type="dxa"/>
            <w:noWrap w:val="0"/>
            <w:vAlign w:val="center"/>
          </w:tcPr>
          <w:p w14:paraId="584A439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1123" w:type="dxa"/>
            <w:noWrap w:val="0"/>
            <w:vAlign w:val="center"/>
          </w:tcPr>
          <w:p w14:paraId="2C220D9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县医保局</w:t>
            </w:r>
          </w:p>
        </w:tc>
      </w:tr>
      <w:tr w14:paraId="3D9F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0" w:hRule="atLeast"/>
          <w:jc w:val="center"/>
        </w:trPr>
        <w:tc>
          <w:tcPr>
            <w:tcW w:w="1109" w:type="dxa"/>
            <w:vMerge w:val="restart"/>
            <w:noWrap w:val="0"/>
            <w:vAlign w:val="center"/>
          </w:tcPr>
          <w:p w14:paraId="2D61A5D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特</w:t>
            </w:r>
            <w:r>
              <w:rPr>
                <w:rFonts w:hint="eastAsia" w:ascii="仿宋_GB2312" w:hAnsi="仿宋_GB2312" w:eastAsia="仿宋_GB2312" w:cs="仿宋_GB2312"/>
                <w:color w:val="000000"/>
                <w:sz w:val="24"/>
                <w:szCs w:val="24"/>
              </w:rPr>
              <w:t>困老年人（无劳动能力、无生活来源、无法定赡养扶养义务人或者其法定义务人无履行义务能力的60周岁及以上特困老年人</w:t>
            </w:r>
            <w:r>
              <w:rPr>
                <w:rFonts w:hint="eastAsia" w:ascii="仿宋_GB2312" w:hAnsi="仿宋_GB2312" w:eastAsia="仿宋_GB2312" w:cs="仿宋_GB2312"/>
                <w:color w:val="000000"/>
                <w:sz w:val="24"/>
                <w:szCs w:val="24"/>
                <w:lang w:eastAsia="zh-CN"/>
              </w:rPr>
              <w:t>）</w:t>
            </w:r>
          </w:p>
        </w:tc>
        <w:tc>
          <w:tcPr>
            <w:tcW w:w="323" w:type="dxa"/>
            <w:noWrap w:val="0"/>
            <w:vAlign w:val="center"/>
          </w:tcPr>
          <w:p w14:paraId="5DC73FD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1147" w:type="dxa"/>
            <w:noWrap w:val="0"/>
            <w:vAlign w:val="center"/>
          </w:tcPr>
          <w:p w14:paraId="1C361B5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分散供养</w:t>
            </w:r>
          </w:p>
        </w:tc>
        <w:tc>
          <w:tcPr>
            <w:tcW w:w="3615" w:type="dxa"/>
            <w:noWrap w:val="0"/>
            <w:vAlign w:val="center"/>
          </w:tcPr>
          <w:p w14:paraId="5DA2888A">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提供基本生活条件、疾病治疗、办理丧葬事宜等，对生活不能自理的给予照料</w:t>
            </w:r>
          </w:p>
        </w:tc>
        <w:tc>
          <w:tcPr>
            <w:tcW w:w="1290" w:type="dxa"/>
            <w:noWrap w:val="0"/>
            <w:vAlign w:val="center"/>
          </w:tcPr>
          <w:p w14:paraId="182AB43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p w14:paraId="2AF954B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1275435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特困人员基本生活标准按照不低于当地最低生活保障标准的1.3倍确定。</w:t>
            </w:r>
          </w:p>
        </w:tc>
        <w:tc>
          <w:tcPr>
            <w:tcW w:w="1635" w:type="dxa"/>
            <w:noWrap w:val="0"/>
            <w:vAlign w:val="center"/>
          </w:tcPr>
          <w:p w14:paraId="5862C1B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10BA77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6EE99FC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36FE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109" w:type="dxa"/>
            <w:vMerge w:val="continue"/>
            <w:noWrap w:val="0"/>
            <w:vAlign w:val="center"/>
          </w:tcPr>
          <w:p w14:paraId="4C22DAD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51859F2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1147" w:type="dxa"/>
            <w:noWrap w:val="0"/>
            <w:vAlign w:val="center"/>
          </w:tcPr>
          <w:p w14:paraId="5712FBE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集中供养</w:t>
            </w:r>
          </w:p>
        </w:tc>
        <w:tc>
          <w:tcPr>
            <w:tcW w:w="3615" w:type="dxa"/>
            <w:noWrap w:val="0"/>
            <w:vAlign w:val="center"/>
          </w:tcPr>
          <w:p w14:paraId="434C0B7B">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就近安排到相应的供养服务机构，提供基本生活条件、疾病治疗、办理丧葬事宜等，对生活不能自理的给予照料</w:t>
            </w:r>
          </w:p>
        </w:tc>
        <w:tc>
          <w:tcPr>
            <w:tcW w:w="1290" w:type="dxa"/>
            <w:noWrap w:val="0"/>
            <w:vAlign w:val="center"/>
          </w:tcPr>
          <w:p w14:paraId="135C4D4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p w14:paraId="0D66FD3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6EDA344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特困人员基本生活标准按照不低于当地最低生活保障标准的1.3倍确定。</w:t>
            </w:r>
          </w:p>
        </w:tc>
        <w:tc>
          <w:tcPr>
            <w:tcW w:w="1635" w:type="dxa"/>
            <w:noWrap w:val="0"/>
            <w:vAlign w:val="center"/>
          </w:tcPr>
          <w:p w14:paraId="011539A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4BAA27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299FED3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4885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60" w:hRule="atLeast"/>
          <w:jc w:val="center"/>
        </w:trPr>
        <w:tc>
          <w:tcPr>
            <w:tcW w:w="1109" w:type="dxa"/>
            <w:vMerge w:val="continue"/>
            <w:noWrap w:val="0"/>
            <w:vAlign w:val="center"/>
          </w:tcPr>
          <w:p w14:paraId="227E311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4F8C6CC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w:t>
            </w:r>
          </w:p>
        </w:tc>
        <w:tc>
          <w:tcPr>
            <w:tcW w:w="1147" w:type="dxa"/>
            <w:noWrap w:val="0"/>
            <w:vAlign w:val="center"/>
          </w:tcPr>
          <w:p w14:paraId="5D30355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发放照料</w:t>
            </w:r>
          </w:p>
          <w:p w14:paraId="716C11C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护理费</w:t>
            </w:r>
          </w:p>
        </w:tc>
        <w:tc>
          <w:tcPr>
            <w:tcW w:w="3615" w:type="dxa"/>
            <w:noWrap w:val="0"/>
            <w:vAlign w:val="center"/>
          </w:tcPr>
          <w:p w14:paraId="68A9278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对纳入特困人员救助供养的老年人给予照料</w:t>
            </w:r>
          </w:p>
        </w:tc>
        <w:tc>
          <w:tcPr>
            <w:tcW w:w="1290" w:type="dxa"/>
            <w:noWrap w:val="0"/>
            <w:vAlign w:val="center"/>
          </w:tcPr>
          <w:p w14:paraId="0C23D00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07C11D6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城乡特困人员照料护理标准分为全自理、半护理、全护理3档，原则上全自理、半护理、全护理特困人员照料护理费用分别不得低于当地上年度最低工资标准的十分之一、六分之一、三分之一。</w:t>
            </w:r>
          </w:p>
        </w:tc>
        <w:tc>
          <w:tcPr>
            <w:tcW w:w="1635" w:type="dxa"/>
            <w:noWrap w:val="0"/>
            <w:vAlign w:val="center"/>
          </w:tcPr>
          <w:p w14:paraId="2EC3F70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34DD04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32715C0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4DD8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0" w:hRule="atLeast"/>
          <w:jc w:val="center"/>
        </w:trPr>
        <w:tc>
          <w:tcPr>
            <w:tcW w:w="1109" w:type="dxa"/>
            <w:vMerge w:val="continue"/>
            <w:noWrap w:val="0"/>
            <w:vAlign w:val="center"/>
          </w:tcPr>
          <w:p w14:paraId="4F81624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18E877C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c>
          <w:tcPr>
            <w:tcW w:w="1147" w:type="dxa"/>
            <w:noWrap w:val="0"/>
            <w:vAlign w:val="center"/>
          </w:tcPr>
          <w:p w14:paraId="6DE0EFA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基本殡葬服务费</w:t>
            </w:r>
          </w:p>
        </w:tc>
        <w:tc>
          <w:tcPr>
            <w:tcW w:w="3615" w:type="dxa"/>
            <w:noWrap w:val="0"/>
            <w:vAlign w:val="center"/>
          </w:tcPr>
          <w:p w14:paraId="43A4B67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特困老年人死亡后的丧葬事宜</w:t>
            </w:r>
          </w:p>
        </w:tc>
        <w:tc>
          <w:tcPr>
            <w:tcW w:w="1290" w:type="dxa"/>
            <w:noWrap w:val="0"/>
            <w:vAlign w:val="center"/>
          </w:tcPr>
          <w:p w14:paraId="7674075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3F0595E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火化后，免除基本殡葬费用，采取生态安葬的给予1000-3000元不等生态安葬补助。</w:t>
            </w:r>
          </w:p>
        </w:tc>
        <w:tc>
          <w:tcPr>
            <w:tcW w:w="1635" w:type="dxa"/>
            <w:noWrap w:val="0"/>
            <w:vAlign w:val="center"/>
          </w:tcPr>
          <w:p w14:paraId="703D13D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1570F0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6D80184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70CD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0" w:hRule="atLeast"/>
          <w:jc w:val="center"/>
        </w:trPr>
        <w:tc>
          <w:tcPr>
            <w:tcW w:w="1109" w:type="dxa"/>
            <w:noWrap w:val="0"/>
            <w:vAlign w:val="center"/>
          </w:tcPr>
          <w:p w14:paraId="213C73F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纳入最低生活保障范围的老年人</w:t>
            </w:r>
          </w:p>
        </w:tc>
        <w:tc>
          <w:tcPr>
            <w:tcW w:w="323" w:type="dxa"/>
            <w:noWrap w:val="0"/>
            <w:vAlign w:val="center"/>
          </w:tcPr>
          <w:p w14:paraId="58A77F5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w:t>
            </w:r>
          </w:p>
        </w:tc>
        <w:tc>
          <w:tcPr>
            <w:tcW w:w="1147" w:type="dxa"/>
            <w:noWrap w:val="0"/>
            <w:vAlign w:val="center"/>
          </w:tcPr>
          <w:p w14:paraId="7A6D53B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最低社会保障</w:t>
            </w:r>
          </w:p>
        </w:tc>
        <w:tc>
          <w:tcPr>
            <w:tcW w:w="3615" w:type="dxa"/>
            <w:noWrap w:val="0"/>
            <w:vAlign w:val="center"/>
          </w:tcPr>
          <w:p w14:paraId="50B8C8D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对获得最低生活保证金后生活仍有困难的老年人，采取发放临时救助等必要措施给予生活保障</w:t>
            </w:r>
          </w:p>
        </w:tc>
        <w:tc>
          <w:tcPr>
            <w:tcW w:w="1290" w:type="dxa"/>
            <w:noWrap w:val="0"/>
            <w:vAlign w:val="center"/>
          </w:tcPr>
          <w:p w14:paraId="3E02E84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2AB8FBB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FF0000"/>
                <w:sz w:val="24"/>
                <w:szCs w:val="24"/>
              </w:rPr>
              <w:t>按照《社会救助法》等规定，由各县市区政府相关部门统一管理后进行核定，对获得最低生活保证金后生活仍有困难的老年人，采取发放临时救助等必要措施给予生活保障。火化后，免除基本殡葬费用，采取生态安葬的给予1000-3000元不等生态安葬补助</w:t>
            </w:r>
          </w:p>
        </w:tc>
        <w:tc>
          <w:tcPr>
            <w:tcW w:w="1635" w:type="dxa"/>
            <w:noWrap w:val="0"/>
            <w:vAlign w:val="center"/>
          </w:tcPr>
          <w:p w14:paraId="6BB141F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26F3A5C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6F141A0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127C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0" w:hRule="atLeast"/>
          <w:jc w:val="center"/>
        </w:trPr>
        <w:tc>
          <w:tcPr>
            <w:tcW w:w="1109" w:type="dxa"/>
            <w:noWrap w:val="0"/>
            <w:vAlign w:val="center"/>
          </w:tcPr>
          <w:p w14:paraId="074487B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特殊困难老年人</w:t>
            </w:r>
          </w:p>
        </w:tc>
        <w:tc>
          <w:tcPr>
            <w:tcW w:w="323" w:type="dxa"/>
            <w:noWrap w:val="0"/>
            <w:vAlign w:val="center"/>
          </w:tcPr>
          <w:p w14:paraId="5C1D74B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w:t>
            </w:r>
          </w:p>
        </w:tc>
        <w:tc>
          <w:tcPr>
            <w:tcW w:w="1147" w:type="dxa"/>
            <w:noWrap w:val="0"/>
            <w:vAlign w:val="center"/>
          </w:tcPr>
          <w:p w14:paraId="263CE2B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探访服务</w:t>
            </w:r>
          </w:p>
        </w:tc>
        <w:tc>
          <w:tcPr>
            <w:tcW w:w="3615" w:type="dxa"/>
            <w:noWrap w:val="0"/>
            <w:vAlign w:val="center"/>
          </w:tcPr>
          <w:p w14:paraId="19EF225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通过电话、上门探访等形</w:t>
            </w:r>
          </w:p>
          <w:p w14:paraId="6062BB5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式开展探访服务</w:t>
            </w:r>
          </w:p>
        </w:tc>
        <w:tc>
          <w:tcPr>
            <w:tcW w:w="1290" w:type="dxa"/>
            <w:noWrap w:val="0"/>
            <w:vAlign w:val="center"/>
          </w:tcPr>
          <w:p w14:paraId="3DC3D58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关爱服务</w:t>
            </w:r>
          </w:p>
        </w:tc>
        <w:tc>
          <w:tcPr>
            <w:tcW w:w="5745" w:type="dxa"/>
            <w:noWrap w:val="0"/>
            <w:vAlign w:val="center"/>
          </w:tcPr>
          <w:p w14:paraId="2505F9D9">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对居家的空巢、独居、留守、失能（失智）、计划生育特殊家庭等特殊困难老年人，通过政府购买服务等方式，由驻站社工或乡镇街道工作人员对符合条件的老年人家庭开展居家探访与帮扶服务，包括但不限于提供每月不少于1次上门巡访、1次电话问询。</w:t>
            </w:r>
          </w:p>
        </w:tc>
        <w:tc>
          <w:tcPr>
            <w:tcW w:w="1635" w:type="dxa"/>
            <w:noWrap w:val="0"/>
            <w:vAlign w:val="center"/>
          </w:tcPr>
          <w:p w14:paraId="43FB020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12396066">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0C4870C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4891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60" w:hRule="atLeast"/>
          <w:jc w:val="center"/>
        </w:trPr>
        <w:tc>
          <w:tcPr>
            <w:tcW w:w="1109" w:type="dxa"/>
            <w:noWrap w:val="0"/>
            <w:vAlign w:val="center"/>
          </w:tcPr>
          <w:p w14:paraId="5F3DE45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对国家和</w:t>
            </w:r>
          </w:p>
          <w:p w14:paraId="4A71EC6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社会作出</w:t>
            </w:r>
          </w:p>
          <w:p w14:paraId="7182924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特殊贡献</w:t>
            </w:r>
          </w:p>
          <w:p w14:paraId="12785A1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的老年人</w:t>
            </w:r>
          </w:p>
        </w:tc>
        <w:tc>
          <w:tcPr>
            <w:tcW w:w="323" w:type="dxa"/>
            <w:noWrap w:val="0"/>
            <w:vAlign w:val="center"/>
          </w:tcPr>
          <w:p w14:paraId="5407803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w:t>
            </w:r>
          </w:p>
        </w:tc>
        <w:tc>
          <w:tcPr>
            <w:tcW w:w="1147" w:type="dxa"/>
            <w:noWrap w:val="0"/>
            <w:vAlign w:val="center"/>
          </w:tcPr>
          <w:p w14:paraId="5FBDA0F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集中供养</w:t>
            </w:r>
          </w:p>
        </w:tc>
        <w:tc>
          <w:tcPr>
            <w:tcW w:w="3615" w:type="dxa"/>
            <w:noWrap w:val="0"/>
            <w:vAlign w:val="center"/>
          </w:tcPr>
          <w:p w14:paraId="58E2E409">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老烈士遗属、因公牺牲军人遗属、病故军人遗属和进入老年的残疾军人、复员军人、退伍军人，无法定赡养扶养人或者其法定义务人无赡养扶养能力且享受国家定期抚恤补助待遇的老年优抚对象，提供集中供养、医疗等保障</w:t>
            </w:r>
          </w:p>
        </w:tc>
        <w:tc>
          <w:tcPr>
            <w:tcW w:w="1290" w:type="dxa"/>
            <w:noWrap w:val="0"/>
            <w:vAlign w:val="center"/>
          </w:tcPr>
          <w:p w14:paraId="18203B9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p w14:paraId="22D3462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优待服务</w:t>
            </w:r>
          </w:p>
        </w:tc>
        <w:tc>
          <w:tcPr>
            <w:tcW w:w="5745" w:type="dxa"/>
            <w:noWrap w:val="0"/>
            <w:vAlign w:val="center"/>
          </w:tcPr>
          <w:p w14:paraId="58038CB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执行《军人抚恤优待条例》《光荣院管理办法》等规定。</w:t>
            </w:r>
          </w:p>
        </w:tc>
        <w:tc>
          <w:tcPr>
            <w:tcW w:w="1635" w:type="dxa"/>
            <w:noWrap w:val="0"/>
            <w:vAlign w:val="center"/>
          </w:tcPr>
          <w:p w14:paraId="148D61C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8B145B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3F4F6E0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县退役军人</w:t>
            </w:r>
          </w:p>
          <w:p w14:paraId="33EE368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事务局</w:t>
            </w:r>
          </w:p>
        </w:tc>
      </w:tr>
      <w:tr w14:paraId="058C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40" w:hRule="atLeast"/>
          <w:jc w:val="center"/>
        </w:trPr>
        <w:tc>
          <w:tcPr>
            <w:tcW w:w="1109" w:type="dxa"/>
            <w:vMerge w:val="restart"/>
            <w:noWrap w:val="0"/>
            <w:vAlign w:val="center"/>
          </w:tcPr>
          <w:p w14:paraId="2D6A2D9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计划生育特殊困难家庭</w:t>
            </w:r>
          </w:p>
          <w:p w14:paraId="7273531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老年人</w:t>
            </w:r>
          </w:p>
        </w:tc>
        <w:tc>
          <w:tcPr>
            <w:tcW w:w="323" w:type="dxa"/>
            <w:noWrap w:val="0"/>
            <w:vAlign w:val="center"/>
          </w:tcPr>
          <w:p w14:paraId="14502B2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w:t>
            </w:r>
          </w:p>
        </w:tc>
        <w:tc>
          <w:tcPr>
            <w:tcW w:w="1147" w:type="dxa"/>
            <w:noWrap w:val="0"/>
            <w:vAlign w:val="center"/>
          </w:tcPr>
          <w:p w14:paraId="0FD3F36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优先享受</w:t>
            </w:r>
          </w:p>
          <w:p w14:paraId="4F5E045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机构养老</w:t>
            </w:r>
          </w:p>
        </w:tc>
        <w:tc>
          <w:tcPr>
            <w:tcW w:w="3615" w:type="dxa"/>
            <w:noWrap w:val="0"/>
            <w:vAlign w:val="center"/>
          </w:tcPr>
          <w:p w14:paraId="15A7560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同等条件下优先入住政府投资兴办的养老机构</w:t>
            </w:r>
          </w:p>
        </w:tc>
        <w:tc>
          <w:tcPr>
            <w:tcW w:w="1290" w:type="dxa"/>
            <w:noWrap w:val="0"/>
            <w:vAlign w:val="center"/>
          </w:tcPr>
          <w:p w14:paraId="4D80CC7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照护服务</w:t>
            </w:r>
          </w:p>
        </w:tc>
        <w:tc>
          <w:tcPr>
            <w:tcW w:w="5745" w:type="dxa"/>
            <w:noWrap w:val="0"/>
            <w:vAlign w:val="center"/>
          </w:tcPr>
          <w:p w14:paraId="3574F58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经济困难的空巢、独居、失能（失智）、残疾、高龄以及计划生育特殊家庭老年人，同等条件下优先入住政府投资兴办的养老机构。</w:t>
            </w:r>
          </w:p>
        </w:tc>
        <w:tc>
          <w:tcPr>
            <w:tcW w:w="1635" w:type="dxa"/>
            <w:noWrap w:val="0"/>
            <w:vAlign w:val="center"/>
          </w:tcPr>
          <w:p w14:paraId="3F8A514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3FB0416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0FD1775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40D5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50" w:hRule="atLeast"/>
          <w:jc w:val="center"/>
        </w:trPr>
        <w:tc>
          <w:tcPr>
            <w:tcW w:w="1109" w:type="dxa"/>
            <w:vMerge w:val="continue"/>
            <w:noWrap w:val="0"/>
            <w:vAlign w:val="center"/>
          </w:tcPr>
          <w:p w14:paraId="66474BF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p>
        </w:tc>
        <w:tc>
          <w:tcPr>
            <w:tcW w:w="323" w:type="dxa"/>
            <w:noWrap w:val="0"/>
            <w:vAlign w:val="center"/>
          </w:tcPr>
          <w:p w14:paraId="6480AC2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w:t>
            </w:r>
          </w:p>
        </w:tc>
        <w:tc>
          <w:tcPr>
            <w:tcW w:w="1147" w:type="dxa"/>
            <w:noWrap w:val="0"/>
            <w:vAlign w:val="center"/>
          </w:tcPr>
          <w:p w14:paraId="47799CA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计划生育</w:t>
            </w:r>
          </w:p>
          <w:p w14:paraId="223675D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特别扶助金</w:t>
            </w:r>
          </w:p>
        </w:tc>
        <w:tc>
          <w:tcPr>
            <w:tcW w:w="3615" w:type="dxa"/>
            <w:noWrap w:val="0"/>
            <w:vAlign w:val="center"/>
          </w:tcPr>
          <w:p w14:paraId="233689D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60周岁及以上独生子女死亡、残疾的特别扶助对象</w:t>
            </w:r>
          </w:p>
        </w:tc>
        <w:tc>
          <w:tcPr>
            <w:tcW w:w="1290" w:type="dxa"/>
            <w:noWrap w:val="0"/>
            <w:vAlign w:val="center"/>
          </w:tcPr>
          <w:p w14:paraId="541A7D9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43F20F4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FF0000"/>
                <w:sz w:val="24"/>
                <w:szCs w:val="24"/>
              </w:rPr>
              <w:t>60周岁及以上独生子女死亡的老年人，</w:t>
            </w:r>
            <w:r>
              <w:rPr>
                <w:rFonts w:hint="eastAsia" w:ascii="仿宋_GB2312" w:hAnsi="仿宋_GB2312" w:eastAsia="仿宋_GB2312" w:cs="仿宋_GB2312"/>
                <w:color w:val="FF0000"/>
                <w:sz w:val="24"/>
                <w:szCs w:val="24"/>
                <w:lang w:val="en-US" w:eastAsia="zh-CN"/>
              </w:rPr>
              <w:t>按当年</w:t>
            </w:r>
            <w:r>
              <w:rPr>
                <w:rFonts w:hint="eastAsia" w:ascii="仿宋_GB2312" w:hAnsi="仿宋_GB2312" w:eastAsia="仿宋_GB2312" w:cs="仿宋_GB2312"/>
                <w:color w:val="FF0000"/>
                <w:sz w:val="24"/>
                <w:szCs w:val="24"/>
              </w:rPr>
              <w:t>标准发放特别扶助金；60周岁及以上独生子女残疾的老年人，按</w:t>
            </w:r>
            <w:r>
              <w:rPr>
                <w:rFonts w:hint="eastAsia" w:ascii="仿宋_GB2312" w:hAnsi="仿宋_GB2312" w:eastAsia="仿宋_GB2312" w:cs="仿宋_GB2312"/>
                <w:color w:val="FF0000"/>
                <w:sz w:val="24"/>
                <w:szCs w:val="24"/>
                <w:lang w:val="en-US" w:eastAsia="zh-CN"/>
              </w:rPr>
              <w:t>当年</w:t>
            </w:r>
            <w:r>
              <w:rPr>
                <w:rFonts w:hint="eastAsia" w:ascii="仿宋_GB2312" w:hAnsi="仿宋_GB2312" w:eastAsia="仿宋_GB2312" w:cs="仿宋_GB2312"/>
                <w:color w:val="FF0000"/>
                <w:sz w:val="24"/>
                <w:szCs w:val="24"/>
              </w:rPr>
              <w:t>标准发放特别扶助金。</w:t>
            </w:r>
          </w:p>
        </w:tc>
        <w:tc>
          <w:tcPr>
            <w:tcW w:w="1635" w:type="dxa"/>
            <w:noWrap w:val="0"/>
            <w:vAlign w:val="center"/>
          </w:tcPr>
          <w:p w14:paraId="2A45505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5FB663B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6CE192B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县残联</w:t>
            </w:r>
          </w:p>
          <w:p w14:paraId="41165D7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县卫健局</w:t>
            </w:r>
          </w:p>
        </w:tc>
      </w:tr>
      <w:tr w14:paraId="5F49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00" w:hRule="atLeast"/>
          <w:jc w:val="center"/>
        </w:trPr>
        <w:tc>
          <w:tcPr>
            <w:tcW w:w="1109" w:type="dxa"/>
            <w:noWrap w:val="0"/>
            <w:vAlign w:val="center"/>
          </w:tcPr>
          <w:p w14:paraId="7813E56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经认定符合条件的残疾老年人</w:t>
            </w:r>
          </w:p>
        </w:tc>
        <w:tc>
          <w:tcPr>
            <w:tcW w:w="323" w:type="dxa"/>
            <w:noWrap w:val="0"/>
            <w:vAlign w:val="center"/>
          </w:tcPr>
          <w:p w14:paraId="1A2927F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w:t>
            </w:r>
          </w:p>
        </w:tc>
        <w:tc>
          <w:tcPr>
            <w:tcW w:w="1147" w:type="dxa"/>
            <w:noWrap w:val="0"/>
            <w:vAlign w:val="center"/>
          </w:tcPr>
          <w:p w14:paraId="5527A43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困难残疾人生活补贴和重度残疾人护理补贴</w:t>
            </w:r>
          </w:p>
        </w:tc>
        <w:tc>
          <w:tcPr>
            <w:tcW w:w="3615" w:type="dxa"/>
            <w:noWrap w:val="0"/>
            <w:vAlign w:val="center"/>
          </w:tcPr>
          <w:p w14:paraId="5A5E759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为最低生活保障家庭中的残疾老年人提供生活补贴，为残疾等级被评定为一级、二级的重度残疾老年人提供护理补贴</w:t>
            </w:r>
          </w:p>
        </w:tc>
        <w:tc>
          <w:tcPr>
            <w:tcW w:w="1290" w:type="dxa"/>
            <w:noWrap w:val="0"/>
            <w:vAlign w:val="center"/>
          </w:tcPr>
          <w:p w14:paraId="14D92E9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4EE8E098">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为残疾老年人提供生活补贴，为重度残疾老年人提供护理补贴，两项补贴均按当年标准发放。</w:t>
            </w:r>
          </w:p>
        </w:tc>
        <w:tc>
          <w:tcPr>
            <w:tcW w:w="1635" w:type="dxa"/>
            <w:noWrap w:val="0"/>
            <w:vAlign w:val="center"/>
          </w:tcPr>
          <w:p w14:paraId="13905F4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2391D17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4C0167C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r w14:paraId="6F3C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0" w:hRule="atLeast"/>
          <w:jc w:val="center"/>
        </w:trPr>
        <w:tc>
          <w:tcPr>
            <w:tcW w:w="1109" w:type="dxa"/>
            <w:noWrap w:val="0"/>
            <w:vAlign w:val="center"/>
          </w:tcPr>
          <w:p w14:paraId="254F398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生活无着的流浪、乞</w:t>
            </w:r>
          </w:p>
          <w:p w14:paraId="41880EA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讨老年人</w:t>
            </w:r>
          </w:p>
        </w:tc>
        <w:tc>
          <w:tcPr>
            <w:tcW w:w="323" w:type="dxa"/>
            <w:noWrap w:val="0"/>
            <w:vAlign w:val="center"/>
          </w:tcPr>
          <w:p w14:paraId="493112B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25</w:t>
            </w:r>
          </w:p>
        </w:tc>
        <w:tc>
          <w:tcPr>
            <w:tcW w:w="1147" w:type="dxa"/>
            <w:noWrap w:val="0"/>
            <w:vAlign w:val="center"/>
          </w:tcPr>
          <w:p w14:paraId="2EED0A2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社会救助</w:t>
            </w:r>
          </w:p>
        </w:tc>
        <w:tc>
          <w:tcPr>
            <w:tcW w:w="3615" w:type="dxa"/>
            <w:noWrap w:val="0"/>
            <w:vAlign w:val="center"/>
          </w:tcPr>
          <w:p w14:paraId="60BAC81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依照有关规定给予救助帮扶</w:t>
            </w:r>
          </w:p>
        </w:tc>
        <w:tc>
          <w:tcPr>
            <w:tcW w:w="1290" w:type="dxa"/>
            <w:noWrap w:val="0"/>
            <w:vAlign w:val="center"/>
          </w:tcPr>
          <w:p w14:paraId="34BB078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物质帮助</w:t>
            </w:r>
          </w:p>
        </w:tc>
        <w:tc>
          <w:tcPr>
            <w:tcW w:w="5745" w:type="dxa"/>
            <w:noWrap w:val="0"/>
            <w:vAlign w:val="center"/>
          </w:tcPr>
          <w:p w14:paraId="118C9D81">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为滞留3个月以上的无户口流浪乞讨老年人办理户口登记，为走失、务工不着、家庭暴力受害人等离家在外的临时遇困老年人提供救助帮扶。</w:t>
            </w:r>
          </w:p>
        </w:tc>
        <w:tc>
          <w:tcPr>
            <w:tcW w:w="1635" w:type="dxa"/>
            <w:noWrap w:val="0"/>
            <w:vAlign w:val="center"/>
          </w:tcPr>
          <w:p w14:paraId="5ACB3C8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各乡镇人民</w:t>
            </w:r>
          </w:p>
          <w:p w14:paraId="3E6DF1C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w:t>
            </w:r>
          </w:p>
        </w:tc>
        <w:tc>
          <w:tcPr>
            <w:tcW w:w="1123" w:type="dxa"/>
            <w:noWrap w:val="0"/>
            <w:vAlign w:val="center"/>
          </w:tcPr>
          <w:p w14:paraId="13160A3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县公安局</w:t>
            </w:r>
          </w:p>
          <w:p w14:paraId="3A08238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县民政局</w:t>
            </w:r>
          </w:p>
        </w:tc>
      </w:tr>
    </w:tbl>
    <w:p w14:paraId="1C5B5628">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仿宋_GB2312" w:hAnsi="仿宋_GB2312" w:eastAsia="仿宋_GB2312" w:cs="仿宋_GB2312"/>
          <w:color w:val="000000"/>
          <w:sz w:val="24"/>
          <w:szCs w:val="24"/>
        </w:rPr>
      </w:pPr>
    </w:p>
    <w:sectPr>
      <w:pgSz w:w="16840" w:h="11780" w:orient="landscape"/>
      <w:pgMar w:top="1700" w:right="1440" w:bottom="1240" w:left="1440" w:header="0"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4AC5F">
    <w:pPr>
      <w:spacing w:line="280" w:lineRule="exact"/>
      <w:jc w:val="cente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FE54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0FE54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Tᣭࡤᷪ〟ᤊ࡭Ḍざᤦࡷḯろ᥃ࢁṑヅᥠࢊṳー᥽࢔ẖㄳẸㅪᦶࢧỚㆢꞄɋỽ㇙᧰ࢻ἟㈐ᨌࣄὂ㉇ᨩ࣎ὤ㉿ᩆࣘᾆ㊶ᩣ࣢ᾩ㋭᩿࣫Ή㌤᪜ࣵ῭㍛᪹ࣿ‐㎓᫕ई′㏊⁔㐁ᬏज⁷㐸ᬬथₙ㑰ᭈय₻㒧᭥ह⃞㓞ᮂू℀㔕ᮟ"/>
  </w:docVars>
  <w:rsids>
    <w:rsidRoot w:val="00BD0BC8"/>
    <w:rsid w:val="00045DEF"/>
    <w:rsid w:val="0007550C"/>
    <w:rsid w:val="000C0904"/>
    <w:rsid w:val="000D6051"/>
    <w:rsid w:val="000E69C1"/>
    <w:rsid w:val="001F6485"/>
    <w:rsid w:val="00220EBA"/>
    <w:rsid w:val="00265631"/>
    <w:rsid w:val="002815CD"/>
    <w:rsid w:val="002926C9"/>
    <w:rsid w:val="0049245C"/>
    <w:rsid w:val="004D6695"/>
    <w:rsid w:val="00676262"/>
    <w:rsid w:val="00697652"/>
    <w:rsid w:val="006D691D"/>
    <w:rsid w:val="007F68E9"/>
    <w:rsid w:val="008B1BD4"/>
    <w:rsid w:val="008D5343"/>
    <w:rsid w:val="008D7A85"/>
    <w:rsid w:val="009608AA"/>
    <w:rsid w:val="00977B52"/>
    <w:rsid w:val="009F0BE0"/>
    <w:rsid w:val="009F5629"/>
    <w:rsid w:val="00A143C2"/>
    <w:rsid w:val="00A46548"/>
    <w:rsid w:val="00A912D5"/>
    <w:rsid w:val="00A94537"/>
    <w:rsid w:val="00B74356"/>
    <w:rsid w:val="00BA6D97"/>
    <w:rsid w:val="00BD0BC8"/>
    <w:rsid w:val="00C3146B"/>
    <w:rsid w:val="00D43BEB"/>
    <w:rsid w:val="00D4716B"/>
    <w:rsid w:val="00DF3DAD"/>
    <w:rsid w:val="00EF5DFF"/>
    <w:rsid w:val="00FD4162"/>
    <w:rsid w:val="05456EA5"/>
    <w:rsid w:val="07582F6A"/>
    <w:rsid w:val="11BA4AC1"/>
    <w:rsid w:val="1A687951"/>
    <w:rsid w:val="1ABB7BD2"/>
    <w:rsid w:val="290B4EAB"/>
    <w:rsid w:val="29A13969"/>
    <w:rsid w:val="29E26AEC"/>
    <w:rsid w:val="2AF93666"/>
    <w:rsid w:val="2B3E51CF"/>
    <w:rsid w:val="2D20637F"/>
    <w:rsid w:val="354C4F77"/>
    <w:rsid w:val="43DB12BC"/>
    <w:rsid w:val="44202202"/>
    <w:rsid w:val="4ECF78AE"/>
    <w:rsid w:val="50F06D74"/>
    <w:rsid w:val="58FC69B8"/>
    <w:rsid w:val="5BB968FD"/>
    <w:rsid w:val="5D7B2B34"/>
    <w:rsid w:val="5E9C4600"/>
    <w:rsid w:val="60174C1A"/>
    <w:rsid w:val="61683C3B"/>
    <w:rsid w:val="622E4D59"/>
    <w:rsid w:val="73B1673D"/>
    <w:rsid w:val="799148A1"/>
    <w:rsid w:val="79B86789"/>
    <w:rsid w:val="BFE78DFB"/>
    <w:rsid w:val="E7BF9E4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rPr>
      <w:rFonts w:ascii="仿宋" w:hAnsi="仿宋" w:eastAsia="仿宋" w:cs="仿宋"/>
      <w:kern w:val="2"/>
      <w:sz w:val="31"/>
      <w:szCs w:val="31"/>
      <w:lang w:eastAsia="en-US"/>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页脚 Char"/>
    <w:basedOn w:val="8"/>
    <w:link w:val="4"/>
    <w:qFormat/>
    <w:uiPriority w:val="0"/>
    <w:rPr>
      <w:sz w:val="18"/>
      <w:szCs w:val="18"/>
    </w:rPr>
  </w:style>
  <w:style w:type="character" w:customStyle="1" w:styleId="10">
    <w:name w:val="页眉 Char"/>
    <w:basedOn w:val="8"/>
    <w:link w:val="5"/>
    <w:qFormat/>
    <w:uiPriority w:val="0"/>
    <w:rPr>
      <w:sz w:val="18"/>
      <w:szCs w:val="18"/>
    </w:rPr>
  </w:style>
  <w:style w:type="character" w:customStyle="1" w:styleId="11">
    <w:name w:val="正文文本 Char"/>
    <w:basedOn w:val="8"/>
    <w:link w:val="3"/>
    <w:qFormat/>
    <w:uiPriority w:val="0"/>
    <w:rPr>
      <w:rFonts w:ascii="仿宋" w:hAnsi="仿宋" w:eastAsia="仿宋" w:cs="仿宋"/>
      <w:kern w:val="2"/>
      <w:sz w:val="31"/>
      <w:szCs w:val="3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8131</Words>
  <Characters>8255</Characters>
  <Lines>64</Lines>
  <Paragraphs>18</Paragraphs>
  <TotalTime>2</TotalTime>
  <ScaleCrop>false</ScaleCrop>
  <LinksUpToDate>false</LinksUpToDate>
  <CharactersWithSpaces>8255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2026-07-29T09:52:00Z</dcterms:created>
  <dc:creator>INTSIG</dc:creator>
  <dc:description>Intsig Word Converter</dc:description>
  <cp:lastModifiedBy>陪瞎子看电影</cp:lastModifiedBy>
  <cp:lastPrinted>2026-08-13T09:16:00Z</cp:lastPrinted>
  <dcterms:modified xsi:type="dcterms:W3CDTF">2026-08-26T03:45:06Z</dcterms:modified>
  <dc:title>wordbuilder</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9C9F0E93D9494BE7851755D498A435F8_13</vt:lpwstr>
  </property>
  <property fmtid="{D5CDD505-2E9C-101B-9397-08002B2CF9AE}" pid="4" name="KSOTemplateDocerSaveRecord">
    <vt:lpwstr>eyJoZGlkIjoiYTAxZTVmMmFkYTQ1YzY2ZDEwMjRkZWM0YTViOTNiMjAiLCJ1c2VySWQiOiIzMzM5MzE0MjgifQ==</vt:lpwstr>
  </property>
</Properties>
</file>