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1CD"/>
  <w:body>
    <w:p w14:paraId="2B8AABD0">
      <w:pPr>
        <w:widowControl/>
        <w:jc w:val="left"/>
        <w:rPr>
          <w:rFonts w:ascii="Times New Roman" w:hAnsi="Times New Roman" w:eastAsia="宋体" w:cs="Times New Roman"/>
          <w:color w:val="000000" w:themeColor="text1"/>
          <w:sz w:val="32"/>
          <w:szCs w:val="32"/>
          <w14:textFill>
            <w14:solidFill>
              <w14:schemeClr w14:val="tx1"/>
            </w14:solidFill>
          </w14:textFill>
        </w:rPr>
      </w:pPr>
      <w:bookmarkStart w:id="79" w:name="_GoBack"/>
      <w:bookmarkEnd w:id="79"/>
      <w:bookmarkStart w:id="0" w:name="_Hlk8504611"/>
    </w:p>
    <w:p w14:paraId="01EE1C2A">
      <w:pPr>
        <w:pStyle w:val="2"/>
        <w:ind w:left="560" w:firstLine="640"/>
        <w:rPr>
          <w:color w:val="000000" w:themeColor="text1"/>
          <w14:textFill>
            <w14:solidFill>
              <w14:schemeClr w14:val="tx1"/>
            </w14:solidFill>
          </w14:textFill>
        </w:rPr>
      </w:pPr>
    </w:p>
    <w:p w14:paraId="26BB2351">
      <w:pPr>
        <w:jc w:val="center"/>
        <w:rPr>
          <w:rFonts w:hint="eastAsia" w:ascii="宋体" w:hAnsi="宋体" w:eastAsia="宋体" w:cs="Times New Roman"/>
          <w:b/>
          <w:bCs/>
          <w:color w:val="000000" w:themeColor="text1"/>
          <w:sz w:val="48"/>
          <w:szCs w:val="48"/>
          <w14:textFill>
            <w14:solidFill>
              <w14:schemeClr w14:val="tx1"/>
            </w14:solidFill>
          </w14:textFill>
        </w:rPr>
      </w:pPr>
    </w:p>
    <w:p w14:paraId="7446ACC5">
      <w:pPr>
        <w:jc w:val="center"/>
        <w:rPr>
          <w:rFonts w:hint="eastAsia" w:ascii="宋体" w:hAnsi="宋体" w:eastAsia="宋体" w:cs="Times New Roman"/>
          <w:b/>
          <w:bCs/>
          <w:color w:val="000000" w:themeColor="text1"/>
          <w:sz w:val="48"/>
          <w:szCs w:val="48"/>
          <w14:textFill>
            <w14:solidFill>
              <w14:schemeClr w14:val="tx1"/>
            </w14:solidFill>
          </w14:textFill>
        </w:rPr>
      </w:pPr>
    </w:p>
    <w:p w14:paraId="565F0A4F">
      <w:pPr>
        <w:jc w:val="center"/>
        <w:rPr>
          <w:rFonts w:hint="eastAsia" w:ascii="宋体" w:hAnsi="宋体" w:eastAsia="宋体" w:cs="Times New Roman"/>
          <w:b/>
          <w:bCs/>
          <w:color w:val="000000" w:themeColor="text1"/>
          <w:sz w:val="48"/>
          <w:szCs w:val="48"/>
          <w14:textFill>
            <w14:solidFill>
              <w14:schemeClr w14:val="tx1"/>
            </w14:solidFill>
          </w14:textFill>
        </w:rPr>
      </w:pPr>
    </w:p>
    <w:p w14:paraId="171B6593">
      <w:pPr>
        <w:jc w:val="center"/>
        <w:rPr>
          <w:rFonts w:hint="eastAsia" w:ascii="宋体" w:hAnsi="宋体" w:eastAsia="宋体" w:cs="Times New Roman"/>
          <w:b/>
          <w:bCs/>
          <w:color w:val="000000" w:themeColor="text1"/>
          <w:sz w:val="48"/>
          <w:szCs w:val="48"/>
          <w14:textFill>
            <w14:solidFill>
              <w14:schemeClr w14:val="tx1"/>
            </w14:solidFill>
          </w14:textFill>
        </w:rPr>
      </w:pPr>
      <w:bookmarkStart w:id="1" w:name="_Hlk127967686"/>
      <w:r>
        <w:rPr>
          <w:rFonts w:hint="eastAsia" w:ascii="宋体" w:hAnsi="宋体" w:eastAsia="宋体" w:cs="Times New Roman"/>
          <w:b/>
          <w:bCs/>
          <w:color w:val="000000" w:themeColor="text1"/>
          <w:sz w:val="48"/>
          <w:szCs w:val="48"/>
          <w14:textFill>
            <w14:solidFill>
              <w14:schemeClr w14:val="tx1"/>
            </w14:solidFill>
          </w14:textFill>
        </w:rPr>
        <w:t>双牌产业开发区</w:t>
      </w:r>
      <w:bookmarkEnd w:id="1"/>
      <w:r>
        <w:rPr>
          <w:rFonts w:hint="eastAsia" w:ascii="宋体" w:hAnsi="宋体" w:eastAsia="宋体" w:cs="Times New Roman"/>
          <w:b/>
          <w:bCs/>
          <w:color w:val="000000" w:themeColor="text1"/>
          <w:sz w:val="48"/>
          <w:szCs w:val="48"/>
          <w14:textFill>
            <w14:solidFill>
              <w14:schemeClr w14:val="tx1"/>
            </w14:solidFill>
          </w14:textFill>
        </w:rPr>
        <w:t>生态环境管理</w:t>
      </w:r>
    </w:p>
    <w:p w14:paraId="111468F6">
      <w:pPr>
        <w:jc w:val="center"/>
        <w:rPr>
          <w:rFonts w:hint="eastAsia" w:ascii="宋体" w:hAnsi="宋体" w:eastAsia="宋体" w:cs="Times New Roman"/>
          <w:b/>
          <w:bCs/>
          <w:color w:val="000000" w:themeColor="text1"/>
          <w:sz w:val="48"/>
          <w:szCs w:val="48"/>
          <w14:textFill>
            <w14:solidFill>
              <w14:schemeClr w14:val="tx1"/>
            </w14:solidFill>
          </w14:textFill>
        </w:rPr>
      </w:pPr>
      <w:r>
        <w:rPr>
          <w:rFonts w:ascii="宋体" w:hAnsi="宋体" w:eastAsia="宋体" w:cs="Times New Roman"/>
          <w:b/>
          <w:bCs/>
          <w:color w:val="000000" w:themeColor="text1"/>
          <w:sz w:val="48"/>
          <w:szCs w:val="48"/>
          <w14:textFill>
            <w14:solidFill>
              <w14:schemeClr w14:val="tx1"/>
            </w14:solidFill>
          </w14:textFill>
        </w:rPr>
        <w:t>202</w:t>
      </w:r>
      <w:r>
        <w:rPr>
          <w:rFonts w:hint="eastAsia" w:ascii="宋体" w:hAnsi="宋体" w:eastAsia="宋体" w:cs="Times New Roman"/>
          <w:b/>
          <w:bCs/>
          <w:color w:val="000000" w:themeColor="text1"/>
          <w:sz w:val="48"/>
          <w:szCs w:val="48"/>
          <w14:textFill>
            <w14:solidFill>
              <w14:schemeClr w14:val="tx1"/>
            </w14:solidFill>
          </w14:textFill>
        </w:rPr>
        <w:t>5</w:t>
      </w:r>
      <w:r>
        <w:rPr>
          <w:rFonts w:ascii="宋体" w:hAnsi="宋体" w:eastAsia="宋体" w:cs="Times New Roman"/>
          <w:b/>
          <w:bCs/>
          <w:color w:val="000000" w:themeColor="text1"/>
          <w:sz w:val="48"/>
          <w:szCs w:val="48"/>
          <w14:textFill>
            <w14:solidFill>
              <w14:schemeClr w14:val="tx1"/>
            </w14:solidFill>
          </w14:textFill>
        </w:rPr>
        <w:t>年度</w:t>
      </w:r>
      <w:r>
        <w:rPr>
          <w:rFonts w:hint="eastAsia" w:ascii="宋体" w:hAnsi="宋体" w:eastAsia="宋体" w:cs="Times New Roman"/>
          <w:b/>
          <w:bCs/>
          <w:color w:val="000000" w:themeColor="text1"/>
          <w:sz w:val="48"/>
          <w:szCs w:val="48"/>
          <w14:textFill>
            <w14:solidFill>
              <w14:schemeClr w14:val="tx1"/>
            </w14:solidFill>
          </w14:textFill>
        </w:rPr>
        <w:t>自评估</w:t>
      </w:r>
      <w:r>
        <w:rPr>
          <w:rFonts w:ascii="宋体" w:hAnsi="宋体" w:eastAsia="宋体" w:cs="Times New Roman"/>
          <w:b/>
          <w:bCs/>
          <w:color w:val="000000" w:themeColor="text1"/>
          <w:sz w:val="48"/>
          <w:szCs w:val="48"/>
          <w14:textFill>
            <w14:solidFill>
              <w14:schemeClr w14:val="tx1"/>
            </w14:solidFill>
          </w14:textFill>
        </w:rPr>
        <w:t>报告</w:t>
      </w:r>
    </w:p>
    <w:p w14:paraId="570B4D74">
      <w:pPr>
        <w:pStyle w:val="2"/>
        <w:ind w:left="560" w:firstLine="640"/>
        <w:rPr>
          <w:color w:val="000000" w:themeColor="text1"/>
          <w14:textFill>
            <w14:solidFill>
              <w14:schemeClr w14:val="tx1"/>
            </w14:solidFill>
          </w14:textFill>
        </w:rPr>
      </w:pPr>
    </w:p>
    <w:p w14:paraId="67A73BCC">
      <w:pPr>
        <w:pStyle w:val="2"/>
        <w:ind w:left="560" w:firstLine="640"/>
        <w:rPr>
          <w:color w:val="000000" w:themeColor="text1"/>
          <w14:textFill>
            <w14:solidFill>
              <w14:schemeClr w14:val="tx1"/>
            </w14:solidFill>
          </w14:textFill>
        </w:rPr>
      </w:pPr>
    </w:p>
    <w:p w14:paraId="15ADE717">
      <w:pPr>
        <w:pStyle w:val="2"/>
        <w:ind w:left="560" w:firstLine="640"/>
        <w:rPr>
          <w:color w:val="000000" w:themeColor="text1"/>
          <w14:textFill>
            <w14:solidFill>
              <w14:schemeClr w14:val="tx1"/>
            </w14:solidFill>
          </w14:textFill>
        </w:rPr>
      </w:pPr>
    </w:p>
    <w:p w14:paraId="4B8718FF">
      <w:pPr>
        <w:pStyle w:val="2"/>
        <w:ind w:left="560" w:firstLine="640"/>
        <w:rPr>
          <w:color w:val="000000" w:themeColor="text1"/>
          <w14:textFill>
            <w14:solidFill>
              <w14:schemeClr w14:val="tx1"/>
            </w14:solidFill>
          </w14:textFill>
        </w:rPr>
      </w:pPr>
    </w:p>
    <w:p w14:paraId="18D6DEF5">
      <w:pPr>
        <w:pStyle w:val="2"/>
        <w:ind w:left="560" w:firstLine="640"/>
        <w:rPr>
          <w:color w:val="000000" w:themeColor="text1"/>
          <w14:textFill>
            <w14:solidFill>
              <w14:schemeClr w14:val="tx1"/>
            </w14:solidFill>
          </w14:textFill>
        </w:rPr>
      </w:pPr>
    </w:p>
    <w:p w14:paraId="06341B33">
      <w:pPr>
        <w:pStyle w:val="2"/>
        <w:ind w:left="560" w:firstLine="640"/>
        <w:rPr>
          <w:color w:val="000000" w:themeColor="text1"/>
          <w14:textFill>
            <w14:solidFill>
              <w14:schemeClr w14:val="tx1"/>
            </w14:solidFill>
          </w14:textFill>
        </w:rPr>
      </w:pPr>
    </w:p>
    <w:p w14:paraId="18041DDD">
      <w:pPr>
        <w:pStyle w:val="2"/>
        <w:ind w:left="560" w:firstLine="640"/>
        <w:rPr>
          <w:color w:val="000000" w:themeColor="text1"/>
          <w14:textFill>
            <w14:solidFill>
              <w14:schemeClr w14:val="tx1"/>
            </w14:solidFill>
          </w14:textFill>
        </w:rPr>
      </w:pPr>
    </w:p>
    <w:p w14:paraId="70FA72CF">
      <w:pPr>
        <w:pStyle w:val="2"/>
        <w:ind w:left="560" w:firstLine="640"/>
        <w:rPr>
          <w:color w:val="000000" w:themeColor="text1"/>
          <w14:textFill>
            <w14:solidFill>
              <w14:schemeClr w14:val="tx1"/>
            </w14:solidFill>
          </w14:textFill>
        </w:rPr>
      </w:pPr>
    </w:p>
    <w:p w14:paraId="531372FF">
      <w:pPr>
        <w:pStyle w:val="2"/>
        <w:ind w:left="560" w:firstLine="640"/>
        <w:rPr>
          <w:color w:val="000000" w:themeColor="text1"/>
          <w14:textFill>
            <w14:solidFill>
              <w14:schemeClr w14:val="tx1"/>
            </w14:solidFill>
          </w14:textFill>
        </w:rPr>
      </w:pPr>
    </w:p>
    <w:p w14:paraId="2C2F8DF5">
      <w:pPr>
        <w:pStyle w:val="2"/>
        <w:ind w:left="560" w:firstLine="640"/>
        <w:rPr>
          <w:color w:val="000000" w:themeColor="text1"/>
          <w14:textFill>
            <w14:solidFill>
              <w14:schemeClr w14:val="tx1"/>
            </w14:solidFill>
          </w14:textFill>
        </w:rPr>
      </w:pPr>
    </w:p>
    <w:p w14:paraId="3765CA5E">
      <w:pPr>
        <w:pStyle w:val="2"/>
        <w:ind w:left="560" w:firstLine="640"/>
        <w:rPr>
          <w:color w:val="000000" w:themeColor="text1"/>
          <w14:textFill>
            <w14:solidFill>
              <w14:schemeClr w14:val="tx1"/>
            </w14:solidFill>
          </w14:textFill>
        </w:rPr>
      </w:pPr>
    </w:p>
    <w:p w14:paraId="5711543C">
      <w:pPr>
        <w:pStyle w:val="2"/>
        <w:spacing w:after="120"/>
        <w:ind w:left="560" w:firstLine="64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编制单位：双牌产业开发区管理委员会</w:t>
      </w:r>
    </w:p>
    <w:p w14:paraId="4ED964B4">
      <w:pPr>
        <w:pStyle w:val="2"/>
        <w:ind w:firstLine="0" w:firstLineChars="0"/>
        <w:jc w:val="center"/>
        <w:rPr>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color w:val="000000" w:themeColor="text1"/>
          <w14:textFill>
            <w14:solidFill>
              <w14:schemeClr w14:val="tx1"/>
            </w14:solidFill>
          </w14:textFill>
        </w:rPr>
        <w:t>202</w:t>
      </w:r>
      <w:r>
        <w:rPr>
          <w:rFonts w:hint="eastAsia" w:ascii="Cambria" w:hAnsi="Cambria"/>
          <w:color w:val="000000" w:themeColor="text1"/>
          <w14:textFill>
            <w14:solidFill>
              <w14:schemeClr w14:val="tx1"/>
            </w14:solidFill>
          </w14:textFill>
        </w:rPr>
        <w:t>6</w:t>
      </w:r>
      <w:r>
        <w:rPr>
          <w:color w:val="000000" w:themeColor="text1"/>
          <w14:textFill>
            <w14:solidFill>
              <w14:schemeClr w14:val="tx1"/>
            </w14:solidFill>
          </w14:textFill>
        </w:rPr>
        <w:t xml:space="preserve">年 </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月</w:t>
      </w:r>
    </w:p>
    <w:sdt>
      <w:sdtPr>
        <w:rPr>
          <w:rFonts w:ascii="Times New Roman" w:hAnsi="Times New Roman" w:eastAsia="宋体" w:cs="Times New Roman"/>
          <w:color w:val="000000" w:themeColor="text1"/>
          <w:sz w:val="21"/>
          <w:lang w:val="zh-CN"/>
          <w14:textFill>
            <w14:solidFill>
              <w14:schemeClr w14:val="tx1"/>
            </w14:solidFill>
          </w14:textFill>
        </w:rPr>
        <w:id w:val="739522974"/>
        <w:docPartObj>
          <w:docPartGallery w:val="Table of Contents"/>
          <w:docPartUnique/>
        </w:docPartObj>
      </w:sdtPr>
      <w:sdtEndPr>
        <w:rPr>
          <w:rFonts w:ascii="Times New Roman" w:hAnsi="Times New Roman" w:eastAsia="宋体" w:cs="Times New Roman"/>
          <w:b/>
          <w:bCs/>
          <w:color w:val="000000" w:themeColor="text1"/>
          <w:sz w:val="21"/>
          <w:lang w:val="zh-CN"/>
          <w14:textFill>
            <w14:solidFill>
              <w14:schemeClr w14:val="tx1"/>
            </w14:solidFill>
          </w14:textFill>
        </w:rPr>
      </w:sdtEndPr>
      <w:sdtContent>
        <w:p w14:paraId="04F91E3E">
          <w:pPr>
            <w:keepNext/>
            <w:keepLines/>
            <w:widowControl/>
            <w:spacing w:before="240" w:line="259" w:lineRule="auto"/>
            <w:jc w:val="center"/>
            <w:rPr>
              <w:rFonts w:ascii="Times New Roman" w:hAnsi="Times New Roman" w:eastAsia="宋体" w:cs="Times New Roman"/>
              <w:color w:val="000000" w:themeColor="text1"/>
              <w:kern w:val="0"/>
              <w:sz w:val="32"/>
              <w:szCs w:val="32"/>
              <w14:textFill>
                <w14:solidFill>
                  <w14:schemeClr w14:val="tx1"/>
                </w14:solidFill>
              </w14:textFill>
            </w:rPr>
          </w:pPr>
          <w:r>
            <w:rPr>
              <w:rFonts w:ascii="Times New Roman" w:hAnsi="Times New Roman" w:eastAsia="宋体" w:cs="Times New Roman"/>
              <w:color w:val="000000" w:themeColor="text1"/>
              <w:kern w:val="0"/>
              <w:sz w:val="32"/>
              <w:szCs w:val="32"/>
              <w:lang w:val="zh-CN"/>
              <w14:textFill>
                <w14:solidFill>
                  <w14:schemeClr w14:val="tx1"/>
                </w14:solidFill>
              </w14:textFill>
            </w:rPr>
            <w:t>目  录</w:t>
          </w:r>
        </w:p>
        <w:p w14:paraId="6409E39F">
          <w:pPr>
            <w:pStyle w:val="17"/>
            <w:tabs>
              <w:tab w:val="right" w:leader="dot" w:pos="8540"/>
            </w:tabs>
            <w:rPr>
              <w:rFonts w:hint="eastAsia"/>
              <w:color w:val="000000" w:themeColor="text1"/>
              <w:sz w:val="21"/>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fldChar w:fldCharType="begin"/>
          </w:r>
          <w:r>
            <w:rPr>
              <w:rFonts w:ascii="Times New Roman" w:hAnsi="Times New Roman" w:eastAsia="宋体" w:cs="Times New Roman"/>
              <w:color w:val="000000" w:themeColor="text1"/>
              <w:kern w:val="0"/>
              <w:sz w:val="22"/>
              <w14:textFill>
                <w14:solidFill>
                  <w14:schemeClr w14:val="tx1"/>
                </w14:solidFill>
              </w14:textFill>
            </w:rPr>
            <w:instrText xml:space="preserve"> TOC \o "1-3" \h \z \u </w:instrText>
          </w:r>
          <w:r>
            <w:rPr>
              <w:rFonts w:ascii="Times New Roman" w:hAnsi="Times New Roman" w:eastAsia="宋体" w:cs="Times New Roman"/>
              <w:color w:val="000000" w:themeColor="text1"/>
              <w:kern w:val="0"/>
              <w:sz w:val="2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"_Toc128039330" </w:instrText>
          </w:r>
          <w:r>
            <w:rPr>
              <w:color w:val="000000" w:themeColor="text1"/>
              <w14:textFill>
                <w14:solidFill>
                  <w14:schemeClr w14:val="tx1"/>
                </w14:solidFill>
              </w14:textFill>
            </w:rPr>
            <w:fldChar w:fldCharType="separate"/>
          </w:r>
          <w:r>
            <w:rPr>
              <w:rStyle w:val="26"/>
              <w:color w:val="000000" w:themeColor="text1"/>
              <w14:textFill>
                <w14:solidFill>
                  <w14:schemeClr w14:val="tx1"/>
                </w14:solidFill>
              </w14:textFill>
            </w:rPr>
            <w:t>一、园区概况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6E4651">
          <w:pPr>
            <w:pStyle w:val="17"/>
            <w:tabs>
              <w:tab w:val="right" w:leader="dot" w:pos="8540"/>
            </w:tabs>
            <w:rPr>
              <w:rFonts w:hint="eastAsia"/>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"_Toc128039331" </w:instrText>
          </w:r>
          <w:r>
            <w:rPr>
              <w:color w:val="000000" w:themeColor="text1"/>
              <w14:textFill>
                <w14:solidFill>
                  <w14:schemeClr w14:val="tx1"/>
                </w14:solidFill>
              </w14:textFill>
            </w:rPr>
            <w:fldChar w:fldCharType="separate"/>
          </w:r>
          <w:r>
            <w:rPr>
              <w:rStyle w:val="26"/>
              <w:color w:val="000000" w:themeColor="text1"/>
              <w14:textFill>
                <w14:solidFill>
                  <w14:schemeClr w14:val="tx1"/>
                </w14:solidFill>
              </w14:textFill>
            </w:rPr>
            <w:t>二、环境管理情况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8C7F6C">
          <w:pPr>
            <w:pStyle w:val="17"/>
            <w:tabs>
              <w:tab w:val="right" w:leader="dot" w:pos="8540"/>
            </w:tabs>
            <w:rPr>
              <w:rFonts w:hint="eastAsia"/>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"_Toc128039332" </w:instrText>
          </w:r>
          <w:r>
            <w:rPr>
              <w:color w:val="000000" w:themeColor="text1"/>
              <w14:textFill>
                <w14:solidFill>
                  <w14:schemeClr w14:val="tx1"/>
                </w14:solidFill>
              </w14:textFill>
            </w:rPr>
            <w:fldChar w:fldCharType="separate"/>
          </w:r>
          <w:r>
            <w:rPr>
              <w:rStyle w:val="26"/>
              <w:color w:val="000000" w:themeColor="text1"/>
              <w14:textFill>
                <w14:solidFill>
                  <w14:schemeClr w14:val="tx1"/>
                </w14:solidFill>
              </w14:textFill>
            </w:rPr>
            <w:t>三、园区环保工作成效、主要措施做法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011E96">
          <w:pPr>
            <w:pStyle w:val="17"/>
            <w:tabs>
              <w:tab w:val="right" w:leader="dot" w:pos="8540"/>
            </w:tabs>
            <w:rPr>
              <w:rFonts w:hint="eastAsia"/>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"_Toc128039333" </w:instrText>
          </w:r>
          <w:r>
            <w:rPr>
              <w:color w:val="000000" w:themeColor="text1"/>
              <w14:textFill>
                <w14:solidFill>
                  <w14:schemeClr w14:val="tx1"/>
                </w14:solidFill>
              </w14:textFill>
            </w:rPr>
            <w:fldChar w:fldCharType="separate"/>
          </w:r>
          <w:r>
            <w:rPr>
              <w:rStyle w:val="26"/>
              <w:color w:val="000000" w:themeColor="text1"/>
              <w14:textFill>
                <w14:solidFill>
                  <w14:schemeClr w14:val="tx1"/>
                </w14:solidFill>
              </w14:textFill>
            </w:rPr>
            <w:t>四、园区生态环境管理存在主要问题和难题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5FF3DDB">
          <w:pPr>
            <w:pStyle w:val="17"/>
            <w:tabs>
              <w:tab w:val="right" w:leader="dot" w:pos="8540"/>
            </w:tabs>
            <w:rPr>
              <w:rFonts w:hint="eastAsia"/>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"_Toc128039334" </w:instrText>
          </w:r>
          <w:r>
            <w:rPr>
              <w:color w:val="000000" w:themeColor="text1"/>
              <w14:textFill>
                <w14:solidFill>
                  <w14:schemeClr w14:val="tx1"/>
                </w14:solidFill>
              </w14:textFill>
            </w:rPr>
            <w:fldChar w:fldCharType="separate"/>
          </w:r>
          <w:r>
            <w:rPr>
              <w:rStyle w:val="26"/>
              <w:color w:val="000000" w:themeColor="text1"/>
              <w14:textFill>
                <w14:solidFill>
                  <w14:schemeClr w14:val="tx1"/>
                </w14:solidFill>
              </w14:textFill>
            </w:rPr>
            <w:t>五、下一步工作计划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F4BA79">
          <w:pP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bCs/>
              <w:color w:val="000000" w:themeColor="text1"/>
              <w:sz w:val="21"/>
              <w:lang w:val="zh-CN"/>
              <w14:textFill>
                <w14:solidFill>
                  <w14:schemeClr w14:val="tx1"/>
                </w14:solidFill>
              </w14:textFill>
            </w:rPr>
            <w:fldChar w:fldCharType="end"/>
          </w:r>
        </w:p>
      </w:sdtContent>
    </w:sdt>
    <w:p w14:paraId="06A28B7A">
      <w:pPr>
        <w:widowControl/>
        <w:jc w:val="left"/>
        <w:rPr>
          <w:rFonts w:ascii="Times New Roman" w:hAnsi="Times New Roman" w:eastAsia="宋体" w:cs="Times New Roman"/>
          <w:b/>
          <w:bCs/>
          <w:color w:val="000000" w:themeColor="text1"/>
          <w:kern w:val="0"/>
          <w:sz w:val="32"/>
          <w:szCs w:val="32"/>
          <w14:textFill>
            <w14:solidFill>
              <w14:schemeClr w14:val="tx1"/>
            </w14:solidFill>
          </w14:textFill>
        </w:rPr>
        <w:sectPr>
          <w:footerReference r:id="rId5" w:type="default"/>
          <w:pgSz w:w="11906" w:h="16838"/>
          <w:pgMar w:top="1440" w:right="1797" w:bottom="1440" w:left="1559" w:header="851" w:footer="992" w:gutter="0"/>
          <w:pgNumType w:start="1"/>
          <w:cols w:space="425" w:num="1"/>
          <w:docGrid w:type="lines" w:linePitch="312" w:charSpace="0"/>
        </w:sectPr>
      </w:pPr>
      <w:r>
        <w:rPr>
          <w:rFonts w:ascii="Times New Roman" w:hAnsi="Times New Roman" w:eastAsia="宋体" w:cs="Times New Roman"/>
          <w:b/>
          <w:bCs/>
          <w:color w:val="000000" w:themeColor="text1"/>
          <w:kern w:val="0"/>
          <w:sz w:val="32"/>
          <w:szCs w:val="32"/>
          <w14:textFill>
            <w14:solidFill>
              <w14:schemeClr w14:val="tx1"/>
            </w14:solidFill>
          </w14:textFill>
        </w:rPr>
        <w:br w:type="page"/>
      </w:r>
    </w:p>
    <w:p w14:paraId="24CD80CB">
      <w:pPr>
        <w:jc w:val="cente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pPr>
      <w:r>
        <w:rPr>
          <w:rFonts w:ascii="方正小标宋_GBK" w:hAnsi="方正小标宋_GBK" w:eastAsia="方正小标宋_GBK" w:cs="方正小标宋_GBK"/>
          <w:color w:val="000000" w:themeColor="text1"/>
          <w:spacing w:val="28"/>
          <w:sz w:val="40"/>
          <w:szCs w:val="40"/>
          <w14:textFill>
            <w14:solidFill>
              <w14:schemeClr w14:val="tx1"/>
            </w14:solidFill>
          </w14:textFill>
        </w:rPr>
        <w:t>双牌产业开发区生态环境</w:t>
      </w:r>
      <w: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t>保护</w:t>
      </w:r>
      <w:r>
        <w:rPr>
          <w:rFonts w:ascii="方正小标宋_GBK" w:hAnsi="方正小标宋_GBK" w:eastAsia="方正小标宋_GBK" w:cs="方正小标宋_GBK"/>
          <w:color w:val="000000" w:themeColor="text1"/>
          <w:spacing w:val="28"/>
          <w:sz w:val="40"/>
          <w:szCs w:val="40"/>
          <w14:textFill>
            <w14:solidFill>
              <w14:schemeClr w14:val="tx1"/>
            </w14:solidFill>
          </w14:textFill>
        </w:rPr>
        <w:t>202</w:t>
      </w:r>
      <w: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t>5</w:t>
      </w:r>
      <w:r>
        <w:rPr>
          <w:rFonts w:ascii="方正小标宋_GBK" w:hAnsi="方正小标宋_GBK" w:eastAsia="方正小标宋_GBK" w:cs="方正小标宋_GBK"/>
          <w:color w:val="000000" w:themeColor="text1"/>
          <w:spacing w:val="28"/>
          <w:sz w:val="40"/>
          <w:szCs w:val="40"/>
          <w14:textFill>
            <w14:solidFill>
              <w14:schemeClr w14:val="tx1"/>
            </w14:solidFill>
          </w14:textFill>
        </w:rPr>
        <w:t>年度</w:t>
      </w:r>
    </w:p>
    <w:p w14:paraId="7AD2AB6F">
      <w:pPr>
        <w:jc w:val="center"/>
        <w:rPr>
          <w:rFonts w:ascii="Times New Roman" w:hAnsi="Times New Roman" w:eastAsia="宋体" w:cs="Times New Roman"/>
          <w:color w:val="000000" w:themeColor="text1"/>
          <w:spacing w:val="28"/>
          <w:sz w:val="36"/>
          <w:szCs w:val="36"/>
          <w14:textFill>
            <w14:solidFill>
              <w14:schemeClr w14:val="tx1"/>
            </w14:solidFill>
          </w14:textFill>
        </w:rPr>
      </w:pPr>
      <w:r>
        <w:rPr>
          <w:rFonts w:ascii="方正小标宋_GBK" w:hAnsi="方正小标宋_GBK" w:eastAsia="方正小标宋_GBK" w:cs="方正小标宋_GBK"/>
          <w:color w:val="000000" w:themeColor="text1"/>
          <w:spacing w:val="28"/>
          <w:sz w:val="40"/>
          <w:szCs w:val="40"/>
          <w14:textFill>
            <w14:solidFill>
              <w14:schemeClr w14:val="tx1"/>
            </w14:solidFill>
          </w14:textFill>
        </w:rPr>
        <w:t>自评估报告</w:t>
      </w:r>
    </w:p>
    <w:p w14:paraId="7F07AA4C">
      <w:pPr>
        <w:pStyle w:val="4"/>
        <w:ind w:firstLine="640"/>
        <w:rPr>
          <w:color w:val="000000" w:themeColor="text1"/>
          <w14:textFill>
            <w14:solidFill>
              <w14:schemeClr w14:val="tx1"/>
            </w14:solidFill>
          </w14:textFill>
        </w:rPr>
      </w:pPr>
      <w:bookmarkStart w:id="2" w:name="_Toc128039330"/>
      <w:r>
        <w:rPr>
          <w:color w:val="000000" w:themeColor="text1"/>
          <w14:textFill>
            <w14:solidFill>
              <w14:schemeClr w14:val="tx1"/>
            </w14:solidFill>
          </w14:textFill>
        </w:rPr>
        <w:t>一、园区概况</w:t>
      </w:r>
      <w:bookmarkEnd w:id="2"/>
    </w:p>
    <w:p w14:paraId="641D11E1">
      <w:pPr>
        <w:pStyle w:val="2"/>
        <w:ind w:firstLine="640"/>
        <w:rPr>
          <w:rFonts w:hint="eastAsia" w:ascii="仿宋_GB2312" w:hAnsi="仿宋_GB2312" w:cs="仿宋_GB2312"/>
          <w:color w:val="000000" w:themeColor="text1"/>
          <w:szCs w:val="32"/>
          <w14:textFill>
            <w14:solidFill>
              <w14:schemeClr w14:val="tx1"/>
            </w14:solidFill>
          </w14:textFill>
        </w:rPr>
      </w:pPr>
      <w:bookmarkStart w:id="3" w:name="_Hlk67420978"/>
      <w:r>
        <w:rPr>
          <w:rFonts w:hint="eastAsia" w:ascii="仿宋_GB2312" w:hAnsi="仿宋_GB2312" w:cs="仿宋_GB2312"/>
          <w:color w:val="000000" w:themeColor="text1"/>
          <w:szCs w:val="32"/>
          <w:u w:val="single"/>
          <w14:textFill>
            <w14:solidFill>
              <w14:schemeClr w14:val="tx1"/>
            </w14:solidFill>
          </w14:textFill>
        </w:rPr>
        <w:t>双牌产业开发区（原双牌工业集中区）</w:t>
      </w:r>
      <w:r>
        <w:rPr>
          <w:rFonts w:hint="eastAsia" w:ascii="仿宋_GB2312" w:hAnsi="仿宋_GB2312" w:cs="仿宋_GB2312"/>
          <w:color w:val="000000" w:themeColor="text1"/>
          <w:szCs w:val="32"/>
          <w14:textFill>
            <w14:solidFill>
              <w14:schemeClr w14:val="tx1"/>
            </w14:solidFill>
          </w14:textFill>
        </w:rPr>
        <w:t>位于永州市双牌县，园区代码</w:t>
      </w:r>
      <w:r>
        <w:rPr>
          <w:rFonts w:hint="eastAsia" w:ascii="仿宋_GB2312" w:hAnsi="仿宋_GB2312" w:cs="仿宋_GB2312"/>
          <w:color w:val="000000" w:themeColor="text1"/>
          <w:szCs w:val="32"/>
          <w:u w:val="single"/>
          <w14:textFill>
            <w14:solidFill>
              <w14:schemeClr w14:val="tx1"/>
            </w14:solidFill>
          </w14:textFill>
        </w:rPr>
        <w:t>S439101</w:t>
      </w:r>
      <w:r>
        <w:rPr>
          <w:rFonts w:hint="eastAsia" w:ascii="仿宋_GB2312" w:hAnsi="仿宋_GB2312" w:cs="仿宋_GB2312"/>
          <w:color w:val="000000" w:themeColor="text1"/>
          <w:szCs w:val="32"/>
          <w14:textFill>
            <w14:solidFill>
              <w14:schemeClr w14:val="tx1"/>
            </w14:solidFill>
          </w14:textFill>
        </w:rPr>
        <w:t>，园区级别为</w:t>
      </w:r>
      <w:r>
        <w:rPr>
          <w:rFonts w:hint="eastAsia" w:ascii="仿宋_GB2312" w:hAnsi="仿宋_GB2312" w:cs="仿宋_GB2312"/>
          <w:color w:val="000000" w:themeColor="text1"/>
          <w:szCs w:val="32"/>
          <w:u w:val="single"/>
          <w14:textFill>
            <w14:solidFill>
              <w14:schemeClr w14:val="tx1"/>
            </w14:solidFill>
          </w14:textFill>
        </w:rPr>
        <w:t>省级</w:t>
      </w:r>
      <w:r>
        <w:rPr>
          <w:rFonts w:hint="eastAsia" w:ascii="仿宋_GB2312" w:hAnsi="仿宋_GB2312" w:cs="仿宋_GB2312"/>
          <w:color w:val="000000" w:themeColor="text1"/>
          <w:szCs w:val="32"/>
          <w14:textFill>
            <w14:solidFill>
              <w14:schemeClr w14:val="tx1"/>
            </w14:solidFill>
          </w14:textFill>
        </w:rPr>
        <w:t>工业园区。根据湘环评〔2012〕335号，园区主导产业为农林产品加工、生物医药、食品加工业三大支柱产业、辅以发展电子信息产业；根据六部委公告2018年第4号，园区主导产业为农林产品加工、医药、化工；根据湘发改地区〔2021﹞394号，园区主导产业为农林产品深加工(生物医药)，特色产业为新能源新材料；根据关于优化调整《湖南省省级及以上产业园区主特产业指导目录》的通知（湘工信产业集聚〔2025〕460号），园区主导产业为木材加工和木、竹、藤、棕、草制品业，特色产业为化学原料和化学制品制造业。核准范围面积为</w:t>
      </w:r>
      <w:r>
        <w:rPr>
          <w:rFonts w:hint="eastAsia" w:ascii="仿宋_GB2312" w:hAnsi="仿宋_GB2312" w:cs="仿宋_GB2312"/>
          <w:color w:val="000000" w:themeColor="text1"/>
          <w:szCs w:val="32"/>
          <w:u w:val="single"/>
          <w14:textFill>
            <w14:solidFill>
              <w14:schemeClr w14:val="tx1"/>
            </w14:solidFill>
          </w14:textFill>
        </w:rPr>
        <w:t>1.1851km</w:t>
      </w:r>
      <w:r>
        <w:rPr>
          <w:rFonts w:hint="eastAsia" w:ascii="仿宋_GB2312" w:hAnsi="仿宋_GB2312" w:cs="仿宋_GB2312"/>
          <w:color w:val="000000" w:themeColor="text1"/>
          <w:szCs w:val="32"/>
          <w:u w:val="single"/>
          <w:vertAlign w:val="superscript"/>
          <w14:textFill>
            <w14:solidFill>
              <w14:schemeClr w14:val="tx1"/>
            </w14:solidFill>
          </w14:textFill>
        </w:rPr>
        <w:t>2</w:t>
      </w:r>
      <w:r>
        <w:rPr>
          <w:rFonts w:hint="eastAsia" w:ascii="仿宋_GB2312" w:hAnsi="仿宋_GB2312" w:cs="仿宋_GB2312"/>
          <w:color w:val="000000" w:themeColor="text1"/>
          <w:szCs w:val="32"/>
          <w:u w:val="single"/>
          <w14:textFill>
            <w14:solidFill>
              <w14:schemeClr w14:val="tx1"/>
            </w14:solidFill>
          </w14:textFill>
        </w:rPr>
        <w:t>（</w:t>
      </w:r>
      <w:bookmarkStart w:id="4" w:name="_Hlk126309501"/>
      <w:r>
        <w:rPr>
          <w:rFonts w:hint="eastAsia" w:ascii="仿宋_GB2312" w:hAnsi="仿宋_GB2312" w:cs="仿宋_GB2312"/>
          <w:color w:val="000000" w:themeColor="text1"/>
          <w:szCs w:val="32"/>
          <w:u w:val="single"/>
          <w14:textFill>
            <w14:solidFill>
              <w14:schemeClr w14:val="tx1"/>
            </w14:solidFill>
          </w14:textFill>
        </w:rPr>
        <w:t>中国开发区审核公告目录2018年版</w:t>
      </w:r>
      <w:bookmarkEnd w:id="4"/>
      <w:r>
        <w:rPr>
          <w:rFonts w:hint="eastAsia" w:ascii="仿宋_GB2312" w:hAnsi="仿宋_GB2312" w:cs="仿宋_GB2312"/>
          <w:color w:val="000000" w:themeColor="text1"/>
          <w:szCs w:val="32"/>
          <w:u w:val="single"/>
          <w14:textFill>
            <w14:solidFill>
              <w14:schemeClr w14:val="tx1"/>
            </w14:solidFill>
          </w14:textFill>
        </w:rPr>
        <w:t>）；1.6901km</w:t>
      </w:r>
      <w:r>
        <w:rPr>
          <w:rFonts w:hint="eastAsia" w:ascii="仿宋_GB2312" w:hAnsi="仿宋_GB2312" w:cs="仿宋_GB2312"/>
          <w:color w:val="000000" w:themeColor="text1"/>
          <w:szCs w:val="32"/>
          <w:u w:val="single"/>
          <w:vertAlign w:val="superscript"/>
          <w14:textFill>
            <w14:solidFill>
              <w14:schemeClr w14:val="tx1"/>
            </w14:solidFill>
          </w14:textFill>
        </w:rPr>
        <w:t>2</w:t>
      </w:r>
      <w:r>
        <w:rPr>
          <w:rFonts w:hint="eastAsia" w:ascii="仿宋_GB2312" w:hAnsi="仿宋_GB2312" w:cs="仿宋_GB2312"/>
          <w:color w:val="000000" w:themeColor="text1"/>
          <w:szCs w:val="32"/>
          <w:u w:val="single"/>
          <w14:textFill>
            <w14:solidFill>
              <w14:schemeClr w14:val="tx1"/>
            </w14:solidFill>
          </w14:textFill>
        </w:rPr>
        <w:t>（湘发改园区</w:t>
      </w:r>
      <w:bookmarkStart w:id="5" w:name="OLE_LINK2"/>
      <w:bookmarkStart w:id="6" w:name="_Hlk126309590"/>
      <w:r>
        <w:rPr>
          <w:rFonts w:hint="eastAsia" w:ascii="仿宋_GB2312" w:hAnsi="仿宋_GB2312" w:cs="仿宋_GB2312"/>
          <w:color w:val="000000" w:themeColor="text1"/>
          <w:szCs w:val="32"/>
          <w:u w:val="single"/>
          <w14:textFill>
            <w14:solidFill>
              <w14:schemeClr w14:val="tx1"/>
            </w14:solidFill>
          </w14:textFill>
        </w:rPr>
        <w:t>〔</w:t>
      </w:r>
      <w:bookmarkEnd w:id="5"/>
      <w:r>
        <w:rPr>
          <w:rFonts w:hint="eastAsia" w:ascii="仿宋_GB2312" w:hAnsi="仿宋_GB2312" w:cs="仿宋_GB2312"/>
          <w:color w:val="000000" w:themeColor="text1"/>
          <w:szCs w:val="32"/>
          <w:u w:val="single"/>
          <w14:textFill>
            <w14:solidFill>
              <w14:schemeClr w14:val="tx1"/>
            </w14:solidFill>
          </w14:textFill>
        </w:rPr>
        <w:t>2022</w:t>
      </w:r>
      <w:bookmarkStart w:id="7" w:name="_Hlk219272749"/>
      <w:r>
        <w:rPr>
          <w:rFonts w:hint="eastAsia" w:ascii="仿宋_GB2312" w:hAnsi="仿宋_GB2312" w:cs="仿宋_GB2312"/>
          <w:color w:val="000000" w:themeColor="text1"/>
          <w:szCs w:val="32"/>
          <w:u w:val="single"/>
          <w14:textFill>
            <w14:solidFill>
              <w14:schemeClr w14:val="tx1"/>
            </w14:solidFill>
          </w14:textFill>
        </w:rPr>
        <w:t>〕</w:t>
      </w:r>
      <w:bookmarkEnd w:id="7"/>
      <w:r>
        <w:rPr>
          <w:rFonts w:hint="eastAsia" w:ascii="仿宋_GB2312" w:hAnsi="仿宋_GB2312" w:cs="仿宋_GB2312"/>
          <w:color w:val="000000" w:themeColor="text1"/>
          <w:szCs w:val="32"/>
          <w:u w:val="single"/>
          <w14:textFill>
            <w14:solidFill>
              <w14:schemeClr w14:val="tx1"/>
            </w14:solidFill>
          </w14:textFill>
        </w:rPr>
        <w:t>601号</w:t>
      </w:r>
      <w:bookmarkEnd w:id="6"/>
      <w:r>
        <w:rPr>
          <w:rFonts w:hint="eastAsia" w:ascii="仿宋_GB2312" w:hAnsi="仿宋_GB2312" w:cs="仿宋_GB2312"/>
          <w:color w:val="000000" w:themeColor="text1"/>
          <w:szCs w:val="32"/>
          <w:u w:val="single"/>
          <w14:textFill>
            <w14:solidFill>
              <w14:schemeClr w14:val="tx1"/>
            </w14:solidFill>
          </w14:textFill>
        </w:rPr>
        <w:t>）；</w:t>
      </w:r>
      <w:r>
        <w:rPr>
          <w:rFonts w:hint="eastAsia" w:ascii="仿宋_GB2312" w:hAnsi="仿宋_GB2312" w:cs="仿宋_GB2312"/>
          <w:color w:val="000000" w:themeColor="text1"/>
          <w:u w:val="single"/>
          <w14:textFill>
            <w14:solidFill>
              <w14:schemeClr w14:val="tx1"/>
            </w14:solidFill>
          </w14:textFill>
        </w:rPr>
        <w:t>1.0841km</w:t>
      </w:r>
      <w:r>
        <w:rPr>
          <w:rFonts w:hint="eastAsia" w:ascii="仿宋_GB2312" w:hAnsi="仿宋_GB2312" w:cs="仿宋_GB2312"/>
          <w:color w:val="000000" w:themeColor="text1"/>
          <w:u w:val="single"/>
          <w:vertAlign w:val="superscript"/>
          <w14:textFill>
            <w14:solidFill>
              <w14:schemeClr w14:val="tx1"/>
            </w14:solidFill>
          </w14:textFill>
        </w:rPr>
        <w:t>2</w:t>
      </w:r>
      <w:r>
        <w:rPr>
          <w:rFonts w:hint="eastAsia" w:ascii="仿宋_GB2312" w:hAnsi="仿宋_GB2312" w:cs="仿宋_GB2312"/>
          <w:color w:val="000000" w:themeColor="text1"/>
          <w:u w:val="single"/>
          <w14:textFill>
            <w14:solidFill>
              <w14:schemeClr w14:val="tx1"/>
            </w14:solidFill>
          </w14:textFill>
        </w:rPr>
        <w:t>（湘发改函〔2024〕70号）</w:t>
      </w:r>
      <w:r>
        <w:rPr>
          <w:rFonts w:hint="eastAsia" w:ascii="仿宋_GB2312" w:hAnsi="仿宋_GB2312" w:cs="仿宋_GB2312"/>
          <w:color w:val="000000" w:themeColor="text1"/>
          <w:szCs w:val="32"/>
          <w14:textFill>
            <w14:solidFill>
              <w14:schemeClr w14:val="tx1"/>
            </w14:solidFill>
          </w14:textFill>
        </w:rPr>
        <w:t>。2011年12月委托湖南省国际工程咨询中心编制《湖南双牌工业集中区环境影响报告书》，2012年底获原湖南省环保厅《关于湖南双牌工业集中区环境影响报告书的批复》（</w:t>
      </w:r>
      <w:r>
        <w:rPr>
          <w:rFonts w:hint="eastAsia" w:ascii="仿宋_GB2312" w:hAnsi="仿宋_GB2312" w:cs="仿宋_GB2312"/>
          <w:color w:val="000000" w:themeColor="text1"/>
          <w:szCs w:val="32"/>
          <w:u w:val="single"/>
          <w14:textFill>
            <w14:solidFill>
              <w14:schemeClr w14:val="tx1"/>
            </w14:solidFill>
          </w14:textFill>
        </w:rPr>
        <w:t>湘环评〔2012〕335号</w:t>
      </w:r>
      <w:r>
        <w:rPr>
          <w:rFonts w:hint="eastAsia" w:ascii="仿宋_GB2312" w:hAnsi="仿宋_GB2312" w:cs="仿宋_GB2312"/>
          <w:color w:val="000000" w:themeColor="text1"/>
          <w:szCs w:val="32"/>
          <w14:textFill>
            <w14:solidFill>
              <w14:schemeClr w14:val="tx1"/>
            </w14:solidFill>
          </w14:textFill>
        </w:rPr>
        <w:t>），2019年委托湖南英怀特环保科技有限公司编制了《双牌工业集中区规划环境影响跟踪评价报告书》，2019年10月获得《湖南省生态环境厅关于双牌工业集中区规划环境影响跟踪评价工作意见的函》（</w:t>
      </w:r>
      <w:r>
        <w:rPr>
          <w:rFonts w:hint="eastAsia" w:ascii="仿宋_GB2312" w:hAnsi="仿宋_GB2312" w:cs="仿宋_GB2312"/>
          <w:color w:val="000000" w:themeColor="text1"/>
          <w:szCs w:val="32"/>
          <w:u w:val="single"/>
          <w14:textFill>
            <w14:solidFill>
              <w14:schemeClr w14:val="tx1"/>
            </w14:solidFill>
          </w14:textFill>
        </w:rPr>
        <w:t>湘环评函〔2019〕20号</w:t>
      </w:r>
      <w:r>
        <w:rPr>
          <w:rFonts w:hint="eastAsia" w:ascii="仿宋_GB2312" w:hAnsi="仿宋_GB2312" w:cs="仿宋_GB2312"/>
          <w:color w:val="000000" w:themeColor="text1"/>
          <w:szCs w:val="32"/>
          <w14:textFill>
            <w14:solidFill>
              <w14:schemeClr w14:val="tx1"/>
            </w14:solidFill>
          </w14:textFill>
        </w:rPr>
        <w:t>）。</w:t>
      </w:r>
    </w:p>
    <w:p w14:paraId="4A43D0B6">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园区经济发展概况：双牌产业开发区成立于2007年，2014年获批为省级工业园区，2025完成技工贸收入121.22亿元，完成规模工业总产值76.35亿元。</w:t>
      </w:r>
    </w:p>
    <w:p w14:paraId="26AAA624">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截止到年底，园区已入园规上企业数量30个，其中，上一年度</w:t>
      </w:r>
      <w:bookmarkStart w:id="8" w:name="_Hlk131063015"/>
      <w:r>
        <w:rPr>
          <w:rFonts w:hint="eastAsia" w:ascii="仿宋_GB2312" w:hAnsi="仿宋_GB2312" w:cs="仿宋_GB2312"/>
          <w:color w:val="000000" w:themeColor="text1"/>
          <w:szCs w:val="32"/>
          <w14:textFill>
            <w14:solidFill>
              <w14:schemeClr w14:val="tx1"/>
            </w14:solidFill>
          </w14:textFill>
        </w:rPr>
        <w:t>末已入园企业数量28个，本年度内新入园企业数量6个，本年度清退企业数量4个。</w:t>
      </w:r>
      <w:bookmarkEnd w:id="8"/>
      <w:r>
        <w:rPr>
          <w:rFonts w:hint="eastAsia" w:ascii="仿宋_GB2312" w:hAnsi="仿宋_GB2312" w:cs="仿宋_GB2312"/>
          <w:color w:val="000000" w:themeColor="text1"/>
          <w:szCs w:val="32"/>
          <w14:textFill>
            <w14:solidFill>
              <w14:schemeClr w14:val="tx1"/>
            </w14:solidFill>
          </w14:textFill>
        </w:rPr>
        <w:t>园区内已完成环评批复手续企业数量24个，</w:t>
      </w:r>
      <w:bookmarkStart w:id="9" w:name="_Hlk127455751"/>
      <w:r>
        <w:rPr>
          <w:rFonts w:hint="eastAsia" w:ascii="仿宋_GB2312" w:hAnsi="仿宋_GB2312" w:cs="仿宋_GB2312"/>
          <w:color w:val="000000" w:themeColor="text1"/>
          <w:szCs w:val="32"/>
          <w14:textFill>
            <w14:solidFill>
              <w14:schemeClr w14:val="tx1"/>
            </w14:solidFill>
          </w14:textFill>
        </w:rPr>
        <w:t>6家企业没有纳入环境影响评价管理，</w:t>
      </w:r>
      <w:bookmarkEnd w:id="9"/>
      <w:r>
        <w:rPr>
          <w:rFonts w:hint="eastAsia" w:ascii="仿宋_GB2312" w:hAnsi="仿宋_GB2312" w:cs="仿宋_GB2312"/>
          <w:color w:val="000000" w:themeColor="text1"/>
          <w:szCs w:val="32"/>
          <w14:textFill>
            <w14:solidFill>
              <w14:schemeClr w14:val="tx1"/>
            </w14:solidFill>
          </w14:textFill>
        </w:rPr>
        <w:t>本年度新增项目环评批复1个，</w:t>
      </w:r>
      <w:bookmarkStart w:id="10" w:name="_Hlk131063028"/>
      <w:r>
        <w:rPr>
          <w:rFonts w:hint="eastAsia" w:ascii="仿宋_GB2312" w:hAnsi="仿宋_GB2312" w:cs="仿宋_GB2312"/>
          <w:color w:val="000000" w:themeColor="text1"/>
          <w:szCs w:val="32"/>
          <w14:textFill>
            <w14:solidFill>
              <w14:schemeClr w14:val="tx1"/>
            </w14:solidFill>
          </w14:textFill>
        </w:rPr>
        <w:t>无环评批复的企业有0家</w:t>
      </w:r>
      <w:bookmarkEnd w:id="10"/>
      <w:r>
        <w:rPr>
          <w:rFonts w:hint="eastAsia" w:ascii="仿宋_GB2312" w:hAnsi="仿宋_GB2312" w:cs="仿宋_GB2312"/>
          <w:color w:val="000000" w:themeColor="text1"/>
          <w:szCs w:val="32"/>
          <w14:textFill>
            <w14:solidFill>
              <w14:schemeClr w14:val="tx1"/>
            </w14:solidFill>
          </w14:textFill>
        </w:rPr>
        <w:t>。园区内已完成环保竣工验收手续企业数量17个，6家企业无需办理竣工验收手续，本年度新增环保竣工验收企业数量1个。园区内已完成应急预案备案手续企业数量13个，</w:t>
      </w:r>
      <w:bookmarkStart w:id="11" w:name="_Hlk131063061"/>
      <w:r>
        <w:rPr>
          <w:rFonts w:hint="eastAsia" w:ascii="仿宋_GB2312" w:hAnsi="仿宋_GB2312" w:cs="仿宋_GB2312"/>
          <w:color w:val="000000" w:themeColor="text1"/>
          <w:szCs w:val="32"/>
          <w14:textFill>
            <w14:solidFill>
              <w14:schemeClr w14:val="tx1"/>
            </w14:solidFill>
          </w14:textFill>
        </w:rPr>
        <w:t>未完成应急预案备案的企业有0个</w:t>
      </w:r>
      <w:bookmarkEnd w:id="11"/>
      <w:r>
        <w:rPr>
          <w:rFonts w:hint="eastAsia" w:ascii="仿宋_GB2312" w:hAnsi="仿宋_GB2312" w:cs="仿宋_GB2312"/>
          <w:color w:val="000000" w:themeColor="text1"/>
          <w:szCs w:val="32"/>
          <w14:textFill>
            <w14:solidFill>
              <w14:schemeClr w14:val="tx1"/>
            </w14:solidFill>
          </w14:textFill>
        </w:rPr>
        <w:t>，无需进行应急预案备案的企业17个。园区内已取得排污许可证企业数量22个，3家不需办理排污许可相关手续。</w:t>
      </w:r>
    </w:p>
    <w:bookmarkEnd w:id="3"/>
    <w:p w14:paraId="7BB48C9D">
      <w:pPr>
        <w:pStyle w:val="2"/>
        <w:ind w:firstLine="640"/>
        <w:rPr>
          <w:rFonts w:hint="eastAsia" w:ascii="仿宋_GB2312" w:hAnsi="仿宋_GB2312" w:cs="仿宋_GB2312"/>
          <w:color w:val="000000" w:themeColor="text1"/>
          <w:szCs w:val="32"/>
          <w14:textFill>
            <w14:solidFill>
              <w14:schemeClr w14:val="tx1"/>
            </w14:solidFill>
          </w14:textFill>
        </w:rPr>
      </w:pPr>
      <w:bookmarkStart w:id="12" w:name="_Hlk67417681"/>
      <w:r>
        <w:rPr>
          <w:rFonts w:hint="eastAsia" w:ascii="仿宋_GB2312" w:hAnsi="仿宋_GB2312" w:cs="仿宋_GB2312"/>
          <w:color w:val="000000" w:themeColor="text1"/>
          <w:szCs w:val="32"/>
          <w14:textFill>
            <w14:solidFill>
              <w14:schemeClr w14:val="tx1"/>
            </w14:solidFill>
          </w14:textFill>
        </w:rPr>
        <w:t>园区主要污染物总量控制指标：化学需氧量657t/a，氨氮87.6t/a，二氧化硫</w:t>
      </w:r>
      <w:r>
        <w:rPr>
          <w:rFonts w:ascii="仿宋_GB2312" w:hAnsi="仿宋_GB2312" w:cs="仿宋_GB2312"/>
          <w:color w:val="000000" w:themeColor="text1"/>
          <w:szCs w:val="32"/>
          <w14:textFill>
            <w14:solidFill>
              <w14:schemeClr w14:val="tx1"/>
            </w14:solidFill>
          </w14:textFill>
        </w:rPr>
        <w:t>15.523</w:t>
      </w:r>
      <w:r>
        <w:rPr>
          <w:rFonts w:hint="eastAsia" w:ascii="仿宋_GB2312" w:hAnsi="仿宋_GB2312" w:cs="仿宋_GB2312"/>
          <w:color w:val="000000" w:themeColor="text1"/>
          <w:szCs w:val="32"/>
          <w14:textFill>
            <w14:solidFill>
              <w14:schemeClr w14:val="tx1"/>
            </w14:solidFill>
          </w14:textFill>
        </w:rPr>
        <w:t>t/a，氮氧化物</w:t>
      </w:r>
      <w:r>
        <w:rPr>
          <w:rFonts w:ascii="仿宋_GB2312" w:hAnsi="仿宋_GB2312" w:cs="仿宋_GB2312"/>
          <w:color w:val="000000" w:themeColor="text1"/>
          <w:szCs w:val="32"/>
          <w14:textFill>
            <w14:solidFill>
              <w14:schemeClr w14:val="tx1"/>
            </w14:solidFill>
          </w14:textFill>
        </w:rPr>
        <w:t>17.73</w:t>
      </w:r>
      <w:r>
        <w:rPr>
          <w:rFonts w:hint="eastAsia" w:ascii="仿宋_GB2312" w:hAnsi="仿宋_GB2312" w:cs="仿宋_GB2312"/>
          <w:color w:val="000000" w:themeColor="text1"/>
          <w:szCs w:val="32"/>
          <w14:textFill>
            <w14:solidFill>
              <w14:schemeClr w14:val="tx1"/>
            </w14:solidFill>
          </w14:textFill>
        </w:rPr>
        <w:t xml:space="preserve">t/a，VOCs </w:t>
      </w:r>
      <w:r>
        <w:rPr>
          <w:rFonts w:ascii="仿宋_GB2312" w:hAnsi="仿宋_GB2312" w:cs="仿宋_GB2312"/>
          <w:color w:val="000000" w:themeColor="text1"/>
          <w:szCs w:val="32"/>
          <w14:textFill>
            <w14:solidFill>
              <w14:schemeClr w14:val="tx1"/>
            </w14:solidFill>
          </w14:textFill>
        </w:rPr>
        <w:t>6.387</w:t>
      </w:r>
      <w:r>
        <w:rPr>
          <w:rFonts w:hint="eastAsia" w:ascii="仿宋_GB2312" w:hAnsi="仿宋_GB2312" w:cs="仿宋_GB2312"/>
          <w:color w:val="000000" w:themeColor="text1"/>
          <w:szCs w:val="32"/>
          <w14:textFill>
            <w14:solidFill>
              <w14:schemeClr w14:val="tx1"/>
            </w14:solidFill>
          </w14:textFill>
        </w:rPr>
        <w:t>t/a。</w:t>
      </w:r>
    </w:p>
    <w:bookmarkEnd w:id="12"/>
    <w:p w14:paraId="5883658F">
      <w:pPr>
        <w:pStyle w:val="4"/>
        <w:ind w:firstLine="640"/>
        <w:rPr>
          <w:color w:val="000000" w:themeColor="text1"/>
          <w14:textFill>
            <w14:solidFill>
              <w14:schemeClr w14:val="tx1"/>
            </w14:solidFill>
          </w14:textFill>
        </w:rPr>
      </w:pPr>
      <w:bookmarkStart w:id="13" w:name="_Toc128039331"/>
      <w:r>
        <w:rPr>
          <w:color w:val="000000" w:themeColor="text1"/>
          <w14:textFill>
            <w14:solidFill>
              <w14:schemeClr w14:val="tx1"/>
            </w14:solidFill>
          </w14:textFill>
        </w:rPr>
        <w:t>二、环境管理情况</w:t>
      </w:r>
      <w:bookmarkEnd w:id="13"/>
    </w:p>
    <w:p w14:paraId="43DC08F9">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（一）规划环评批复要求落实情况</w:t>
      </w:r>
    </w:p>
    <w:p w14:paraId="6B51131E">
      <w:pPr>
        <w:pStyle w:val="2"/>
        <w:ind w:firstLine="640"/>
        <w:rPr>
          <w:rFonts w:hint="eastAsia" w:ascii="仿宋_GB2312" w:hAnsi="仿宋_GB2312" w:cs="仿宋_GB2312"/>
          <w:color w:val="000000" w:themeColor="text1"/>
          <w:szCs w:val="32"/>
          <w14:textFill>
            <w14:solidFill>
              <w14:schemeClr w14:val="tx1"/>
            </w14:solidFill>
          </w14:textFill>
        </w:rPr>
      </w:pPr>
      <w:bookmarkStart w:id="14" w:name="_Hlk67420210"/>
      <w:bookmarkStart w:id="15" w:name="_Hlk67417267"/>
      <w:r>
        <w:rPr>
          <w:rFonts w:hint="eastAsia" w:ascii="仿宋_GB2312" w:hAnsi="仿宋_GB2312" w:cs="仿宋_GB2312"/>
          <w:color w:val="000000" w:themeColor="text1"/>
          <w:szCs w:val="32"/>
          <w14:textFill>
            <w14:solidFill>
              <w14:schemeClr w14:val="tx1"/>
            </w14:solidFill>
          </w14:textFill>
        </w:rPr>
        <w:t>2012年11月获得《湖南省环境保护厅关于湖南双牌工业集中区环境影响报告书的批复》（湘环评〔2012〕335号）</w:t>
      </w:r>
      <w:bookmarkEnd w:id="14"/>
      <w:r>
        <w:rPr>
          <w:rFonts w:hint="eastAsia" w:ascii="仿宋_GB2312" w:hAnsi="仿宋_GB2312" w:cs="仿宋_GB2312"/>
          <w:color w:val="000000" w:themeColor="text1"/>
          <w:szCs w:val="32"/>
          <w14:textFill>
            <w14:solidFill>
              <w14:schemeClr w14:val="tx1"/>
            </w14:solidFill>
          </w14:textFill>
        </w:rPr>
        <w:t>；2019年10月获得</w:t>
      </w:r>
      <w:bookmarkStart w:id="16" w:name="_Hlk67420202"/>
      <w:r>
        <w:rPr>
          <w:rFonts w:hint="eastAsia" w:ascii="仿宋_GB2312" w:hAnsi="仿宋_GB2312" w:cs="仿宋_GB2312"/>
          <w:color w:val="000000" w:themeColor="text1"/>
          <w:szCs w:val="32"/>
          <w14:textFill>
            <w14:solidFill>
              <w14:schemeClr w14:val="tx1"/>
            </w14:solidFill>
          </w14:textFill>
        </w:rPr>
        <w:t>《湖南省生态环境厅关于双牌工业集中区规划环境影响跟踪评价工作意见的函》（湘环评函〔2019〕20号）</w:t>
      </w:r>
      <w:bookmarkEnd w:id="16"/>
      <w:r>
        <w:rPr>
          <w:rFonts w:hint="eastAsia" w:ascii="仿宋_GB2312" w:hAnsi="仿宋_GB2312" w:cs="仿宋_GB2312"/>
          <w:color w:val="000000" w:themeColor="text1"/>
          <w:szCs w:val="32"/>
          <w14:textFill>
            <w14:solidFill>
              <w14:schemeClr w14:val="tx1"/>
            </w14:solidFill>
          </w14:textFill>
        </w:rPr>
        <w:t>。具体批复内容及落实情况如下表。</w:t>
      </w:r>
    </w:p>
    <w:p w14:paraId="20575DDC">
      <w:pPr>
        <w:snapToGrid w:val="0"/>
        <w:spacing w:line="520" w:lineRule="exact"/>
        <w:jc w:val="center"/>
        <w:rPr>
          <w:rFonts w:ascii="Times New Roman" w:hAnsi="Times New Roman" w:eastAsia="宋体" w:cs="Times New Roman"/>
          <w:color w:val="000000" w:themeColor="text1"/>
          <w:szCs w:val="28"/>
          <w14:textFill>
            <w14:solidFill>
              <w14:schemeClr w14:val="tx1"/>
            </w14:solidFill>
          </w14:textFill>
        </w:rPr>
        <w:sectPr>
          <w:footerReference r:id="rId6" w:type="default"/>
          <w:pgSz w:w="11906" w:h="16838"/>
          <w:pgMar w:top="1440" w:right="1797" w:bottom="1440" w:left="1559" w:header="851" w:footer="992" w:gutter="0"/>
          <w:pgNumType w:start="1"/>
          <w:cols w:space="425" w:num="1"/>
          <w:docGrid w:type="lines" w:linePitch="312" w:charSpace="0"/>
        </w:sectPr>
      </w:pPr>
    </w:p>
    <w:p w14:paraId="52B8936B">
      <w:pPr>
        <w:snapToGrid w:val="0"/>
        <w:spacing w:line="520" w:lineRule="exact"/>
        <w:jc w:val="center"/>
        <w:rPr>
          <w:rFonts w:hint="eastAsia" w:ascii="黑体" w:hAnsi="黑体" w:eastAsia="黑体" w:cs="Times New Roman"/>
          <w:color w:val="000000" w:themeColor="text1"/>
          <w:szCs w:val="28"/>
          <w14:textFill>
            <w14:solidFill>
              <w14:schemeClr w14:val="tx1"/>
            </w14:solidFill>
          </w14:textFill>
        </w:rPr>
      </w:pPr>
      <w:r>
        <w:rPr>
          <w:rFonts w:ascii="黑体" w:hAnsi="黑体" w:eastAsia="黑体" w:cs="Times New Roman"/>
          <w:color w:val="000000" w:themeColor="text1"/>
          <w:szCs w:val="28"/>
          <w14:textFill>
            <w14:solidFill>
              <w14:schemeClr w14:val="tx1"/>
            </w14:solidFill>
          </w14:textFill>
        </w:rPr>
        <w:t>表1 关于湖南双牌工业集中区环境影响报告书的批复要求及落实情况</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4"/>
        <w:gridCol w:w="597"/>
        <w:gridCol w:w="6237"/>
        <w:gridCol w:w="5245"/>
        <w:gridCol w:w="1185"/>
      </w:tblGrid>
      <w:tr w14:paraId="004ED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64" w:type="dxa"/>
            <w:vAlign w:val="center"/>
          </w:tcPr>
          <w:p w14:paraId="0DFC4930">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17" w:name="_Hlk127979233"/>
            <w:r>
              <w:rPr>
                <w:rFonts w:hint="eastAsia" w:ascii="Times New Roman" w:hAnsi="Times New Roman" w:eastAsia="宋体" w:cs="Times New Roman"/>
                <w:color w:val="000000" w:themeColor="text1"/>
                <w:sz w:val="21"/>
                <w:szCs w:val="21"/>
                <w14:textFill>
                  <w14:solidFill>
                    <w14:schemeClr w14:val="tx1"/>
                  </w14:solidFill>
                </w14:textFill>
              </w:rPr>
              <w:t>序号</w:t>
            </w:r>
          </w:p>
        </w:tc>
        <w:tc>
          <w:tcPr>
            <w:tcW w:w="6834" w:type="dxa"/>
            <w:gridSpan w:val="2"/>
            <w:vAlign w:val="center"/>
          </w:tcPr>
          <w:p w14:paraId="22907DB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规划环评批复要求</w:t>
            </w:r>
          </w:p>
        </w:tc>
        <w:tc>
          <w:tcPr>
            <w:tcW w:w="5245" w:type="dxa"/>
            <w:vAlign w:val="center"/>
          </w:tcPr>
          <w:p w14:paraId="1C32E58A">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实际执行情况</w:t>
            </w:r>
          </w:p>
        </w:tc>
        <w:tc>
          <w:tcPr>
            <w:tcW w:w="1185" w:type="dxa"/>
            <w:vAlign w:val="center"/>
          </w:tcPr>
          <w:p w14:paraId="679CAAB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落实情况</w:t>
            </w:r>
          </w:p>
        </w:tc>
      </w:tr>
      <w:tr w14:paraId="73E9A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6AF6062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597" w:type="dxa"/>
            <w:vAlign w:val="center"/>
          </w:tcPr>
          <w:p w14:paraId="7B56D9F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产业布局</w:t>
            </w:r>
          </w:p>
        </w:tc>
        <w:tc>
          <w:tcPr>
            <w:tcW w:w="6237" w:type="dxa"/>
            <w:tcBorders>
              <w:right w:val="single" w:color="auto" w:sz="4" w:space="0"/>
            </w:tcBorders>
            <w:vAlign w:val="center"/>
          </w:tcPr>
          <w:p w14:paraId="4DF3B742">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进一步优化规划布局，严格按照功能区划开发建设，集中区内不设居住用地，处理好集中区内部及集中区与周边工业、生活、配套服务等功能组团的关系，充分利用自然地形和绿化隔离带使各功能区隔离，其中：对赵家岭，兰山岭及东庵子山周边部分山体绿地予以保留，作为集中区和职教区的景观中心；在铁东路以西结合洛湛铁路、110KV高压走廊布置生产防护绿地；沿潇水路、工业大道、南岭北路等分别设绿化带控制建筑红线退让距离，确保功能区划明确，产业相对集中，生态环境优良。</w:t>
            </w:r>
          </w:p>
        </w:tc>
        <w:tc>
          <w:tcPr>
            <w:tcW w:w="5245" w:type="dxa"/>
            <w:vAlign w:val="center"/>
          </w:tcPr>
          <w:p w14:paraId="19CA4E8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已开发范围内未设居住用地；</w:t>
            </w:r>
          </w:p>
          <w:p w14:paraId="0134161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2、利用自然地形和绿化隔离带隔离周边生活、配套服务等功能组团的关系区，设置110KV高压走廊布置生产防护绿地；</w:t>
            </w:r>
          </w:p>
          <w:p w14:paraId="46406A44">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3、保留了赵家岭，兰山岭及东庵子山周边部分山体绿地，产业相对集中，生态环境优良；</w:t>
            </w:r>
          </w:p>
          <w:p w14:paraId="30397A7D">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4、洛湛铁路设置60m生产防护绿地、工业大道南侧设5m绿化带控制建筑红线退让距离。</w:t>
            </w:r>
          </w:p>
        </w:tc>
        <w:tc>
          <w:tcPr>
            <w:tcW w:w="1185" w:type="dxa"/>
            <w:vAlign w:val="center"/>
          </w:tcPr>
          <w:p w14:paraId="281CCCC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1B372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64E85AB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597" w:type="dxa"/>
            <w:vAlign w:val="center"/>
          </w:tcPr>
          <w:p w14:paraId="40ED284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园区准入制度</w:t>
            </w:r>
          </w:p>
        </w:tc>
        <w:tc>
          <w:tcPr>
            <w:tcW w:w="6237" w:type="dxa"/>
            <w:tcBorders>
              <w:right w:val="single" w:color="auto" w:sz="4" w:space="0"/>
            </w:tcBorders>
            <w:vAlign w:val="center"/>
          </w:tcPr>
          <w:p w14:paraId="652EE0B1">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严格执行集中区入园企业准入制度，入园项目选址必须符合园区总体发展规划、用地规划、环保规划及主导产业定位要求，不得引进国家明令淘汰和禁止发展的能耗物耗高、环境污染严重、不符合产业政策的建设项目，限制耗水大的企业入园，禁止排放重金属企业入园，不得发展三类工业企业及项目。管委会和地方环保行政主管部门必须按照报告书提出的“</w:t>
            </w:r>
            <w:r>
              <w:rPr>
                <w:rFonts w:hint="eastAsia" w:ascii="Times New Roman" w:hAnsi="Times New Roman" w:eastAsia="宋体" w:cs="Times New Roman"/>
                <w:color w:val="000000" w:themeColor="text1"/>
                <w:sz w:val="21"/>
                <w:szCs w:val="21"/>
                <w14:textFill>
                  <w14:solidFill>
                    <w14:schemeClr w14:val="tx1"/>
                  </w14:solidFill>
                </w14:textFill>
              </w:rPr>
              <w:t>工业园</w:t>
            </w:r>
            <w:r>
              <w:rPr>
                <w:rFonts w:ascii="Times New Roman" w:hAnsi="Times New Roman" w:eastAsia="宋体" w:cs="Times New Roman"/>
                <w:color w:val="000000" w:themeColor="text1"/>
                <w:sz w:val="21"/>
                <w:szCs w:val="21"/>
                <w14:textFill>
                  <w14:solidFill>
                    <w14:schemeClr w14:val="tx1"/>
                  </w14:solidFill>
                </w14:textFill>
              </w:rPr>
              <w:t>准入与限制行业类型一览表”做好项目的招商把关，在入园项目前期和建设期，必须严格执行建设项目环境影响评价和“三同时”管理制度，推行清洁生产工艺，其排污浓度、总量必须满足达标排放和总量控制要求；完善园区内已建企业的相关环保手续，加强对企业的环境监管，对已建项目进行清理，确保符合环评批复及“三同时”管理要求。</w:t>
            </w:r>
          </w:p>
        </w:tc>
        <w:tc>
          <w:tcPr>
            <w:tcW w:w="5245" w:type="dxa"/>
            <w:vAlign w:val="center"/>
          </w:tcPr>
          <w:p w14:paraId="526EC948">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执行入园企业准入制度，入园项目选址符合总体发展规划、用地规划、环保规划及主导产业定位要求，未引进国家明令淘汰和禁止发展的能耗物耗高、环境污染严重、不符合产业政策的建设项目，限制耗水大的企业入园，禁止排放重金属企业入园，未引入三类工业企业及项目。</w:t>
            </w:r>
          </w:p>
          <w:p w14:paraId="7F2CA6F8">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2、在入园项目前期和建设期，严格执行建设项目环境影响评价和“三同时”管理制度，推行清洁生产工艺，排污浓度、总量满足达标排放和总量控制要求；</w:t>
            </w:r>
          </w:p>
          <w:p w14:paraId="6F0E73C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3、加强了对企业的环境监管，如园</w:t>
            </w:r>
            <w:r>
              <w:rPr>
                <w:rFonts w:hint="eastAsia" w:ascii="Times New Roman" w:hAnsi="Times New Roman" w:eastAsia="宋体" w:cs="Times New Roman"/>
                <w:color w:val="000000" w:themeColor="text1"/>
                <w:sz w:val="21"/>
                <w:szCs w:val="21"/>
                <w14:textFill>
                  <w14:solidFill>
                    <w14:schemeClr w14:val="tx1"/>
                  </w14:solidFill>
                </w14:textFill>
              </w:rPr>
              <w:t>区内</w:t>
            </w:r>
            <w:r>
              <w:rPr>
                <w:rFonts w:ascii="Times New Roman" w:hAnsi="Times New Roman" w:eastAsia="宋体" w:cs="Times New Roman"/>
                <w:color w:val="000000" w:themeColor="text1"/>
                <w:sz w:val="21"/>
                <w:szCs w:val="21"/>
                <w14:textFill>
                  <w14:solidFill>
                    <w14:schemeClr w14:val="tx1"/>
                  </w14:solidFill>
                </w14:textFill>
              </w:rPr>
              <w:t>企业100%办理相关环保手续，符合环评批复及“三同时”管理要求。</w:t>
            </w:r>
          </w:p>
        </w:tc>
        <w:tc>
          <w:tcPr>
            <w:tcW w:w="1185" w:type="dxa"/>
            <w:vAlign w:val="center"/>
          </w:tcPr>
          <w:p w14:paraId="187D551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664A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2E7B72A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597" w:type="dxa"/>
            <w:vAlign w:val="center"/>
          </w:tcPr>
          <w:p w14:paraId="50EB58B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水污染防治</w:t>
            </w:r>
          </w:p>
        </w:tc>
        <w:tc>
          <w:tcPr>
            <w:tcW w:w="6237" w:type="dxa"/>
            <w:tcBorders>
              <w:right w:val="single" w:color="auto" w:sz="4" w:space="0"/>
            </w:tcBorders>
            <w:vAlign w:val="center"/>
          </w:tcPr>
          <w:p w14:paraId="6FB69C8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排水实施雨污分流，按排水规划，集中区为双牌县污水处理厂纳污范围，应加快区域配套排水管网建设进度，截污、排污管网必须与道路建设及区域开发同时进行，并根据集中区发展现状及规划实施启动污水处理厂扩建工程，确保区域污水全面纳入双牌县城污水处理厂深度处理。在集中区与县城污水处理厂管网对接完成前，应限制引进涉水型企业和项目，对集中区内已投产企业废水排放严格按《污水综合排放标准》（GB8978-1996）一级标准控制，严防污水超标排放。</w:t>
            </w:r>
          </w:p>
        </w:tc>
        <w:tc>
          <w:tcPr>
            <w:tcW w:w="5245" w:type="dxa"/>
            <w:vAlign w:val="center"/>
          </w:tcPr>
          <w:p w14:paraId="4BA098AD">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1、截污、排污管网与道路建设及区域开发同时进行，已开发区域实现雨污分流，建成雨、污水管网，污水全部进入双牌县污水处理厂处理；</w:t>
            </w:r>
          </w:p>
          <w:p w14:paraId="6B0DFB63">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2、双牌县污水处理厂扩容提标改造及配套管网工程已</w:t>
            </w:r>
            <w:r>
              <w:rPr>
                <w:rFonts w:hint="eastAsia" w:ascii="Times New Roman" w:hAnsi="Times New Roman" w:eastAsia="宋体" w:cs="Times New Roman"/>
                <w:color w:val="000000" w:themeColor="text1"/>
                <w:sz w:val="21"/>
                <w:szCs w:val="21"/>
                <w14:textFill>
                  <w14:solidFill>
                    <w14:schemeClr w14:val="tx1"/>
                  </w14:solidFill>
                </w14:textFill>
              </w:rPr>
              <w:t>建成并</w:t>
            </w:r>
            <w:r>
              <w:rPr>
                <w:rFonts w:ascii="Times New Roman" w:hAnsi="Times New Roman" w:eastAsia="宋体" w:cs="Times New Roman"/>
                <w:color w:val="000000" w:themeColor="text1"/>
                <w:sz w:val="21"/>
                <w:szCs w:val="21"/>
                <w14:textFill>
                  <w14:solidFill>
                    <w14:schemeClr w14:val="tx1"/>
                  </w14:solidFill>
                </w14:textFill>
              </w:rPr>
              <w:t>运营，出水水质提高到《城镇污水处理厂污染物排放标准》（GB18918-2002）一级A标准。</w:t>
            </w:r>
          </w:p>
          <w:p w14:paraId="1271FD4E">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3、企业废水达到《污水综合排放标准》（GB8978-1996）表4三级标准、相关行业标准和县污水处理厂纳管标准后，排入园区污水管网。</w:t>
            </w:r>
          </w:p>
        </w:tc>
        <w:tc>
          <w:tcPr>
            <w:tcW w:w="1185" w:type="dxa"/>
            <w:vAlign w:val="center"/>
          </w:tcPr>
          <w:p w14:paraId="3A0F420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E58C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0F21DBE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597" w:type="dxa"/>
            <w:vAlign w:val="center"/>
          </w:tcPr>
          <w:p w14:paraId="20FF1E8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大气污染防治</w:t>
            </w:r>
          </w:p>
        </w:tc>
        <w:tc>
          <w:tcPr>
            <w:tcW w:w="6237" w:type="dxa"/>
            <w:tcBorders>
              <w:right w:val="single" w:color="auto" w:sz="4" w:space="0"/>
            </w:tcBorders>
            <w:vAlign w:val="center"/>
          </w:tcPr>
          <w:p w14:paraId="76436F3E">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按报告书要求做好集中区大气污染控制措施。集中区内禁止燃煤，园区管理机构应加快燃气管道建设，积极推广生物质能等多种清洁能源，做好能源供应保障；加强企业管理，对各企业有工艺废气产出的生产节点，应配置废气收集与处理净化装置，做到达标排放；加强生产工艺研究与技术改进，采取有效措施，减少工艺废气的无组织排放，入区企业各生产装置排放的废气须经处理达到相应的行业排放标准及《大气污染物综合排放标准》中的二级标准；按各企业项目环评要求，设置大气环境保护距离并严格控规，合理优化集中区企业布局，在满足集中区总体功能分区的前提下，充分考虑集中区外（洛湛铁路以西）居住、行政办公对空气环境质量的要求以及集中区内对空气洁净度要求较高的部分医药、食品、电子企业的选址要求，气型污染企业不得布置在相应环境敏感目标的正上风向，并在企业之间设置合理的间隔距离，避免功能干扰。</w:t>
            </w:r>
          </w:p>
        </w:tc>
        <w:tc>
          <w:tcPr>
            <w:tcW w:w="5245" w:type="dxa"/>
            <w:vAlign w:val="center"/>
          </w:tcPr>
          <w:p w14:paraId="140F98E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1、已按报告书要求做好</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大气污染控制措施。各企业有工艺废气产出的生产节点，配置了废气收集与处理净化装置，做到达标排放；</w:t>
            </w:r>
          </w:p>
          <w:p w14:paraId="356AC298">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2、未使用燃煤，燃气管道</w:t>
            </w:r>
            <w:r>
              <w:rPr>
                <w:rFonts w:hint="eastAsia" w:ascii="Times New Roman" w:hAnsi="Times New Roman" w:eastAsia="宋体" w:cs="Times New Roman"/>
                <w:color w:val="000000" w:themeColor="text1"/>
                <w:sz w:val="21"/>
                <w:szCs w:val="21"/>
                <w14:textFill>
                  <w14:solidFill>
                    <w14:schemeClr w14:val="tx1"/>
                  </w14:solidFill>
                </w14:textFill>
              </w:rPr>
              <w:t>未</w:t>
            </w:r>
            <w:r>
              <w:rPr>
                <w:rFonts w:ascii="Times New Roman" w:hAnsi="Times New Roman" w:eastAsia="宋体" w:cs="Times New Roman"/>
                <w:color w:val="000000" w:themeColor="text1"/>
                <w:sz w:val="21"/>
                <w:szCs w:val="21"/>
                <w14:textFill>
                  <w14:solidFill>
                    <w14:schemeClr w14:val="tx1"/>
                  </w14:solidFill>
                </w14:textFill>
              </w:rPr>
              <w:t>建成，已开发区域内使用电能、生物质燃料和天然气；</w:t>
            </w:r>
          </w:p>
          <w:p w14:paraId="5BB81CC8">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3、已加强企业管理，企业进行了生产工艺研究与技术改造，</w:t>
            </w:r>
            <w:r>
              <w:rPr>
                <w:rFonts w:hint="eastAsia" w:ascii="Times New Roman" w:hAnsi="Times New Roman" w:eastAsia="宋体" w:cs="Times New Roman"/>
                <w:color w:val="000000" w:themeColor="text1"/>
                <w:sz w:val="21"/>
                <w:szCs w:val="21"/>
                <w14:textFill>
                  <w14:solidFill>
                    <w14:schemeClr w14:val="tx1"/>
                  </w14:solidFill>
                </w14:textFill>
              </w:rPr>
              <w:t>采取有效措施，减少工艺废气的无组织排放，有组织废气经配套的环保设施处理后达标外排</w:t>
            </w:r>
            <w:r>
              <w:rPr>
                <w:rFonts w:ascii="Times New Roman" w:hAnsi="Times New Roman" w:eastAsia="宋体" w:cs="Times New Roman"/>
                <w:color w:val="000000" w:themeColor="text1"/>
                <w:sz w:val="21"/>
                <w:szCs w:val="21"/>
                <w14:textFill>
                  <w14:solidFill>
                    <w14:schemeClr w14:val="tx1"/>
                  </w14:solidFill>
                </w14:textFill>
              </w:rPr>
              <w:t>；</w:t>
            </w:r>
          </w:p>
          <w:p w14:paraId="4134FD26">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4、已考虑</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外（洛湛铁路以西）居住、行政办公对大气环境质量的要求以及</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内对空气洁净度要求较高的部分医药、食品、电子企业的选址要求；</w:t>
            </w:r>
          </w:p>
          <w:p w14:paraId="28E06223">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5、气型污染企业未布置在环境敏感目标的正上风向，各企业之间设置合理的间隔距离，避免了功能干扰。</w:t>
            </w:r>
          </w:p>
        </w:tc>
        <w:tc>
          <w:tcPr>
            <w:tcW w:w="1185" w:type="dxa"/>
            <w:vAlign w:val="center"/>
          </w:tcPr>
          <w:p w14:paraId="4321AF8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0CEDA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2F0E08B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597" w:type="dxa"/>
            <w:vAlign w:val="center"/>
          </w:tcPr>
          <w:p w14:paraId="4872205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固体废物防治</w:t>
            </w:r>
          </w:p>
        </w:tc>
        <w:tc>
          <w:tcPr>
            <w:tcW w:w="6237" w:type="dxa"/>
            <w:tcBorders>
              <w:right w:val="single" w:color="auto" w:sz="4" w:space="0"/>
            </w:tcBorders>
            <w:vAlign w:val="center"/>
          </w:tcPr>
          <w:p w14:paraId="5D4F6FBD">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固废应按国家有关规定综合处理或妥善处理，严防二次污染。</w:t>
            </w:r>
          </w:p>
        </w:tc>
        <w:tc>
          <w:tcPr>
            <w:tcW w:w="5245" w:type="dxa"/>
            <w:vAlign w:val="center"/>
          </w:tcPr>
          <w:p w14:paraId="4B7E801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1、已做好工业固体废物和生活垃圾的分类收集、转运、综合利用和无害化处理；</w:t>
            </w:r>
          </w:p>
          <w:p w14:paraId="4F052223">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2、推行清洁生产，减少固体废物产生量；提高了固体废物综合利用率；</w:t>
            </w:r>
          </w:p>
          <w:p w14:paraId="12FB7781">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3、企业产生固体废物，包括危险固废已按国家有关规定综合处理或妥善处理，未产生二次污染。</w:t>
            </w:r>
          </w:p>
        </w:tc>
        <w:tc>
          <w:tcPr>
            <w:tcW w:w="1185" w:type="dxa"/>
            <w:vAlign w:val="center"/>
          </w:tcPr>
          <w:p w14:paraId="54243AB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22E4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134C15C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597" w:type="dxa"/>
            <w:vAlign w:val="center"/>
          </w:tcPr>
          <w:p w14:paraId="68EB7CF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环境管理</w:t>
            </w:r>
          </w:p>
        </w:tc>
        <w:tc>
          <w:tcPr>
            <w:tcW w:w="6237" w:type="dxa"/>
            <w:tcBorders>
              <w:right w:val="single" w:color="auto" w:sz="4" w:space="0"/>
            </w:tcBorders>
            <w:vAlign w:val="center"/>
          </w:tcPr>
          <w:p w14:paraId="2D268A4B">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集中区要建立专职环境监督管理机构，建立健全环境风险事故防范措施和应急预案，严防环境风险事故发生。</w:t>
            </w:r>
          </w:p>
        </w:tc>
        <w:tc>
          <w:tcPr>
            <w:tcW w:w="5245" w:type="dxa"/>
            <w:vAlign w:val="center"/>
          </w:tcPr>
          <w:p w14:paraId="3A94224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已建立专职环境监督管理机构；</w:t>
            </w:r>
            <w:r>
              <w:rPr>
                <w:rFonts w:hint="eastAsia" w:ascii="Times New Roman" w:hAnsi="Times New Roman" w:eastAsia="宋体" w:cs="Times New Roman"/>
                <w:color w:val="000000" w:themeColor="text1"/>
                <w:sz w:val="21"/>
                <w:szCs w:val="21"/>
                <w14:textFill>
                  <w14:solidFill>
                    <w14:schemeClr w14:val="tx1"/>
                  </w14:solidFill>
                </w14:textFill>
              </w:rPr>
              <w:t>建立健全了环境风险事故防范措施，且园区应急预案已完成修编并备案</w:t>
            </w:r>
            <w:r>
              <w:rPr>
                <w:rFonts w:ascii="Times New Roman" w:hAnsi="Times New Roman" w:eastAsia="宋体" w:cs="Times New Roman"/>
                <w:color w:val="000000" w:themeColor="text1"/>
                <w:sz w:val="21"/>
                <w:szCs w:val="21"/>
                <w14:textFill>
                  <w14:solidFill>
                    <w14:schemeClr w14:val="tx1"/>
                  </w14:solidFill>
                </w14:textFill>
              </w:rPr>
              <w:t>；</w:t>
            </w:r>
          </w:p>
          <w:p w14:paraId="5FF4F9FA">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企业基本建立环境风险事故防范措施，并编制了突发环境事件应急预案及备案</w:t>
            </w:r>
            <w:r>
              <w:rPr>
                <w:rFonts w:ascii="Times New Roman" w:hAnsi="Times New Roman" w:eastAsia="宋体" w:cs="Times New Roman"/>
                <w:color w:val="000000" w:themeColor="text1"/>
                <w:sz w:val="21"/>
                <w:szCs w:val="21"/>
                <w14:textFill>
                  <w14:solidFill>
                    <w14:schemeClr w14:val="tx1"/>
                  </w14:solidFill>
                </w14:textFill>
              </w:rPr>
              <w:t>。</w:t>
            </w:r>
          </w:p>
        </w:tc>
        <w:tc>
          <w:tcPr>
            <w:tcW w:w="1185" w:type="dxa"/>
            <w:vAlign w:val="center"/>
          </w:tcPr>
          <w:p w14:paraId="5426DE6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69BF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750F037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597" w:type="dxa"/>
            <w:vAlign w:val="center"/>
          </w:tcPr>
          <w:p w14:paraId="5C0582E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拆迁安置</w:t>
            </w:r>
          </w:p>
        </w:tc>
        <w:tc>
          <w:tcPr>
            <w:tcW w:w="6237" w:type="dxa"/>
            <w:tcBorders>
              <w:right w:val="single" w:color="auto" w:sz="4" w:space="0"/>
            </w:tcBorders>
            <w:vAlign w:val="center"/>
          </w:tcPr>
          <w:p w14:paraId="5A7B2C62">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集中区开发规划统筹制定拆迁安置方案，落实移民生产生活安置措施，防治移民再次安置和次生环境问题。</w:t>
            </w:r>
          </w:p>
        </w:tc>
        <w:tc>
          <w:tcPr>
            <w:tcW w:w="5245" w:type="dxa"/>
            <w:tcBorders>
              <w:bottom w:val="single" w:color="auto" w:sz="4" w:space="0"/>
            </w:tcBorders>
            <w:vAlign w:val="center"/>
          </w:tcPr>
          <w:p w14:paraId="4262975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落实了移民生产生活安置措施，搬迁村民按规划安置在城北安置小区内，未发生移民再次安置和次生环境问题。</w:t>
            </w:r>
          </w:p>
        </w:tc>
        <w:tc>
          <w:tcPr>
            <w:tcW w:w="1185" w:type="dxa"/>
            <w:tcBorders>
              <w:bottom w:val="single" w:color="auto" w:sz="4" w:space="0"/>
            </w:tcBorders>
            <w:vAlign w:val="center"/>
          </w:tcPr>
          <w:p w14:paraId="5B5512D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27343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76BBFF4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597" w:type="dxa"/>
            <w:vAlign w:val="center"/>
          </w:tcPr>
          <w:p w14:paraId="253CC82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生态建设</w:t>
            </w:r>
          </w:p>
        </w:tc>
        <w:tc>
          <w:tcPr>
            <w:tcW w:w="6237" w:type="dxa"/>
            <w:tcBorders>
              <w:right w:val="single" w:color="auto" w:sz="4" w:space="0"/>
            </w:tcBorders>
            <w:vAlign w:val="center"/>
          </w:tcPr>
          <w:p w14:paraId="27D6F16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做好建设期的生态保护和水土保持工作。集中区建设过程中，应按照景观设计和功能分隔要求保留赵家岭、兰山岭等自然山体绿地，并做好对集中区南部南岭化工限制用地区边界山体及自然植被的保护，防止人为破坏；土石方开挖、堆存及回填要实施围挡、护坡等措施，裸露地及时恢复植被，防止水土流失。</w:t>
            </w:r>
          </w:p>
        </w:tc>
        <w:tc>
          <w:tcPr>
            <w:tcW w:w="5245" w:type="dxa"/>
            <w:tcBorders>
              <w:top w:val="single" w:color="auto" w:sz="4" w:space="0"/>
            </w:tcBorders>
            <w:vAlign w:val="center"/>
          </w:tcPr>
          <w:p w14:paraId="7BF804E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已做好建设期的生态保护和水土保持工作。</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建设过程中，按照景观设计和功能分隔要求保留赵家岭、兰山岭等自然山体绿地，并做好对</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南部南岭化工限制用地区边界山体及自然植被的保护，防止人为破坏；土石方开挖、堆存及回填实施了围挡、护坡等措施，裸露地及时恢复了植被，防止水土流失。</w:t>
            </w:r>
          </w:p>
        </w:tc>
        <w:tc>
          <w:tcPr>
            <w:tcW w:w="1185" w:type="dxa"/>
            <w:tcBorders>
              <w:top w:val="single" w:color="auto" w:sz="4" w:space="0"/>
            </w:tcBorders>
            <w:vAlign w:val="center"/>
          </w:tcPr>
          <w:p w14:paraId="74E2431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bookmarkEnd w:id="17"/>
    </w:tbl>
    <w:p w14:paraId="18880929">
      <w:pPr>
        <w:tabs>
          <w:tab w:val="left" w:pos="2550"/>
        </w:tabs>
        <w:snapToGrid w:val="0"/>
        <w:spacing w:line="520" w:lineRule="exact"/>
        <w:rPr>
          <w:rFonts w:hint="eastAsia" w:ascii="黑体" w:hAnsi="黑体" w:eastAsia="黑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ab/>
      </w:r>
      <w:r>
        <w:rPr>
          <w:rFonts w:ascii="黑体" w:hAnsi="黑体" w:eastAsia="黑体" w:cs="Times New Roman"/>
          <w:color w:val="000000" w:themeColor="text1"/>
          <w:szCs w:val="28"/>
          <w14:textFill>
            <w14:solidFill>
              <w14:schemeClr w14:val="tx1"/>
            </w14:solidFill>
          </w14:textFill>
        </w:rPr>
        <w:t xml:space="preserve">表2 </w:t>
      </w:r>
      <w:bookmarkStart w:id="18" w:name="_Hlk127979273"/>
      <w:r>
        <w:rPr>
          <w:rFonts w:ascii="黑体" w:hAnsi="黑体" w:eastAsia="黑体" w:cs="Times New Roman"/>
          <w:color w:val="000000" w:themeColor="text1"/>
          <w:szCs w:val="28"/>
          <w14:textFill>
            <w14:solidFill>
              <w14:schemeClr w14:val="tx1"/>
            </w14:solidFill>
          </w14:textFill>
        </w:rPr>
        <w:t>关于双牌工业集中区规划环境影响跟踪评价工作意见的</w:t>
      </w:r>
      <w:r>
        <w:rPr>
          <w:rFonts w:hint="eastAsia" w:ascii="黑体" w:hAnsi="黑体" w:eastAsia="黑体" w:cs="Times New Roman"/>
          <w:color w:val="000000" w:themeColor="text1"/>
          <w:szCs w:val="28"/>
          <w14:textFill>
            <w14:solidFill>
              <w14:schemeClr w14:val="tx1"/>
            </w14:solidFill>
          </w14:textFill>
        </w:rPr>
        <w:t>函</w:t>
      </w:r>
      <w:r>
        <w:rPr>
          <w:rFonts w:ascii="黑体" w:hAnsi="黑体" w:eastAsia="黑体" w:cs="Times New Roman"/>
          <w:color w:val="000000" w:themeColor="text1"/>
          <w:szCs w:val="28"/>
          <w14:textFill>
            <w14:solidFill>
              <w14:schemeClr w14:val="tx1"/>
            </w14:solidFill>
          </w14:textFill>
        </w:rPr>
        <w:t>及落实情况</w:t>
      </w:r>
      <w:bookmarkEnd w:id="18"/>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60"/>
        <w:gridCol w:w="1278"/>
        <w:gridCol w:w="6102"/>
        <w:gridCol w:w="4529"/>
        <w:gridCol w:w="1759"/>
      </w:tblGrid>
      <w:tr w14:paraId="0A3073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35D4313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bookmarkStart w:id="19" w:name="_Hlk127979296"/>
            <w:r>
              <w:rPr>
                <w:rFonts w:ascii="Times New Roman" w:hAnsi="Times New Roman" w:eastAsia="宋体" w:cs="Times New Roman"/>
                <w:color w:val="000000" w:themeColor="text1"/>
                <w:kern w:val="0"/>
                <w:sz w:val="21"/>
                <w:szCs w:val="21"/>
                <w14:textFill>
                  <w14:solidFill>
                    <w14:schemeClr w14:val="tx1"/>
                  </w14:solidFill>
                </w14:textFill>
              </w:rPr>
              <w:t>序号</w:t>
            </w:r>
          </w:p>
        </w:tc>
        <w:tc>
          <w:tcPr>
            <w:tcW w:w="7380" w:type="dxa"/>
            <w:gridSpan w:val="2"/>
            <w:vAlign w:val="center"/>
          </w:tcPr>
          <w:p w14:paraId="287154E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双牌工业集中区规划环境影响跟踪评价工作意见的函</w:t>
            </w:r>
            <w:r>
              <w:rPr>
                <w:rFonts w:ascii="Times New Roman" w:hAnsi="Times New Roman" w:eastAsia="宋体" w:cs="Times New Roman"/>
                <w:color w:val="000000" w:themeColor="text1"/>
                <w:kern w:val="0"/>
                <w:sz w:val="21"/>
                <w:szCs w:val="21"/>
                <w14:textFill>
                  <w14:solidFill>
                    <w14:schemeClr w14:val="tx1"/>
                  </w14:solidFill>
                </w14:textFill>
              </w:rPr>
              <w:t>要求</w:t>
            </w:r>
          </w:p>
        </w:tc>
        <w:tc>
          <w:tcPr>
            <w:tcW w:w="4529" w:type="dxa"/>
            <w:vAlign w:val="center"/>
          </w:tcPr>
          <w:p w14:paraId="1ED35C7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落实情况</w:t>
            </w:r>
          </w:p>
        </w:tc>
        <w:tc>
          <w:tcPr>
            <w:tcW w:w="1759" w:type="dxa"/>
            <w:vAlign w:val="center"/>
          </w:tcPr>
          <w:p w14:paraId="2D900C3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落实结果</w:t>
            </w:r>
          </w:p>
        </w:tc>
      </w:tr>
      <w:tr w14:paraId="3CAC46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7FBA2C2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1278" w:type="dxa"/>
            <w:vAlign w:val="center"/>
          </w:tcPr>
          <w:p w14:paraId="243CFF7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规划</w:t>
            </w:r>
            <w:r>
              <w:rPr>
                <w:rFonts w:hint="eastAsia" w:ascii="Times New Roman" w:hAnsi="Times New Roman" w:eastAsia="宋体" w:cs="Times New Roman"/>
                <w:color w:val="000000" w:themeColor="text1"/>
                <w:kern w:val="0"/>
                <w:sz w:val="21"/>
                <w:szCs w:val="21"/>
                <w14:textFill>
                  <w14:solidFill>
                    <w14:schemeClr w14:val="tx1"/>
                  </w14:solidFill>
                </w14:textFill>
              </w:rPr>
              <w:t>用地</w:t>
            </w:r>
          </w:p>
        </w:tc>
        <w:tc>
          <w:tcPr>
            <w:tcW w:w="6102" w:type="dxa"/>
            <w:vAlign w:val="center"/>
          </w:tcPr>
          <w:p w14:paraId="5320E7F8">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解决原有规划用地不符问题，</w:t>
            </w:r>
            <w:r>
              <w:rPr>
                <w:rFonts w:hint="eastAsia" w:ascii="Times New Roman" w:hAnsi="Times New Roman" w:eastAsia="宋体" w:cs="Times New Roman"/>
                <w:color w:val="000000" w:themeColor="text1"/>
                <w:kern w:val="0"/>
                <w:sz w:val="21"/>
                <w:szCs w:val="21"/>
                <w14:textFill>
                  <w14:solidFill>
                    <w14:schemeClr w14:val="tx1"/>
                  </w14:solidFill>
                </w14:textFill>
              </w:rPr>
              <w:t>结合《双牌县县城总体规划（2</w:t>
            </w:r>
            <w:r>
              <w:rPr>
                <w:rFonts w:ascii="Times New Roman" w:hAnsi="Times New Roman" w:eastAsia="宋体" w:cs="Times New Roman"/>
                <w:color w:val="000000" w:themeColor="text1"/>
                <w:kern w:val="0"/>
                <w:sz w:val="21"/>
                <w:szCs w:val="21"/>
                <w14:textFill>
                  <w14:solidFill>
                    <w14:schemeClr w14:val="tx1"/>
                  </w14:solidFill>
                </w14:textFill>
              </w:rPr>
              <w:t>008-2030</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018</w:t>
            </w:r>
            <w:r>
              <w:rPr>
                <w:rFonts w:hint="eastAsia" w:ascii="Times New Roman" w:hAnsi="Times New Roman" w:eastAsia="宋体" w:cs="Times New Roman"/>
                <w:color w:val="000000" w:themeColor="text1"/>
                <w:kern w:val="0"/>
                <w:sz w:val="21"/>
                <w:szCs w:val="21"/>
                <w14:textFill>
                  <w14:solidFill>
                    <w14:schemeClr w14:val="tx1"/>
                  </w14:solidFill>
                </w14:textFill>
              </w:rPr>
              <w:t>年修订）、《双牌县土地利用总体规划（2</w:t>
            </w:r>
            <w:r>
              <w:rPr>
                <w:rFonts w:ascii="Times New Roman" w:hAnsi="Times New Roman" w:eastAsia="宋体" w:cs="Times New Roman"/>
                <w:color w:val="000000" w:themeColor="text1"/>
                <w:kern w:val="0"/>
                <w:sz w:val="21"/>
                <w:szCs w:val="21"/>
                <w14:textFill>
                  <w14:solidFill>
                    <w14:schemeClr w14:val="tx1"/>
                  </w14:solidFill>
                </w14:textFill>
              </w:rPr>
              <w:t>006-2020</w:t>
            </w:r>
            <w:r>
              <w:rPr>
                <w:rFonts w:hint="eastAsia" w:ascii="Times New Roman" w:hAnsi="Times New Roman" w:eastAsia="宋体" w:cs="Times New Roman"/>
                <w:color w:val="000000" w:themeColor="text1"/>
                <w:kern w:val="0"/>
                <w:sz w:val="21"/>
                <w:szCs w:val="21"/>
                <w14:textFill>
                  <w14:solidFill>
                    <w14:schemeClr w14:val="tx1"/>
                  </w14:solidFill>
                </w14:textFill>
              </w:rPr>
              <w:t>年）》（2</w:t>
            </w:r>
            <w:r>
              <w:rPr>
                <w:rFonts w:ascii="Times New Roman" w:hAnsi="Times New Roman" w:eastAsia="宋体" w:cs="Times New Roman"/>
                <w:color w:val="000000" w:themeColor="text1"/>
                <w:kern w:val="0"/>
                <w:sz w:val="21"/>
                <w:szCs w:val="21"/>
                <w14:textFill>
                  <w14:solidFill>
                    <w14:schemeClr w14:val="tx1"/>
                  </w14:solidFill>
                </w14:textFill>
              </w:rPr>
              <w:t>016</w:t>
            </w:r>
            <w:r>
              <w:rPr>
                <w:rFonts w:hint="eastAsia" w:ascii="Times New Roman" w:hAnsi="Times New Roman" w:eastAsia="宋体" w:cs="Times New Roman"/>
                <w:color w:val="000000" w:themeColor="text1"/>
                <w:kern w:val="0"/>
                <w:sz w:val="21"/>
                <w:szCs w:val="21"/>
                <w14:textFill>
                  <w14:solidFill>
                    <w14:schemeClr w14:val="tx1"/>
                  </w14:solidFill>
                </w14:textFill>
              </w:rPr>
              <w:t>年修订）及时开展园区调区工作，解决园区省级批复面积（3</w:t>
            </w:r>
            <w:r>
              <w:rPr>
                <w:rFonts w:ascii="Times New Roman" w:hAnsi="Times New Roman" w:eastAsia="宋体" w:cs="Times New Roman"/>
                <w:color w:val="000000" w:themeColor="text1"/>
                <w:kern w:val="0"/>
                <w:sz w:val="21"/>
                <w:szCs w:val="21"/>
                <w14:textFill>
                  <w14:solidFill>
                    <w14:schemeClr w14:val="tx1"/>
                  </w14:solidFill>
                </w14:textFill>
              </w:rPr>
              <w:t>.15</w:t>
            </w:r>
            <w:r>
              <w:rPr>
                <w:rFonts w:hint="eastAsia" w:ascii="Times New Roman" w:hAnsi="Times New Roman" w:eastAsia="宋体" w:cs="Times New Roman"/>
                <w:color w:val="000000" w:themeColor="text1"/>
                <w:kern w:val="0"/>
                <w:sz w:val="21"/>
                <w:szCs w:val="21"/>
                <w14:textFill>
                  <w14:solidFill>
                    <w14:schemeClr w14:val="tx1"/>
                  </w14:solidFill>
                </w14:textFill>
              </w:rPr>
              <w:t>平方公里，湘政办函</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014</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6</w:t>
            </w:r>
            <w:r>
              <w:rPr>
                <w:rFonts w:ascii="Times New Roman" w:hAnsi="Times New Roman" w:eastAsia="宋体" w:cs="Times New Roman"/>
                <w:color w:val="000000" w:themeColor="text1"/>
                <w:kern w:val="0"/>
                <w:sz w:val="21"/>
                <w:szCs w:val="21"/>
                <w14:textFill>
                  <w14:solidFill>
                    <w14:schemeClr w14:val="tx1"/>
                  </w14:solidFill>
                </w14:textFill>
              </w:rPr>
              <w:t>6</w:t>
            </w:r>
            <w:r>
              <w:rPr>
                <w:rFonts w:hint="eastAsia" w:ascii="Times New Roman" w:hAnsi="Times New Roman" w:eastAsia="宋体" w:cs="Times New Roman"/>
                <w:color w:val="000000" w:themeColor="text1"/>
                <w:kern w:val="0"/>
                <w:sz w:val="21"/>
                <w:szCs w:val="21"/>
                <w14:textFill>
                  <w14:solidFill>
                    <w14:schemeClr w14:val="tx1"/>
                  </w14:solidFill>
                </w14:textFill>
              </w:rPr>
              <w:t>号远大于六部委《中国开发区审核公告目录（2</w:t>
            </w:r>
            <w:r>
              <w:rPr>
                <w:rFonts w:ascii="Times New Roman" w:hAnsi="Times New Roman" w:eastAsia="宋体" w:cs="Times New Roman"/>
                <w:color w:val="000000" w:themeColor="text1"/>
                <w:kern w:val="0"/>
                <w:sz w:val="21"/>
                <w:szCs w:val="21"/>
                <w14:textFill>
                  <w14:solidFill>
                    <w14:schemeClr w14:val="tx1"/>
                  </w14:solidFill>
                </w14:textFill>
              </w:rPr>
              <w:t>018</w:t>
            </w:r>
            <w:r>
              <w:rPr>
                <w:rFonts w:hint="eastAsia" w:ascii="Times New Roman" w:hAnsi="Times New Roman" w:eastAsia="宋体" w:cs="Times New Roman"/>
                <w:color w:val="000000" w:themeColor="text1"/>
                <w:kern w:val="0"/>
                <w:sz w:val="21"/>
                <w:szCs w:val="21"/>
                <w14:textFill>
                  <w14:solidFill>
                    <w14:schemeClr w14:val="tx1"/>
                  </w14:solidFill>
                </w14:textFill>
              </w:rPr>
              <w:t>年版）》核准面积（1</w:t>
            </w:r>
            <w:r>
              <w:rPr>
                <w:rFonts w:ascii="Times New Roman" w:hAnsi="Times New Roman" w:eastAsia="宋体" w:cs="Times New Roman"/>
                <w:color w:val="000000" w:themeColor="text1"/>
                <w:kern w:val="0"/>
                <w:sz w:val="21"/>
                <w:szCs w:val="21"/>
                <w14:textFill>
                  <w14:solidFill>
                    <w14:schemeClr w14:val="tx1"/>
                  </w14:solidFill>
                </w14:textFill>
              </w:rPr>
              <w:t>.1851</w:t>
            </w:r>
            <w:r>
              <w:rPr>
                <w:rFonts w:hint="eastAsia" w:ascii="Times New Roman" w:hAnsi="Times New Roman" w:eastAsia="宋体" w:cs="Times New Roman"/>
                <w:color w:val="000000" w:themeColor="text1"/>
                <w:kern w:val="0"/>
                <w:sz w:val="21"/>
                <w:szCs w:val="21"/>
                <w14:textFill>
                  <w14:solidFill>
                    <w14:schemeClr w14:val="tx1"/>
                  </w14:solidFill>
                </w14:textFill>
              </w:rPr>
              <w:t>平方公里）问题，</w:t>
            </w:r>
            <w:r>
              <w:rPr>
                <w:rFonts w:ascii="Times New Roman" w:hAnsi="Times New Roman" w:eastAsia="宋体" w:cs="Times New Roman"/>
                <w:color w:val="000000" w:themeColor="text1"/>
                <w:kern w:val="0"/>
                <w:sz w:val="21"/>
                <w:szCs w:val="21"/>
                <w14:textFill>
                  <w14:solidFill>
                    <w14:schemeClr w14:val="tx1"/>
                  </w14:solidFill>
                </w14:textFill>
              </w:rPr>
              <w:t>合理提升园区开发强度和聚集度。</w:t>
            </w:r>
          </w:p>
        </w:tc>
        <w:tc>
          <w:tcPr>
            <w:tcW w:w="4529" w:type="dxa"/>
            <w:vAlign w:val="center"/>
          </w:tcPr>
          <w:p w14:paraId="30700556">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目前园区调区工作已完成，扩区工作正在开展中，合理解决原有规划用地不符问题，提升园区开发强度和聚集度。</w:t>
            </w:r>
          </w:p>
        </w:tc>
        <w:tc>
          <w:tcPr>
            <w:tcW w:w="1759" w:type="dxa"/>
            <w:vAlign w:val="center"/>
          </w:tcPr>
          <w:p w14:paraId="548991D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4CA116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38264AE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1278" w:type="dxa"/>
            <w:vAlign w:val="center"/>
          </w:tcPr>
          <w:p w14:paraId="3014142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环境准入</w:t>
            </w:r>
          </w:p>
        </w:tc>
        <w:tc>
          <w:tcPr>
            <w:tcW w:w="6102" w:type="dxa"/>
            <w:vAlign w:val="center"/>
          </w:tcPr>
          <w:p w14:paraId="0D55D14C">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严格环境准入，优化园区产业结构。落实园区“三线一单”管控要求，严格园区项目环境准入，严格限制高能耗、高水耗、高污染的企业入园，优先引进技术工艺先进，低消耗、少污染、可循环、清洁生产水平高的企业。牢固树立“生态优先、绿色发展”理念。推动后续规划实施与区域生态环境保护协调发展。</w:t>
            </w:r>
          </w:p>
        </w:tc>
        <w:tc>
          <w:tcPr>
            <w:tcW w:w="4529" w:type="dxa"/>
            <w:vAlign w:val="center"/>
          </w:tcPr>
          <w:p w14:paraId="304AFBC5">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开发区</w:t>
            </w:r>
            <w:r>
              <w:rPr>
                <w:rFonts w:ascii="Times New Roman" w:hAnsi="Times New Roman" w:eastAsia="宋体" w:cs="Times New Roman"/>
                <w:color w:val="000000" w:themeColor="text1"/>
                <w:kern w:val="0"/>
                <w:sz w:val="21"/>
                <w:szCs w:val="21"/>
                <w14:textFill>
                  <w14:solidFill>
                    <w14:schemeClr w14:val="tx1"/>
                  </w14:solidFill>
                </w14:textFill>
              </w:rPr>
              <w:t>严格按照“三线一单”管控要求，严格园区项目环境准入。</w:t>
            </w:r>
          </w:p>
        </w:tc>
        <w:tc>
          <w:tcPr>
            <w:tcW w:w="1759" w:type="dxa"/>
            <w:vAlign w:val="center"/>
          </w:tcPr>
          <w:p w14:paraId="47A9800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0C4FAC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5AE0B98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w:t>
            </w:r>
          </w:p>
        </w:tc>
        <w:tc>
          <w:tcPr>
            <w:tcW w:w="1278" w:type="dxa"/>
            <w:vAlign w:val="center"/>
          </w:tcPr>
          <w:p w14:paraId="7A3A1CB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废水治理</w:t>
            </w:r>
          </w:p>
        </w:tc>
        <w:tc>
          <w:tcPr>
            <w:tcW w:w="6102" w:type="dxa"/>
            <w:vAlign w:val="center"/>
          </w:tcPr>
          <w:p w14:paraId="226BE2C2">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完善“雨污分流”排水体制，加快污水处理厂扩建及园区的管网建设，完成双牌县污水处理厂扩容提标，排水执行《城镇污水处理厂污染物排放标准》（GB18918-2002）一级A标准。</w:t>
            </w:r>
          </w:p>
        </w:tc>
        <w:tc>
          <w:tcPr>
            <w:tcW w:w="4529" w:type="dxa"/>
            <w:vAlign w:val="center"/>
          </w:tcPr>
          <w:p w14:paraId="1FE6FD54">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双牌县污水处理厂扩容提标改造及配套管网工程已建</w:t>
            </w:r>
            <w:r>
              <w:rPr>
                <w:rFonts w:hint="eastAsia" w:ascii="Times New Roman" w:hAnsi="Times New Roman" w:eastAsia="宋体" w:cs="Times New Roman"/>
                <w:color w:val="000000" w:themeColor="text1"/>
                <w:kern w:val="0"/>
                <w:sz w:val="21"/>
                <w:szCs w:val="21"/>
                <w14:textFill>
                  <w14:solidFill>
                    <w14:schemeClr w14:val="tx1"/>
                  </w14:solidFill>
                </w14:textFill>
              </w:rPr>
              <w:t>成并运营</w:t>
            </w:r>
            <w:r>
              <w:rPr>
                <w:rFonts w:ascii="Times New Roman" w:hAnsi="Times New Roman" w:eastAsia="宋体" w:cs="Times New Roman"/>
                <w:color w:val="000000" w:themeColor="text1"/>
                <w:kern w:val="0"/>
                <w:sz w:val="21"/>
                <w:szCs w:val="21"/>
                <w14:textFill>
                  <w14:solidFill>
                    <w14:schemeClr w14:val="tx1"/>
                  </w14:solidFill>
                </w14:textFill>
              </w:rPr>
              <w:t>，出水水质提高到《城镇污水处理厂污染物排放标准》（GB18918-2002）一级A标准。</w:t>
            </w:r>
          </w:p>
        </w:tc>
        <w:tc>
          <w:tcPr>
            <w:tcW w:w="1759" w:type="dxa"/>
            <w:vAlign w:val="center"/>
          </w:tcPr>
          <w:p w14:paraId="7B91329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49ADA0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679D0AE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1278" w:type="dxa"/>
            <w:vAlign w:val="center"/>
          </w:tcPr>
          <w:p w14:paraId="0EB8F96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废气治理</w:t>
            </w:r>
          </w:p>
        </w:tc>
        <w:tc>
          <w:tcPr>
            <w:tcW w:w="6102" w:type="dxa"/>
            <w:vAlign w:val="center"/>
          </w:tcPr>
          <w:p w14:paraId="6945571C">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按报告书要求做好集中区大气污染控制措施。</w:t>
            </w:r>
            <w:r>
              <w:rPr>
                <w:rFonts w:hint="eastAsia" w:ascii="Times New Roman" w:hAnsi="Times New Roman" w:eastAsia="宋体" w:cs="Times New Roman"/>
                <w:color w:val="000000" w:themeColor="text1"/>
                <w:kern w:val="0"/>
                <w:sz w:val="21"/>
                <w:szCs w:val="21"/>
                <w14:textFill>
                  <w14:solidFill>
                    <w14:schemeClr w14:val="tx1"/>
                  </w14:solidFill>
                </w14:textFill>
              </w:rPr>
              <w:t>园区管理机构应积极推广清洁能源；加强企业管理，对各企业有工艺废气产出的生产节点，应配置废气收集与处理净化装置，做到达标排放；加强生产工艺研究与技术改进，采取有效措施，减少工艺废气的无组织排放，按各项目环评要求设置大气环境防护距离。合理优化工艺布局，在满足园区功能分区的前提下，尽量将气型污染企业布置在园区下风向，并在工业企业之间设置合理的间隔距离，避免不利影响</w:t>
            </w:r>
          </w:p>
        </w:tc>
        <w:tc>
          <w:tcPr>
            <w:tcW w:w="4529" w:type="dxa"/>
            <w:vAlign w:val="center"/>
          </w:tcPr>
          <w:p w14:paraId="242BB3D3">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加强企业管理，对各企业有工艺废气产出的生产节点，应配置废气收集与处理净化装置，做到达标排放，加强生产工艺研究与技术改进，采取有效措施，减少工艺废气的无组织排放</w:t>
            </w:r>
          </w:p>
        </w:tc>
        <w:tc>
          <w:tcPr>
            <w:tcW w:w="1759" w:type="dxa"/>
            <w:vAlign w:val="center"/>
          </w:tcPr>
          <w:p w14:paraId="3B9E79A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202718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24F4695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1278" w:type="dxa"/>
            <w:vAlign w:val="center"/>
          </w:tcPr>
          <w:p w14:paraId="4F79B93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固废处置</w:t>
            </w:r>
          </w:p>
        </w:tc>
        <w:tc>
          <w:tcPr>
            <w:tcW w:w="6102" w:type="dxa"/>
            <w:vAlign w:val="center"/>
          </w:tcPr>
          <w:p w14:paraId="0BC477C9">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所生固体废物特别是危险废物应按国家有关规定综合利用或妥善处置，严防二次污染。</w:t>
            </w:r>
          </w:p>
        </w:tc>
        <w:tc>
          <w:tcPr>
            <w:tcW w:w="4529" w:type="dxa"/>
            <w:vAlign w:val="center"/>
          </w:tcPr>
          <w:p w14:paraId="0B3421F4">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1、已做好工业固体废物和生活垃圾的分类收集、转运、综合利用和无害化处理；</w:t>
            </w:r>
          </w:p>
          <w:p w14:paraId="6A074F80">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2、推行清洁生产，减少固体废物产生量；提高了固体废物综合利用率；</w:t>
            </w:r>
          </w:p>
          <w:p w14:paraId="3581D4BE">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3、企业产生固体废物，包括危险固废已按国家有关规定综合处理或妥善处理，未产生二次污染。</w:t>
            </w:r>
          </w:p>
        </w:tc>
        <w:tc>
          <w:tcPr>
            <w:tcW w:w="1759" w:type="dxa"/>
            <w:vAlign w:val="center"/>
          </w:tcPr>
          <w:p w14:paraId="50CB3E6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77F64B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16D5110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w:t>
            </w:r>
          </w:p>
        </w:tc>
        <w:tc>
          <w:tcPr>
            <w:tcW w:w="1278" w:type="dxa"/>
            <w:vAlign w:val="center"/>
          </w:tcPr>
          <w:p w14:paraId="06FB73D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生态环境</w:t>
            </w:r>
          </w:p>
        </w:tc>
        <w:tc>
          <w:tcPr>
            <w:tcW w:w="6102" w:type="dxa"/>
            <w:vAlign w:val="center"/>
          </w:tcPr>
          <w:p w14:paraId="7796E1D4">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做好园区建设期生态环境保护和水土保持。</w:t>
            </w:r>
            <w:r>
              <w:rPr>
                <w:rFonts w:hint="eastAsia" w:ascii="Times New Roman" w:hAnsi="Times New Roman" w:eastAsia="宋体" w:cs="Times New Roman"/>
                <w:color w:val="000000" w:themeColor="text1"/>
                <w:kern w:val="0"/>
                <w:sz w:val="21"/>
                <w:szCs w:val="21"/>
                <w14:textFill>
                  <w14:solidFill>
                    <w14:schemeClr w14:val="tx1"/>
                  </w14:solidFill>
                </w14:textFill>
              </w:rPr>
              <w:t>尽可能保留自然山体、水面，施工期对土石方开挖、堆存及回填要实施围挡、护坡等措施，裸露地及时恢复植被，防止水体流失，杜绝施工建设对地表水体的污染。</w:t>
            </w:r>
          </w:p>
        </w:tc>
        <w:tc>
          <w:tcPr>
            <w:tcW w:w="4529" w:type="dxa"/>
            <w:vAlign w:val="center"/>
          </w:tcPr>
          <w:p w14:paraId="7262781A">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园区建设按要求采取防尘及水保措施</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 xml:space="preserve"> </w:t>
            </w:r>
          </w:p>
        </w:tc>
        <w:tc>
          <w:tcPr>
            <w:tcW w:w="1759" w:type="dxa"/>
            <w:vAlign w:val="center"/>
          </w:tcPr>
          <w:p w14:paraId="46A6617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38AF29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3EC21B3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1278" w:type="dxa"/>
            <w:vAlign w:val="center"/>
          </w:tcPr>
          <w:p w14:paraId="3799FDA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环境管理</w:t>
            </w:r>
          </w:p>
        </w:tc>
        <w:tc>
          <w:tcPr>
            <w:tcW w:w="6102" w:type="dxa"/>
            <w:vAlign w:val="center"/>
          </w:tcPr>
          <w:p w14:paraId="29A46A6D">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完善环境管理和监测体系。建立健全园区环境管理机制，配备专职环保管理人员，由专业人员负责对工业园区的环保问题进行研究、管理、联系、指导；结合规划的功能分区、产业布局、重点企业分布、特征污染物的排放种类和状况、环境敏感目标分布等，建立健全环境空气、地表水、地下水、土壤等环境要素的监控体系，明确实施时限、责任主体等。</w:t>
            </w:r>
          </w:p>
        </w:tc>
        <w:tc>
          <w:tcPr>
            <w:tcW w:w="4529" w:type="dxa"/>
            <w:vAlign w:val="center"/>
          </w:tcPr>
          <w:p w14:paraId="23939604">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配备了完善的环境管理和监测体系。</w:t>
            </w:r>
          </w:p>
        </w:tc>
        <w:tc>
          <w:tcPr>
            <w:tcW w:w="1759" w:type="dxa"/>
            <w:vAlign w:val="center"/>
          </w:tcPr>
          <w:p w14:paraId="6FEED6B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已落实</w:t>
            </w:r>
          </w:p>
        </w:tc>
      </w:tr>
      <w:tr w14:paraId="1F2994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3" w:hRule="atLeast"/>
          <w:jc w:val="center"/>
        </w:trPr>
        <w:tc>
          <w:tcPr>
            <w:tcW w:w="0" w:type="auto"/>
            <w:vAlign w:val="center"/>
          </w:tcPr>
          <w:p w14:paraId="32E488A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w:t>
            </w:r>
          </w:p>
        </w:tc>
        <w:tc>
          <w:tcPr>
            <w:tcW w:w="1278" w:type="dxa"/>
            <w:vAlign w:val="center"/>
          </w:tcPr>
          <w:p w14:paraId="045B31F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环境风险防范</w:t>
            </w:r>
          </w:p>
        </w:tc>
        <w:tc>
          <w:tcPr>
            <w:tcW w:w="6102" w:type="dxa"/>
            <w:vAlign w:val="center"/>
          </w:tcPr>
          <w:p w14:paraId="39983BD4">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建立健全环境风险防控体系，加强区内重要风险源管控。加强危险化学品储运的环境风险管理，严格落实应急响应联动机制，确保区域水环境安全。</w:t>
            </w:r>
          </w:p>
        </w:tc>
        <w:tc>
          <w:tcPr>
            <w:tcW w:w="4529" w:type="dxa"/>
            <w:vAlign w:val="center"/>
          </w:tcPr>
          <w:p w14:paraId="203BF3DB">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按要求建立了风险防范措施。</w:t>
            </w:r>
          </w:p>
        </w:tc>
        <w:tc>
          <w:tcPr>
            <w:tcW w:w="1759" w:type="dxa"/>
            <w:vAlign w:val="center"/>
          </w:tcPr>
          <w:p w14:paraId="3706E91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已落实</w:t>
            </w:r>
          </w:p>
        </w:tc>
      </w:tr>
      <w:bookmarkEnd w:id="19"/>
    </w:tbl>
    <w:p w14:paraId="193CE285">
      <w:pPr>
        <w:tabs>
          <w:tab w:val="left" w:pos="1680"/>
        </w:tabs>
        <w:rPr>
          <w:rFonts w:ascii="Times New Roman" w:hAnsi="Times New Roman" w:eastAsia="宋体" w:cs="Times New Roman"/>
          <w:color w:val="000000" w:themeColor="text1"/>
          <w:szCs w:val="28"/>
          <w14:textFill>
            <w14:solidFill>
              <w14:schemeClr w14:val="tx1"/>
            </w14:solidFill>
          </w14:textFill>
        </w:rPr>
        <w:sectPr>
          <w:pgSz w:w="16838" w:h="11906" w:orient="landscape"/>
          <w:pgMar w:top="1560" w:right="1440" w:bottom="1797" w:left="1440" w:header="851" w:footer="992" w:gutter="0"/>
          <w:cols w:space="425" w:num="1"/>
          <w:docGrid w:type="linesAndChars" w:linePitch="312" w:charSpace="0"/>
        </w:sectPr>
      </w:pPr>
    </w:p>
    <w:bookmarkEnd w:id="15"/>
    <w:p w14:paraId="4FCACE73">
      <w:pPr>
        <w:pStyle w:val="2"/>
        <w:ind w:firstLine="640"/>
        <w:rPr>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园区规划环评与跟踪环评要求的园区年度环境质量自行监测计划见表3，</w:t>
      </w:r>
      <w:bookmarkStart w:id="20" w:name="_Hlk131063433"/>
      <w:r>
        <w:rPr>
          <w:rFonts w:hint="eastAsia" w:ascii="仿宋_GB2312" w:hAnsi="仿宋_GB2312" w:cs="仿宋_GB2312"/>
          <w:color w:val="000000" w:themeColor="text1"/>
          <w:szCs w:val="32"/>
          <w14:textFill>
            <w14:solidFill>
              <w14:schemeClr w14:val="tx1"/>
            </w14:solidFill>
          </w14:textFill>
        </w:rPr>
        <w:t>园区管委会根据表3的监测点位委托湖南中鑫检技术有限公司于</w:t>
      </w:r>
      <w:bookmarkStart w:id="21" w:name="_Hlk126595571"/>
      <w:r>
        <w:rPr>
          <w:rFonts w:hint="eastAsia" w:ascii="仿宋_GB2312" w:hAnsi="仿宋_GB2312" w:cs="仿宋_GB2312"/>
          <w:color w:val="000000" w:themeColor="text1"/>
          <w:szCs w:val="32"/>
          <w14:textFill>
            <w14:solidFill>
              <w14:schemeClr w14:val="tx1"/>
            </w14:solidFill>
          </w14:textFill>
        </w:rPr>
        <w:t>2025年03月24日-2025年03月30日、</w:t>
      </w:r>
      <w:bookmarkEnd w:id="21"/>
      <w:r>
        <w:rPr>
          <w:rFonts w:hint="eastAsia" w:ascii="仿宋_GB2312" w:hAnsi="仿宋_GB2312" w:cs="仿宋_GB2312"/>
          <w:color w:val="000000" w:themeColor="text1"/>
          <w:szCs w:val="32"/>
          <w14:textFill>
            <w14:solidFill>
              <w14:schemeClr w14:val="tx1"/>
            </w14:solidFill>
          </w14:textFill>
        </w:rPr>
        <w:t>2025年05月24日-2025年05月30日、2025年07月19日-2025年07月25日、2025年11月01日-2025年11月07日开展了监测</w:t>
      </w:r>
      <w:bookmarkEnd w:id="20"/>
      <w:r>
        <w:rPr>
          <w:rFonts w:hint="eastAsia" w:ascii="仿宋_GB2312" w:hAnsi="仿宋_GB2312" w:cs="仿宋_GB2312"/>
          <w:color w:val="000000" w:themeColor="text1"/>
          <w:szCs w:val="32"/>
          <w14:textFill>
            <w14:solidFill>
              <w14:schemeClr w14:val="tx1"/>
            </w14:solidFill>
          </w14:textFill>
        </w:rPr>
        <w:t>，监测结果均达标。</w:t>
      </w:r>
    </w:p>
    <w:p w14:paraId="325EEC38">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园区内设置有一处环境空气小微站，监测因子为PM</w:t>
      </w:r>
      <w:r>
        <w:rPr>
          <w:rFonts w:hint="eastAsia" w:ascii="仿宋_GB2312" w:hAnsi="仿宋_GB2312" w:cs="仿宋_GB2312"/>
          <w:color w:val="000000" w:themeColor="text1"/>
          <w:szCs w:val="32"/>
          <w:vertAlign w:val="subscript"/>
          <w14:textFill>
            <w14:solidFill>
              <w14:schemeClr w14:val="tx1"/>
            </w14:solidFill>
          </w14:textFill>
        </w:rPr>
        <w:t>2.5</w:t>
      </w:r>
      <w:r>
        <w:rPr>
          <w:rFonts w:hint="eastAsia" w:ascii="仿宋_GB2312" w:hAnsi="仿宋_GB2312" w:cs="仿宋_GB2312"/>
          <w:color w:val="000000" w:themeColor="text1"/>
          <w:szCs w:val="32"/>
          <w14:textFill>
            <w14:solidFill>
              <w14:schemeClr w14:val="tx1"/>
            </w14:solidFill>
          </w14:textFill>
        </w:rPr>
        <w:t>、PM</w:t>
      </w:r>
      <w:r>
        <w:rPr>
          <w:rFonts w:hint="eastAsia" w:ascii="仿宋_GB2312" w:hAnsi="仿宋_GB2312" w:cs="仿宋_GB2312"/>
          <w:color w:val="000000" w:themeColor="text1"/>
          <w:szCs w:val="32"/>
          <w:vertAlign w:val="subscript"/>
          <w14:textFill>
            <w14:solidFill>
              <w14:schemeClr w14:val="tx1"/>
            </w14:solidFill>
          </w14:textFill>
        </w:rPr>
        <w:t>10</w:t>
      </w:r>
      <w:r>
        <w:rPr>
          <w:rFonts w:hint="eastAsia" w:ascii="仿宋_GB2312" w:hAnsi="仿宋_GB2312" w:cs="仿宋_GB2312"/>
          <w:color w:val="000000" w:themeColor="text1"/>
          <w:szCs w:val="32"/>
          <w14:textFill>
            <w14:solidFill>
              <w14:schemeClr w14:val="tx1"/>
            </w14:solidFill>
          </w14:textFill>
        </w:rPr>
        <w:t>、SO</w:t>
      </w:r>
      <w:r>
        <w:rPr>
          <w:rFonts w:hint="eastAsia" w:ascii="仿宋_GB2312" w:hAnsi="仿宋_GB2312" w:cs="仿宋_GB2312"/>
          <w:color w:val="000000" w:themeColor="text1"/>
          <w:szCs w:val="32"/>
          <w:vertAlign w:val="subscript"/>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、NO</w:t>
      </w:r>
      <w:r>
        <w:rPr>
          <w:rFonts w:hint="eastAsia" w:ascii="仿宋_GB2312" w:hAnsi="仿宋_GB2312" w:cs="仿宋_GB2312"/>
          <w:color w:val="000000" w:themeColor="text1"/>
          <w:szCs w:val="32"/>
          <w:vertAlign w:val="subscript"/>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、CO、O</w:t>
      </w:r>
      <w:r>
        <w:rPr>
          <w:rFonts w:hint="eastAsia" w:ascii="仿宋_GB2312" w:hAnsi="仿宋_GB2312" w:cs="仿宋_GB2312"/>
          <w:color w:val="000000" w:themeColor="text1"/>
          <w:szCs w:val="32"/>
          <w:vertAlign w:val="sub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w:t>
      </w:r>
    </w:p>
    <w:p w14:paraId="7E98DD08">
      <w:pPr>
        <w:pStyle w:val="2"/>
        <w:ind w:firstLine="0" w:firstLineChars="0"/>
        <w:jc w:val="center"/>
        <w:rPr>
          <w:rFonts w:hint="eastAsia"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表3 环境质量监测计划</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278"/>
        <w:gridCol w:w="1943"/>
        <w:gridCol w:w="1844"/>
        <w:gridCol w:w="1359"/>
      </w:tblGrid>
      <w:tr w14:paraId="428D8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4964810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环境要素</w:t>
            </w:r>
          </w:p>
        </w:tc>
        <w:tc>
          <w:tcPr>
            <w:tcW w:w="1721" w:type="pct"/>
            <w:gridSpan w:val="2"/>
            <w:vAlign w:val="center"/>
          </w:tcPr>
          <w:p w14:paraId="2FB7C76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监测点位</w:t>
            </w:r>
          </w:p>
        </w:tc>
        <w:tc>
          <w:tcPr>
            <w:tcW w:w="924" w:type="pct"/>
            <w:vAlign w:val="center"/>
          </w:tcPr>
          <w:p w14:paraId="3868D78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监测因子</w:t>
            </w:r>
          </w:p>
        </w:tc>
        <w:tc>
          <w:tcPr>
            <w:tcW w:w="1176" w:type="pct"/>
            <w:vAlign w:val="center"/>
          </w:tcPr>
          <w:p w14:paraId="29209F6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监测时段或频次</w:t>
            </w:r>
          </w:p>
        </w:tc>
        <w:tc>
          <w:tcPr>
            <w:tcW w:w="883" w:type="pct"/>
            <w:vAlign w:val="center"/>
          </w:tcPr>
          <w:p w14:paraId="6390BC1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实际落实情况</w:t>
            </w:r>
          </w:p>
        </w:tc>
      </w:tr>
      <w:tr w14:paraId="5442C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vAlign w:val="center"/>
          </w:tcPr>
          <w:p w14:paraId="49C5B41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大气环境</w:t>
            </w:r>
          </w:p>
        </w:tc>
        <w:tc>
          <w:tcPr>
            <w:tcW w:w="1721" w:type="pct"/>
            <w:gridSpan w:val="2"/>
            <w:vAlign w:val="center"/>
          </w:tcPr>
          <w:p w14:paraId="409A54C8">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22" w:name="OLE_LINK1"/>
            <w:r>
              <w:rPr>
                <w:rFonts w:hint="eastAsia" w:ascii="Times New Roman" w:hAnsi="Times New Roman" w:eastAsia="宋体" w:cs="Times New Roman"/>
                <w:color w:val="000000" w:themeColor="text1"/>
                <w:sz w:val="21"/>
                <w:szCs w:val="21"/>
                <w14:textFill>
                  <w14:solidFill>
                    <w14:schemeClr w14:val="tx1"/>
                  </w14:solidFill>
                </w14:textFill>
              </w:rPr>
              <w:t>开发</w:t>
            </w:r>
            <w:bookmarkEnd w:id="22"/>
            <w:r>
              <w:rPr>
                <w:rFonts w:ascii="Times New Roman" w:hAnsi="Times New Roman" w:eastAsia="宋体" w:cs="Times New Roman"/>
                <w:color w:val="000000" w:themeColor="text1"/>
                <w:sz w:val="21"/>
                <w:szCs w:val="21"/>
                <w14:textFill>
                  <w14:solidFill>
                    <w14:schemeClr w14:val="tx1"/>
                  </w14:solidFill>
                </w14:textFill>
              </w:rPr>
              <w:t>区外安置小区</w:t>
            </w:r>
          </w:p>
        </w:tc>
        <w:tc>
          <w:tcPr>
            <w:tcW w:w="924" w:type="pct"/>
            <w:vMerge w:val="restart"/>
            <w:vAlign w:val="center"/>
          </w:tcPr>
          <w:p w14:paraId="7BB35D9C">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23" w:name="_Hlk126596241"/>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bookmarkEnd w:id="23"/>
            <w:bookmarkStart w:id="24" w:name="_Hlk126596267"/>
            <w:r>
              <w:rPr>
                <w:rFonts w:ascii="Times New Roman" w:hAnsi="Times New Roman" w:eastAsia="宋体" w:cs="Times New Roman"/>
                <w:color w:val="000000" w:themeColor="text1"/>
                <w:sz w:val="21"/>
                <w:szCs w:val="21"/>
                <w14:textFill>
                  <w14:solidFill>
                    <w14:schemeClr w14:val="tx1"/>
                  </w14:solidFill>
                </w14:textFill>
              </w:rPr>
              <w:t>SO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、NO</w:t>
            </w:r>
            <w:r>
              <w:rPr>
                <w:rFonts w:ascii="Times New Roman" w:hAnsi="Times New Roman" w:eastAsia="宋体" w:cs="Times New Roman"/>
                <w:color w:val="000000" w:themeColor="text1"/>
                <w:sz w:val="21"/>
                <w:szCs w:val="21"/>
                <w:vertAlign w:val="subscript"/>
                <w14:textFill>
                  <w14:solidFill>
                    <w14:schemeClr w14:val="tx1"/>
                  </w14:solidFill>
                </w14:textFill>
              </w:rPr>
              <w:t>2</w:t>
            </w:r>
            <w:bookmarkEnd w:id="24"/>
          </w:p>
        </w:tc>
        <w:tc>
          <w:tcPr>
            <w:tcW w:w="1176" w:type="pct"/>
            <w:vAlign w:val="center"/>
          </w:tcPr>
          <w:p w14:paraId="2B1B2B8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每季一次，每次</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天</w:t>
            </w:r>
          </w:p>
        </w:tc>
        <w:tc>
          <w:tcPr>
            <w:tcW w:w="883" w:type="pct"/>
            <w:vMerge w:val="restart"/>
            <w:vAlign w:val="center"/>
          </w:tcPr>
          <w:p w14:paraId="4C618547">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实际监测计划满足规划环评和跟踪环评要求</w:t>
            </w:r>
          </w:p>
        </w:tc>
      </w:tr>
      <w:tr w14:paraId="09185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20E15B54">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721" w:type="pct"/>
            <w:gridSpan w:val="2"/>
            <w:vAlign w:val="center"/>
          </w:tcPr>
          <w:p w14:paraId="007970E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开发</w:t>
            </w:r>
            <w:r>
              <w:rPr>
                <w:rFonts w:ascii="Times New Roman" w:hAnsi="Times New Roman" w:eastAsia="宋体" w:cs="Times New Roman"/>
                <w:color w:val="000000" w:themeColor="text1"/>
                <w:sz w:val="21"/>
                <w:szCs w:val="21"/>
                <w14:textFill>
                  <w14:solidFill>
                    <w14:schemeClr w14:val="tx1"/>
                  </w14:solidFill>
                </w14:textFill>
              </w:rPr>
              <w:t>区内</w:t>
            </w:r>
          </w:p>
        </w:tc>
        <w:tc>
          <w:tcPr>
            <w:tcW w:w="924" w:type="pct"/>
            <w:vMerge w:val="continue"/>
            <w:vAlign w:val="center"/>
          </w:tcPr>
          <w:p w14:paraId="4DECD0B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Align w:val="center"/>
          </w:tcPr>
          <w:p w14:paraId="110EE56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每半年一次，每次</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天</w:t>
            </w:r>
          </w:p>
        </w:tc>
        <w:tc>
          <w:tcPr>
            <w:tcW w:w="883" w:type="pct"/>
            <w:vMerge w:val="continue"/>
            <w:vAlign w:val="center"/>
          </w:tcPr>
          <w:p w14:paraId="038464B6">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107BD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95" w:type="pct"/>
            <w:vMerge w:val="restart"/>
            <w:vAlign w:val="center"/>
          </w:tcPr>
          <w:p w14:paraId="0534889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地表水</w:t>
            </w:r>
          </w:p>
        </w:tc>
        <w:tc>
          <w:tcPr>
            <w:tcW w:w="257" w:type="pct"/>
            <w:vMerge w:val="restart"/>
            <w:vAlign w:val="center"/>
          </w:tcPr>
          <w:p w14:paraId="4B68795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潇水</w:t>
            </w:r>
          </w:p>
        </w:tc>
        <w:tc>
          <w:tcPr>
            <w:tcW w:w="1464" w:type="pct"/>
            <w:vAlign w:val="center"/>
          </w:tcPr>
          <w:p w14:paraId="02040E2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双牌</w:t>
            </w:r>
            <w:r>
              <w:rPr>
                <w:rFonts w:hint="eastAsia" w:ascii="Times New Roman" w:hAnsi="Times New Roman" w:eastAsia="宋体" w:cs="Times New Roman"/>
                <w:color w:val="000000" w:themeColor="text1"/>
                <w:sz w:val="21"/>
                <w:szCs w:val="21"/>
                <w14:textFill>
                  <w14:solidFill>
                    <w14:schemeClr w14:val="tx1"/>
                  </w14:solidFill>
                </w14:textFill>
              </w:rPr>
              <w:t>开发</w:t>
            </w:r>
            <w:r>
              <w:rPr>
                <w:rFonts w:ascii="Times New Roman" w:hAnsi="Times New Roman" w:eastAsia="宋体" w:cs="Times New Roman"/>
                <w:color w:val="000000" w:themeColor="text1"/>
                <w:sz w:val="21"/>
                <w:szCs w:val="21"/>
                <w14:textFill>
                  <w14:solidFill>
                    <w14:schemeClr w14:val="tx1"/>
                  </w14:solidFill>
                </w14:textFill>
              </w:rPr>
              <w:t>区入园上游1000m断面</w:t>
            </w:r>
          </w:p>
        </w:tc>
        <w:tc>
          <w:tcPr>
            <w:tcW w:w="924" w:type="pct"/>
            <w:vMerge w:val="restart"/>
            <w:vAlign w:val="center"/>
          </w:tcPr>
          <w:p w14:paraId="70A0625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水温、pH、DO、CODcr、SS、COD</w:t>
            </w:r>
            <w:r>
              <w:rPr>
                <w:rFonts w:hint="eastAsia" w:ascii="Times New Roman" w:hAnsi="Times New Roman" w:eastAsia="宋体" w:cs="Times New Roman"/>
                <w:color w:val="000000" w:themeColor="text1"/>
                <w:sz w:val="21"/>
                <w:szCs w:val="21"/>
                <w:vertAlign w:val="subscript"/>
                <w14:textFill>
                  <w14:solidFill>
                    <w14:schemeClr w14:val="tx1"/>
                  </w14:solidFill>
                </w14:textFill>
              </w:rPr>
              <w:t>Mn</w:t>
            </w:r>
            <w:r>
              <w:rPr>
                <w:rFonts w:hint="eastAsia" w:ascii="Times New Roman" w:hAnsi="Times New Roman" w:eastAsia="宋体" w:cs="Times New Roman"/>
                <w:color w:val="000000" w:themeColor="text1"/>
                <w:sz w:val="21"/>
                <w:szCs w:val="21"/>
                <w14:textFill>
                  <w14:solidFill>
                    <w14:schemeClr w14:val="tx1"/>
                  </w14:solidFill>
                </w14:textFill>
              </w:rPr>
              <w:t>、BOD5、氨氮总磷、铜、锌、氟化物、硒、砷、汞、镉、六价铬、铅、氰化物、挥发酚、石油类、阴离子表面活性剂、硫化物</w:t>
            </w:r>
          </w:p>
        </w:tc>
        <w:tc>
          <w:tcPr>
            <w:tcW w:w="1176" w:type="pct"/>
            <w:vMerge w:val="restart"/>
            <w:vAlign w:val="center"/>
          </w:tcPr>
          <w:p w14:paraId="53EA3BF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每季度一次，</w:t>
            </w:r>
          </w:p>
          <w:p w14:paraId="5C0C3E4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每次三天（每天一次）</w:t>
            </w:r>
          </w:p>
        </w:tc>
        <w:tc>
          <w:tcPr>
            <w:tcW w:w="883" w:type="pct"/>
            <w:vMerge w:val="continue"/>
            <w:vAlign w:val="center"/>
          </w:tcPr>
          <w:p w14:paraId="5CBE6D81">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7551D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295" w:type="pct"/>
            <w:vMerge w:val="continue"/>
            <w:vAlign w:val="center"/>
          </w:tcPr>
          <w:p w14:paraId="7A387893">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vAlign w:val="center"/>
          </w:tcPr>
          <w:p w14:paraId="63768C45">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464" w:type="pct"/>
            <w:vAlign w:val="center"/>
          </w:tcPr>
          <w:p w14:paraId="55F0306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双牌县污水处理厂排放口下游500m断面</w:t>
            </w:r>
          </w:p>
        </w:tc>
        <w:tc>
          <w:tcPr>
            <w:tcW w:w="924" w:type="pct"/>
            <w:vMerge w:val="continue"/>
            <w:vAlign w:val="center"/>
          </w:tcPr>
          <w:p w14:paraId="7A7E74A6">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Merge w:val="continue"/>
            <w:vAlign w:val="center"/>
          </w:tcPr>
          <w:p w14:paraId="604E0734">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2C773C52">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77AB6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5F609354">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vAlign w:val="center"/>
          </w:tcPr>
          <w:p w14:paraId="1700E465">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464" w:type="pct"/>
            <w:vAlign w:val="center"/>
          </w:tcPr>
          <w:p w14:paraId="1846B93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五里牌水电站陶家渡大坝下游断面</w:t>
            </w:r>
          </w:p>
        </w:tc>
        <w:tc>
          <w:tcPr>
            <w:tcW w:w="924" w:type="pct"/>
            <w:vMerge w:val="continue"/>
            <w:vAlign w:val="center"/>
          </w:tcPr>
          <w:p w14:paraId="6C3CCB4C">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Merge w:val="continue"/>
            <w:vAlign w:val="center"/>
          </w:tcPr>
          <w:p w14:paraId="73500BA8">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60DC1F58">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4023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04D34EAA">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1721" w:type="pct"/>
            <w:gridSpan w:val="2"/>
            <w:vAlign w:val="center"/>
          </w:tcPr>
          <w:p w14:paraId="397D7FF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交通干线</w:t>
            </w:r>
            <w:r>
              <w:rPr>
                <w:rFonts w:hint="eastAsia" w:ascii="Times New Roman" w:hAnsi="Times New Roman" w:eastAsia="宋体" w:cs="Times New Roman"/>
                <w:color w:val="000000" w:themeColor="text1"/>
                <w:sz w:val="21"/>
                <w:szCs w:val="21"/>
                <w14:textFill>
                  <w14:solidFill>
                    <w14:schemeClr w14:val="tx1"/>
                  </w14:solidFill>
                </w14:textFill>
              </w:rPr>
              <w:t>（工业大道旁、铁东二路旁）</w:t>
            </w:r>
            <w:r>
              <w:rPr>
                <w:rFonts w:ascii="Times New Roman" w:hAnsi="Times New Roman" w:eastAsia="宋体" w:cs="Times New Roman"/>
                <w:color w:val="000000" w:themeColor="text1"/>
                <w:sz w:val="21"/>
                <w:szCs w:val="21"/>
                <w14:textFill>
                  <w14:solidFill>
                    <w14:schemeClr w14:val="tx1"/>
                  </w14:solidFill>
                </w14:textFill>
              </w:rPr>
              <w:t>、居民安置用地</w:t>
            </w:r>
            <w:r>
              <w:rPr>
                <w:rFonts w:hint="eastAsia" w:ascii="Times New Roman" w:hAnsi="Times New Roman" w:eastAsia="宋体" w:cs="Times New Roman"/>
                <w:color w:val="000000" w:themeColor="text1"/>
                <w:sz w:val="21"/>
                <w:szCs w:val="21"/>
                <w14:textFill>
                  <w14:solidFill>
                    <w14:schemeClr w14:val="tx1"/>
                  </w14:solidFill>
                </w14:textFill>
              </w:rPr>
              <w:t>（麻滩新村、林场小区）</w:t>
            </w:r>
            <w:r>
              <w:rPr>
                <w:rFonts w:ascii="Times New Roman" w:hAnsi="Times New Roman" w:eastAsia="宋体" w:cs="Times New Roman"/>
                <w:color w:val="000000" w:themeColor="text1"/>
                <w:sz w:val="21"/>
                <w:szCs w:val="21"/>
                <w14:textFill>
                  <w14:solidFill>
                    <w14:schemeClr w14:val="tx1"/>
                  </w14:solidFill>
                </w14:textFill>
              </w:rPr>
              <w:t>各设二个监测点</w:t>
            </w:r>
          </w:p>
        </w:tc>
        <w:tc>
          <w:tcPr>
            <w:tcW w:w="924" w:type="pct"/>
            <w:vAlign w:val="center"/>
          </w:tcPr>
          <w:p w14:paraId="1EA1EC2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等效连续A声级</w:t>
            </w:r>
          </w:p>
        </w:tc>
        <w:tc>
          <w:tcPr>
            <w:tcW w:w="1176" w:type="pct"/>
            <w:vAlign w:val="center"/>
          </w:tcPr>
          <w:p w14:paraId="44EDAFC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每季度一次，</w:t>
            </w:r>
          </w:p>
          <w:p w14:paraId="6D7DE2D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每次三天，分昼、夜进行</w:t>
            </w:r>
          </w:p>
        </w:tc>
        <w:tc>
          <w:tcPr>
            <w:tcW w:w="883" w:type="pct"/>
            <w:vMerge w:val="continue"/>
            <w:vAlign w:val="center"/>
          </w:tcPr>
          <w:p w14:paraId="11749273">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73E04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vAlign w:val="center"/>
          </w:tcPr>
          <w:p w14:paraId="1A53722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土壤</w:t>
            </w:r>
          </w:p>
        </w:tc>
        <w:tc>
          <w:tcPr>
            <w:tcW w:w="1721" w:type="pct"/>
            <w:gridSpan w:val="2"/>
            <w:vAlign w:val="center"/>
          </w:tcPr>
          <w:p w14:paraId="0E50269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永州利好科技有限公司旁边（建设用地）</w:t>
            </w:r>
          </w:p>
        </w:tc>
        <w:tc>
          <w:tcPr>
            <w:tcW w:w="924" w:type="pct"/>
            <w:vAlign w:val="center"/>
          </w:tcPr>
          <w:p w14:paraId="33E5BE4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《土壤环境质量</w:t>
            </w:r>
            <w:r>
              <w:rPr>
                <w:rFonts w:ascii="Times New Roman" w:hAnsi="Times New Roman" w:eastAsia="宋体" w:cs="Times New Roman"/>
                <w:color w:val="000000" w:themeColor="text1"/>
                <w:sz w:val="21"/>
                <w:szCs w:val="21"/>
                <w14:textFill>
                  <w14:solidFill>
                    <w14:schemeClr w14:val="tx1"/>
                  </w14:solidFill>
                </w14:textFill>
              </w:rPr>
              <w:t xml:space="preserve"> 建设用地土壤污染风险管控标准》（GB36600-2018）中表1中45项</w:t>
            </w:r>
          </w:p>
        </w:tc>
        <w:tc>
          <w:tcPr>
            <w:tcW w:w="1176" w:type="pct"/>
            <w:vMerge w:val="restart"/>
            <w:vAlign w:val="center"/>
          </w:tcPr>
          <w:p w14:paraId="0FC0BB6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每年一次</w:t>
            </w:r>
          </w:p>
        </w:tc>
        <w:tc>
          <w:tcPr>
            <w:tcW w:w="883" w:type="pct"/>
            <w:vMerge w:val="restart"/>
            <w:vAlign w:val="center"/>
          </w:tcPr>
          <w:p w14:paraId="6FE3091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规划环评和跟踪环评无要求，园区自行新增</w:t>
            </w:r>
          </w:p>
        </w:tc>
      </w:tr>
      <w:tr w14:paraId="3D2F6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7DCC400B">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721" w:type="pct"/>
            <w:gridSpan w:val="2"/>
            <w:vAlign w:val="center"/>
          </w:tcPr>
          <w:p w14:paraId="1FC1E9F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园区外南侧现有耕地（农用地）、园区核准范围外东侧现有耕地（农用地）</w:t>
            </w:r>
          </w:p>
        </w:tc>
        <w:tc>
          <w:tcPr>
            <w:tcW w:w="924" w:type="pct"/>
            <w:vAlign w:val="center"/>
          </w:tcPr>
          <w:p w14:paraId="6D38BDC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pH、镉、汞、砷、铅、</w:t>
            </w:r>
          </w:p>
          <w:p w14:paraId="34D68052">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铬、铜、镍、锌</w:t>
            </w:r>
          </w:p>
        </w:tc>
        <w:tc>
          <w:tcPr>
            <w:tcW w:w="1176" w:type="pct"/>
            <w:vMerge w:val="continue"/>
            <w:vAlign w:val="center"/>
          </w:tcPr>
          <w:p w14:paraId="2405A6A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07D623FE">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5BE32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5FBEBDD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地下水</w:t>
            </w:r>
          </w:p>
        </w:tc>
        <w:tc>
          <w:tcPr>
            <w:tcW w:w="1721" w:type="pct"/>
            <w:gridSpan w:val="2"/>
            <w:vAlign w:val="center"/>
          </w:tcPr>
          <w:p w14:paraId="338652E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金宝涟旁地下水环境监测井、德普瑞旁地下水环境监测井</w:t>
            </w:r>
          </w:p>
        </w:tc>
        <w:tc>
          <w:tcPr>
            <w:tcW w:w="924" w:type="pct"/>
            <w:vAlign w:val="center"/>
          </w:tcPr>
          <w:p w14:paraId="4327215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pH、总硬度、耗氧量、氨氮、硝酸盐、亚硝酸盐、氟化物、挥发酚、</w:t>
            </w:r>
          </w:p>
          <w:p w14:paraId="4F35D92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锰、铅、汞、总铬、镉、砷、铜、锌、镍、总大肠菌群、菌群总数、硫化物</w:t>
            </w:r>
          </w:p>
        </w:tc>
        <w:tc>
          <w:tcPr>
            <w:tcW w:w="1176" w:type="pct"/>
            <w:vAlign w:val="center"/>
          </w:tcPr>
          <w:p w14:paraId="5FD84D8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每半年一</w:t>
            </w:r>
          </w:p>
          <w:p w14:paraId="08236C9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期，每期 2 天</w:t>
            </w:r>
          </w:p>
        </w:tc>
        <w:tc>
          <w:tcPr>
            <w:tcW w:w="883" w:type="pct"/>
            <w:vMerge w:val="continue"/>
            <w:vAlign w:val="center"/>
          </w:tcPr>
          <w:p w14:paraId="5209C54E">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bl>
    <w:p w14:paraId="33C71150">
      <w:pPr>
        <w:pStyle w:val="2"/>
        <w:snapToGrid w:val="0"/>
        <w:ind w:firstLine="560"/>
        <w:jc w:val="center"/>
        <w:rPr>
          <w:rFonts w:hint="eastAsia" w:ascii="楷体_GB2312" w:hAnsi="楷体_GB2312" w:eastAsia="楷体_GB2312" w:cs="楷体_GB2312"/>
          <w:color w:val="000000" w:themeColor="text1"/>
          <w:szCs w:val="32"/>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表</w:t>
      </w:r>
      <w:r>
        <w:rPr>
          <w:rFonts w:hint="eastAsia" w:ascii="黑体" w:hAnsi="黑体" w:eastAsia="黑体"/>
          <w:color w:val="000000" w:themeColor="text1"/>
          <w:sz w:val="28"/>
          <w:szCs w:val="28"/>
          <w14:textFill>
            <w14:solidFill>
              <w14:schemeClr w14:val="tx1"/>
            </w14:solidFill>
          </w14:textFill>
        </w:rPr>
        <w:t>4</w:t>
      </w:r>
      <w:r>
        <w:rPr>
          <w:rFonts w:ascii="黑体" w:hAnsi="黑体" w:eastAsia="黑体"/>
          <w:color w:val="000000" w:themeColor="text1"/>
          <w:sz w:val="28"/>
          <w:szCs w:val="28"/>
          <w14:textFill>
            <w14:solidFill>
              <w14:schemeClr w14:val="tx1"/>
            </w14:solidFill>
          </w14:textFill>
        </w:rPr>
        <w:t xml:space="preserve"> 大气环境监测结果一览表</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6"/>
        <w:gridCol w:w="1485"/>
        <w:gridCol w:w="625"/>
        <w:gridCol w:w="1217"/>
        <w:gridCol w:w="1470"/>
        <w:gridCol w:w="1485"/>
        <w:gridCol w:w="584"/>
        <w:gridCol w:w="454"/>
      </w:tblGrid>
      <w:tr w14:paraId="6996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578" w:type="pct"/>
            <w:vMerge w:val="restart"/>
            <w:vAlign w:val="center"/>
          </w:tcPr>
          <w:p w14:paraId="76EFF49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季度</w:t>
            </w:r>
          </w:p>
        </w:tc>
        <w:tc>
          <w:tcPr>
            <w:tcW w:w="897" w:type="pct"/>
            <w:vMerge w:val="restart"/>
            <w:vAlign w:val="center"/>
          </w:tcPr>
          <w:p w14:paraId="6E8820F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监测日期</w:t>
            </w:r>
          </w:p>
        </w:tc>
        <w:tc>
          <w:tcPr>
            <w:tcW w:w="378" w:type="pct"/>
            <w:vMerge w:val="restart"/>
            <w:vAlign w:val="center"/>
          </w:tcPr>
          <w:p w14:paraId="7765C6B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采样时长</w:t>
            </w:r>
          </w:p>
        </w:tc>
        <w:tc>
          <w:tcPr>
            <w:tcW w:w="735" w:type="pct"/>
            <w:vMerge w:val="restart"/>
            <w:vAlign w:val="center"/>
          </w:tcPr>
          <w:p w14:paraId="16849D9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检测项目</w:t>
            </w:r>
          </w:p>
        </w:tc>
        <w:tc>
          <w:tcPr>
            <w:tcW w:w="1785" w:type="pct"/>
            <w:gridSpan w:val="2"/>
            <w:vAlign w:val="center"/>
          </w:tcPr>
          <w:p w14:paraId="789D83B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检测结果 单位：mg/m</w:t>
            </w:r>
            <w:r>
              <w:rPr>
                <w:rFonts w:ascii="Times New Roman" w:hAnsi="Times New Roman" w:eastAsia="宋体" w:cs="Times New Roman"/>
                <w:color w:val="000000" w:themeColor="text1"/>
                <w:kern w:val="0"/>
                <w:sz w:val="21"/>
                <w:szCs w:val="21"/>
                <w:vertAlign w:val="superscript"/>
                <w14:textFill>
                  <w14:solidFill>
                    <w14:schemeClr w14:val="tx1"/>
                  </w14:solidFill>
                </w14:textFill>
              </w:rPr>
              <w:t>3</w:t>
            </w:r>
          </w:p>
        </w:tc>
        <w:tc>
          <w:tcPr>
            <w:tcW w:w="353" w:type="pct"/>
            <w:vMerge w:val="restart"/>
            <w:vAlign w:val="center"/>
          </w:tcPr>
          <w:p w14:paraId="4DD3CF1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标准限值</w:t>
            </w:r>
          </w:p>
        </w:tc>
        <w:tc>
          <w:tcPr>
            <w:tcW w:w="274" w:type="pct"/>
            <w:vMerge w:val="restart"/>
            <w:vAlign w:val="center"/>
          </w:tcPr>
          <w:p w14:paraId="51BD634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是否超标</w:t>
            </w:r>
          </w:p>
        </w:tc>
      </w:tr>
      <w:tr w14:paraId="353A9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78" w:type="pct"/>
            <w:vMerge w:val="continue"/>
            <w:vAlign w:val="center"/>
          </w:tcPr>
          <w:p w14:paraId="4A4D704F">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17DA70C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22623B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Merge w:val="continue"/>
            <w:vAlign w:val="center"/>
          </w:tcPr>
          <w:p w14:paraId="7C35FD7F">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88" w:type="pct"/>
            <w:vAlign w:val="center"/>
          </w:tcPr>
          <w:p w14:paraId="3E4AEA4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Q1工业集中区外安置小区</w:t>
            </w:r>
          </w:p>
        </w:tc>
        <w:tc>
          <w:tcPr>
            <w:tcW w:w="897" w:type="pct"/>
            <w:vAlign w:val="center"/>
          </w:tcPr>
          <w:p w14:paraId="5B0B348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Q2工业集中区内</w:t>
            </w:r>
          </w:p>
        </w:tc>
        <w:tc>
          <w:tcPr>
            <w:tcW w:w="353" w:type="pct"/>
            <w:vMerge w:val="continue"/>
            <w:vAlign w:val="center"/>
          </w:tcPr>
          <w:p w14:paraId="57EA435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274" w:type="pct"/>
            <w:vMerge w:val="continue"/>
            <w:vAlign w:val="center"/>
          </w:tcPr>
          <w:p w14:paraId="5125E121">
            <w:pPr>
              <w:jc w:val="center"/>
              <w:rPr>
                <w:rFonts w:ascii="Times New Roman" w:hAnsi="Times New Roman" w:eastAsia="宋体" w:cs="Times New Roman"/>
                <w:color w:val="000000" w:themeColor="text1"/>
                <w:kern w:val="0"/>
                <w:sz w:val="21"/>
                <w:szCs w:val="21"/>
                <w14:textFill>
                  <w14:solidFill>
                    <w14:schemeClr w14:val="tx1"/>
                  </w14:solidFill>
                </w14:textFill>
              </w:rPr>
            </w:pPr>
          </w:p>
        </w:tc>
      </w:tr>
      <w:tr w14:paraId="61CB4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restart"/>
            <w:vAlign w:val="center"/>
          </w:tcPr>
          <w:p w14:paraId="232F8CB7">
            <w:pPr>
              <w:jc w:val="center"/>
              <w:rPr>
                <w:rFonts w:ascii="Times New Roman" w:hAnsi="Times New Roman" w:eastAsia="宋体" w:cs="Times New Roman"/>
                <w:color w:val="000000" w:themeColor="text1"/>
                <w:kern w:val="0"/>
                <w:sz w:val="21"/>
                <w:szCs w:val="21"/>
                <w14:textFill>
                  <w14:solidFill>
                    <w14:schemeClr w14:val="tx1"/>
                  </w14:solidFill>
                </w14:textFill>
              </w:rPr>
            </w:pPr>
            <w:bookmarkStart w:id="25" w:name="_Hlk128557933"/>
            <w:r>
              <w:rPr>
                <w:rFonts w:ascii="Times New Roman" w:hAnsi="Times New Roman" w:eastAsia="宋体" w:cs="Times New Roman"/>
                <w:color w:val="000000" w:themeColor="text1"/>
                <w:kern w:val="0"/>
                <w:sz w:val="21"/>
                <w:szCs w:val="21"/>
                <w14:textFill>
                  <w14:solidFill>
                    <w14:schemeClr w14:val="tx1"/>
                  </w14:solidFill>
                </w14:textFill>
              </w:rPr>
              <w:t>一季度</w:t>
            </w:r>
          </w:p>
        </w:tc>
        <w:tc>
          <w:tcPr>
            <w:tcW w:w="897" w:type="pct"/>
            <w:vMerge w:val="restart"/>
            <w:vAlign w:val="center"/>
          </w:tcPr>
          <w:p w14:paraId="7235FE2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.2</w:t>
            </w:r>
            <w:r>
              <w:rPr>
                <w:rFonts w:hint="eastAsia" w:ascii="Times New Roman" w:hAnsi="Times New Roman" w:eastAsia="宋体" w:cs="Times New Roman"/>
                <w:color w:val="000000" w:themeColor="text1"/>
                <w:kern w:val="0"/>
                <w:sz w:val="21"/>
                <w:szCs w:val="21"/>
                <w14:textFill>
                  <w14:solidFill>
                    <w14:schemeClr w14:val="tx1"/>
                  </w14:solidFill>
                </w14:textFill>
              </w:rPr>
              <w:t>4</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30</w:t>
            </w:r>
          </w:p>
        </w:tc>
        <w:tc>
          <w:tcPr>
            <w:tcW w:w="378" w:type="pct"/>
            <w:vMerge w:val="restart"/>
            <w:vAlign w:val="center"/>
          </w:tcPr>
          <w:p w14:paraId="1C6313E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小时值</w:t>
            </w:r>
          </w:p>
        </w:tc>
        <w:tc>
          <w:tcPr>
            <w:tcW w:w="735" w:type="pct"/>
            <w:vAlign w:val="center"/>
          </w:tcPr>
          <w:p w14:paraId="2000402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44A9852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w:t>
            </w:r>
            <w:r>
              <w:rPr>
                <w:rFonts w:hint="eastAsia" w:ascii="Times New Roman" w:hAnsi="Times New Roman" w:eastAsia="宋体" w:cs="Times New Roman"/>
                <w:color w:val="000000" w:themeColor="text1"/>
                <w:kern w:val="0"/>
                <w:sz w:val="21"/>
                <w:szCs w:val="21"/>
                <w14:textFill>
                  <w14:solidFill>
                    <w14:schemeClr w14:val="tx1"/>
                  </w14:solidFill>
                </w14:textFill>
              </w:rPr>
              <w:t>7L</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08</w:t>
            </w:r>
          </w:p>
        </w:tc>
        <w:tc>
          <w:tcPr>
            <w:tcW w:w="897" w:type="pct"/>
            <w:vAlign w:val="center"/>
          </w:tcPr>
          <w:p w14:paraId="3665644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6AC6074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w:t>
            </w:r>
          </w:p>
        </w:tc>
        <w:tc>
          <w:tcPr>
            <w:tcW w:w="274" w:type="pct"/>
            <w:vAlign w:val="center"/>
          </w:tcPr>
          <w:p w14:paraId="4A134F0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73FCE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4F5F99A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19713E8">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BE37C81">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212C36C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383F63C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8</w:t>
            </w:r>
          </w:p>
        </w:tc>
        <w:tc>
          <w:tcPr>
            <w:tcW w:w="897" w:type="pct"/>
            <w:vAlign w:val="center"/>
          </w:tcPr>
          <w:p w14:paraId="72E405E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30C2B69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0.2</w:t>
            </w:r>
          </w:p>
        </w:tc>
        <w:tc>
          <w:tcPr>
            <w:tcW w:w="274" w:type="pct"/>
            <w:vAlign w:val="center"/>
          </w:tcPr>
          <w:p w14:paraId="38E2E87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46EBE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4823FBC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77F6A3F">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Align w:val="center"/>
          </w:tcPr>
          <w:p w14:paraId="5E1BC20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8小时均值</w:t>
            </w:r>
          </w:p>
        </w:tc>
        <w:tc>
          <w:tcPr>
            <w:tcW w:w="735" w:type="pct"/>
            <w:vAlign w:val="center"/>
          </w:tcPr>
          <w:p w14:paraId="69EEBFB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总挥发性有机物</w:t>
            </w:r>
          </w:p>
        </w:tc>
        <w:tc>
          <w:tcPr>
            <w:tcW w:w="888" w:type="pct"/>
            <w:vAlign w:val="center"/>
          </w:tcPr>
          <w:p w14:paraId="073E768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112</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139</w:t>
            </w:r>
          </w:p>
        </w:tc>
        <w:tc>
          <w:tcPr>
            <w:tcW w:w="897" w:type="pct"/>
            <w:vAlign w:val="center"/>
          </w:tcPr>
          <w:p w14:paraId="0256BE3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54CCFAC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0.6</w:t>
            </w:r>
          </w:p>
        </w:tc>
        <w:tc>
          <w:tcPr>
            <w:tcW w:w="274" w:type="pct"/>
            <w:vAlign w:val="center"/>
          </w:tcPr>
          <w:p w14:paraId="56BDB59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249C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63163EF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677A14B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restart"/>
            <w:vAlign w:val="center"/>
          </w:tcPr>
          <w:p w14:paraId="517AB1C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日均值</w:t>
            </w:r>
          </w:p>
        </w:tc>
        <w:tc>
          <w:tcPr>
            <w:tcW w:w="735" w:type="pct"/>
            <w:vAlign w:val="center"/>
          </w:tcPr>
          <w:p w14:paraId="6B025F8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总悬浮颗粒物</w:t>
            </w:r>
          </w:p>
        </w:tc>
        <w:tc>
          <w:tcPr>
            <w:tcW w:w="888" w:type="pct"/>
            <w:vAlign w:val="center"/>
          </w:tcPr>
          <w:p w14:paraId="5517A82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w:t>
            </w:r>
            <w:r>
              <w:rPr>
                <w:rFonts w:hint="eastAsia" w:ascii="Times New Roman" w:hAnsi="Times New Roman" w:eastAsia="宋体" w:cs="Times New Roman"/>
                <w:color w:val="000000" w:themeColor="text1"/>
                <w:kern w:val="0"/>
                <w:sz w:val="21"/>
                <w:szCs w:val="21"/>
                <w14:textFill>
                  <w14:solidFill>
                    <w14:schemeClr w14:val="tx1"/>
                  </w14:solidFill>
                </w14:textFill>
              </w:rPr>
              <w:t>32</w:t>
            </w:r>
            <w:r>
              <w:rPr>
                <w:rFonts w:ascii="Times New Roman" w:hAnsi="Times New Roman" w:eastAsia="宋体" w:cs="Times New Roman"/>
                <w:color w:val="000000" w:themeColor="text1"/>
                <w:kern w:val="0"/>
                <w:sz w:val="21"/>
                <w:szCs w:val="21"/>
                <w14:textFill>
                  <w14:solidFill>
                    <w14:schemeClr w14:val="tx1"/>
                  </w14:solidFill>
                </w14:textFill>
              </w:rPr>
              <w:t>~0.1</w:t>
            </w:r>
            <w:r>
              <w:rPr>
                <w:rFonts w:hint="eastAsia" w:ascii="Times New Roman" w:hAnsi="Times New Roman" w:eastAsia="宋体" w:cs="Times New Roman"/>
                <w:color w:val="000000" w:themeColor="text1"/>
                <w:kern w:val="0"/>
                <w:sz w:val="21"/>
                <w:szCs w:val="21"/>
                <w14:textFill>
                  <w14:solidFill>
                    <w14:schemeClr w14:val="tx1"/>
                  </w14:solidFill>
                </w14:textFill>
              </w:rPr>
              <w:t>50</w:t>
            </w:r>
          </w:p>
        </w:tc>
        <w:tc>
          <w:tcPr>
            <w:tcW w:w="897" w:type="pct"/>
            <w:vAlign w:val="center"/>
          </w:tcPr>
          <w:p w14:paraId="079A4EB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45CA699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0.3</w:t>
            </w:r>
          </w:p>
        </w:tc>
        <w:tc>
          <w:tcPr>
            <w:tcW w:w="274" w:type="pct"/>
            <w:vAlign w:val="center"/>
          </w:tcPr>
          <w:p w14:paraId="0141BF0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C847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74083FE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7B896A4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61BFC18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1470ECE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PM</w:t>
            </w:r>
            <w:r>
              <w:rPr>
                <w:rFonts w:ascii="Times New Roman" w:hAnsi="Times New Roman" w:eastAsia="宋体" w:cs="Times New Roman"/>
                <w:color w:val="000000" w:themeColor="text1"/>
                <w:kern w:val="0"/>
                <w:sz w:val="21"/>
                <w:szCs w:val="21"/>
                <w:vertAlign w:val="subscript"/>
                <w14:textFill>
                  <w14:solidFill>
                    <w14:schemeClr w14:val="tx1"/>
                  </w14:solidFill>
                </w14:textFill>
              </w:rPr>
              <w:t>10</w:t>
            </w:r>
          </w:p>
        </w:tc>
        <w:tc>
          <w:tcPr>
            <w:tcW w:w="888" w:type="pct"/>
            <w:vAlign w:val="center"/>
          </w:tcPr>
          <w:p w14:paraId="4B3D39F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63</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74</w:t>
            </w:r>
          </w:p>
        </w:tc>
        <w:tc>
          <w:tcPr>
            <w:tcW w:w="897" w:type="pct"/>
            <w:vAlign w:val="center"/>
          </w:tcPr>
          <w:p w14:paraId="06E6006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40AABF1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7172CF3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60FEE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600B08F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264C2C1">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0E902EB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4C5D230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2C16C49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09</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1</w:t>
            </w:r>
          </w:p>
        </w:tc>
        <w:tc>
          <w:tcPr>
            <w:tcW w:w="897" w:type="pct"/>
            <w:vAlign w:val="center"/>
          </w:tcPr>
          <w:p w14:paraId="00810CB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71D2320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27D63D6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46F1F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2F270831">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07721A8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F70F8B3">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6C01B95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192F9E3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25</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6</w:t>
            </w:r>
          </w:p>
        </w:tc>
        <w:tc>
          <w:tcPr>
            <w:tcW w:w="897" w:type="pct"/>
            <w:vAlign w:val="center"/>
          </w:tcPr>
          <w:p w14:paraId="52D6520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031544B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0.08</w:t>
            </w:r>
          </w:p>
        </w:tc>
        <w:tc>
          <w:tcPr>
            <w:tcW w:w="274" w:type="pct"/>
            <w:vAlign w:val="center"/>
          </w:tcPr>
          <w:p w14:paraId="61F9CB1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2815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restart"/>
            <w:vAlign w:val="center"/>
          </w:tcPr>
          <w:p w14:paraId="4CCE212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二季度</w:t>
            </w:r>
          </w:p>
        </w:tc>
        <w:tc>
          <w:tcPr>
            <w:tcW w:w="897" w:type="pct"/>
            <w:vMerge w:val="restart"/>
            <w:vAlign w:val="center"/>
          </w:tcPr>
          <w:p w14:paraId="1ADA47C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24</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30</w:t>
            </w:r>
          </w:p>
        </w:tc>
        <w:tc>
          <w:tcPr>
            <w:tcW w:w="378" w:type="pct"/>
            <w:vMerge w:val="restart"/>
            <w:vAlign w:val="center"/>
          </w:tcPr>
          <w:p w14:paraId="42FFA39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小时值</w:t>
            </w:r>
          </w:p>
        </w:tc>
        <w:tc>
          <w:tcPr>
            <w:tcW w:w="735" w:type="pct"/>
            <w:vAlign w:val="center"/>
          </w:tcPr>
          <w:p w14:paraId="6434721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4B0A7F3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w:t>
            </w:r>
            <w:r>
              <w:rPr>
                <w:rFonts w:hint="eastAsia" w:ascii="Times New Roman" w:hAnsi="Times New Roman" w:eastAsia="宋体" w:cs="Times New Roman"/>
                <w:color w:val="000000" w:themeColor="text1"/>
                <w:kern w:val="0"/>
                <w:sz w:val="21"/>
                <w:szCs w:val="21"/>
                <w14:textFill>
                  <w14:solidFill>
                    <w14:schemeClr w14:val="tx1"/>
                  </w14:solidFill>
                </w14:textFill>
              </w:rPr>
              <w:t>8</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10</w:t>
            </w:r>
          </w:p>
        </w:tc>
        <w:tc>
          <w:tcPr>
            <w:tcW w:w="897" w:type="pct"/>
            <w:vAlign w:val="center"/>
          </w:tcPr>
          <w:p w14:paraId="6CBFB2D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11</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12</w:t>
            </w:r>
          </w:p>
        </w:tc>
        <w:tc>
          <w:tcPr>
            <w:tcW w:w="353" w:type="pct"/>
            <w:vAlign w:val="center"/>
          </w:tcPr>
          <w:p w14:paraId="113D4CC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w:t>
            </w:r>
          </w:p>
        </w:tc>
        <w:tc>
          <w:tcPr>
            <w:tcW w:w="274" w:type="pct"/>
            <w:vAlign w:val="center"/>
          </w:tcPr>
          <w:p w14:paraId="77B76A9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3375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46E18F6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56481147">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25CBB1FA">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12778DD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0F89A95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9</w:t>
            </w:r>
          </w:p>
        </w:tc>
        <w:tc>
          <w:tcPr>
            <w:tcW w:w="897" w:type="pct"/>
            <w:vAlign w:val="center"/>
          </w:tcPr>
          <w:p w14:paraId="2F32D4A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9</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24</w:t>
            </w:r>
          </w:p>
        </w:tc>
        <w:tc>
          <w:tcPr>
            <w:tcW w:w="353" w:type="pct"/>
            <w:vAlign w:val="center"/>
          </w:tcPr>
          <w:p w14:paraId="4C143D1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0.2</w:t>
            </w:r>
          </w:p>
        </w:tc>
        <w:tc>
          <w:tcPr>
            <w:tcW w:w="274" w:type="pct"/>
            <w:vAlign w:val="center"/>
          </w:tcPr>
          <w:p w14:paraId="3F7981D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060B4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4C4D5D2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4EFBBC7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restart"/>
            <w:vAlign w:val="center"/>
          </w:tcPr>
          <w:p w14:paraId="2A7B1C5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日均值</w:t>
            </w:r>
          </w:p>
        </w:tc>
        <w:tc>
          <w:tcPr>
            <w:tcW w:w="735" w:type="pct"/>
            <w:vAlign w:val="center"/>
          </w:tcPr>
          <w:p w14:paraId="4FFC1FE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总悬浮颗粒物</w:t>
            </w:r>
          </w:p>
        </w:tc>
        <w:tc>
          <w:tcPr>
            <w:tcW w:w="888" w:type="pct"/>
            <w:vAlign w:val="center"/>
          </w:tcPr>
          <w:p w14:paraId="166003D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088</w:t>
            </w:r>
            <w:r>
              <w:rPr>
                <w:rFonts w:ascii="Times New Roman" w:hAnsi="Times New Roman" w:eastAsia="宋体" w:cs="Times New Roman"/>
                <w:color w:val="000000" w:themeColor="text1"/>
                <w:kern w:val="0"/>
                <w:sz w:val="21"/>
                <w:szCs w:val="21"/>
                <w14:textFill>
                  <w14:solidFill>
                    <w14:schemeClr w14:val="tx1"/>
                  </w14:solidFill>
                </w14:textFill>
              </w:rPr>
              <w:t>~0.1</w:t>
            </w:r>
            <w:r>
              <w:rPr>
                <w:rFonts w:hint="eastAsia" w:ascii="Times New Roman" w:hAnsi="Times New Roman" w:eastAsia="宋体" w:cs="Times New Roman"/>
                <w:color w:val="000000" w:themeColor="text1"/>
                <w:kern w:val="0"/>
                <w:sz w:val="21"/>
                <w:szCs w:val="21"/>
                <w14:textFill>
                  <w14:solidFill>
                    <w14:schemeClr w14:val="tx1"/>
                  </w14:solidFill>
                </w14:textFill>
              </w:rPr>
              <w:t>0</w:t>
            </w:r>
            <w:r>
              <w:rPr>
                <w:rFonts w:ascii="Times New Roman" w:hAnsi="Times New Roman" w:eastAsia="宋体" w:cs="Times New Roman"/>
                <w:color w:val="000000" w:themeColor="text1"/>
                <w:kern w:val="0"/>
                <w:sz w:val="21"/>
                <w:szCs w:val="21"/>
                <w14:textFill>
                  <w14:solidFill>
                    <w14:schemeClr w14:val="tx1"/>
                  </w14:solidFill>
                </w14:textFill>
              </w:rPr>
              <w:t>6</w:t>
            </w:r>
          </w:p>
        </w:tc>
        <w:tc>
          <w:tcPr>
            <w:tcW w:w="897" w:type="pct"/>
            <w:vAlign w:val="center"/>
          </w:tcPr>
          <w:p w14:paraId="7C80D1D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073</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088</w:t>
            </w:r>
          </w:p>
        </w:tc>
        <w:tc>
          <w:tcPr>
            <w:tcW w:w="353" w:type="pct"/>
            <w:vAlign w:val="center"/>
          </w:tcPr>
          <w:p w14:paraId="74FEBA1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0.3</w:t>
            </w:r>
          </w:p>
        </w:tc>
        <w:tc>
          <w:tcPr>
            <w:tcW w:w="274" w:type="pct"/>
            <w:vAlign w:val="center"/>
          </w:tcPr>
          <w:p w14:paraId="6B35B26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6896E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78DA3BE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6739F5EC">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59C3E45">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460DA73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PM</w:t>
            </w:r>
            <w:r>
              <w:rPr>
                <w:rFonts w:ascii="Times New Roman" w:hAnsi="Times New Roman" w:eastAsia="宋体" w:cs="Times New Roman"/>
                <w:color w:val="000000" w:themeColor="text1"/>
                <w:kern w:val="0"/>
                <w:sz w:val="21"/>
                <w:szCs w:val="21"/>
                <w:vertAlign w:val="subscript"/>
                <w14:textFill>
                  <w14:solidFill>
                    <w14:schemeClr w14:val="tx1"/>
                  </w14:solidFill>
                </w14:textFill>
              </w:rPr>
              <w:t>10</w:t>
            </w:r>
          </w:p>
        </w:tc>
        <w:tc>
          <w:tcPr>
            <w:tcW w:w="888" w:type="pct"/>
            <w:vAlign w:val="center"/>
          </w:tcPr>
          <w:p w14:paraId="14D5EEF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61</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70</w:t>
            </w:r>
          </w:p>
        </w:tc>
        <w:tc>
          <w:tcPr>
            <w:tcW w:w="897" w:type="pct"/>
            <w:vAlign w:val="center"/>
          </w:tcPr>
          <w:p w14:paraId="6E3DFDE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51</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68</w:t>
            </w:r>
          </w:p>
        </w:tc>
        <w:tc>
          <w:tcPr>
            <w:tcW w:w="353" w:type="pct"/>
            <w:vAlign w:val="center"/>
          </w:tcPr>
          <w:p w14:paraId="5B4193C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7DCE260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4805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00A3EEAA">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C07A97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CFC9BB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41EF636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17C588B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12</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15</w:t>
            </w:r>
          </w:p>
        </w:tc>
        <w:tc>
          <w:tcPr>
            <w:tcW w:w="897" w:type="pct"/>
            <w:vAlign w:val="center"/>
          </w:tcPr>
          <w:p w14:paraId="101A989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16</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20</w:t>
            </w:r>
          </w:p>
        </w:tc>
        <w:tc>
          <w:tcPr>
            <w:tcW w:w="353" w:type="pct"/>
            <w:vAlign w:val="center"/>
          </w:tcPr>
          <w:p w14:paraId="675CB6F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6AE400F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0FCBE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234BA4C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7FD83C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43B5D53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31C284D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0E6EF35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26</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29</w:t>
            </w:r>
          </w:p>
        </w:tc>
        <w:tc>
          <w:tcPr>
            <w:tcW w:w="897" w:type="pct"/>
            <w:vAlign w:val="center"/>
          </w:tcPr>
          <w:p w14:paraId="517B06A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32</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34</w:t>
            </w:r>
          </w:p>
        </w:tc>
        <w:tc>
          <w:tcPr>
            <w:tcW w:w="353" w:type="pct"/>
            <w:vAlign w:val="center"/>
          </w:tcPr>
          <w:p w14:paraId="77BB4CF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0.08</w:t>
            </w:r>
          </w:p>
        </w:tc>
        <w:tc>
          <w:tcPr>
            <w:tcW w:w="274" w:type="pct"/>
            <w:vAlign w:val="center"/>
          </w:tcPr>
          <w:p w14:paraId="6785B70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74F1F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1BED5D40">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7C1F1692">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Align w:val="center"/>
          </w:tcPr>
          <w:p w14:paraId="4FB1D35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8小时均值</w:t>
            </w:r>
          </w:p>
        </w:tc>
        <w:tc>
          <w:tcPr>
            <w:tcW w:w="735" w:type="pct"/>
            <w:vAlign w:val="center"/>
          </w:tcPr>
          <w:p w14:paraId="740513C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总挥发性有机物</w:t>
            </w:r>
          </w:p>
        </w:tc>
        <w:tc>
          <w:tcPr>
            <w:tcW w:w="888" w:type="pct"/>
            <w:vAlign w:val="center"/>
          </w:tcPr>
          <w:p w14:paraId="01D3D5F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156</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192</w:t>
            </w:r>
          </w:p>
        </w:tc>
        <w:tc>
          <w:tcPr>
            <w:tcW w:w="897" w:type="pct"/>
            <w:vAlign w:val="center"/>
          </w:tcPr>
          <w:p w14:paraId="36C337B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167</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188</w:t>
            </w:r>
          </w:p>
        </w:tc>
        <w:tc>
          <w:tcPr>
            <w:tcW w:w="353" w:type="pct"/>
            <w:vAlign w:val="center"/>
          </w:tcPr>
          <w:p w14:paraId="7A3D7E6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0.6</w:t>
            </w:r>
          </w:p>
        </w:tc>
        <w:tc>
          <w:tcPr>
            <w:tcW w:w="274" w:type="pct"/>
            <w:vAlign w:val="center"/>
          </w:tcPr>
          <w:p w14:paraId="2426861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081A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restart"/>
            <w:vAlign w:val="center"/>
          </w:tcPr>
          <w:p w14:paraId="0161E3E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三季度</w:t>
            </w:r>
          </w:p>
        </w:tc>
        <w:tc>
          <w:tcPr>
            <w:tcW w:w="897" w:type="pct"/>
            <w:vMerge w:val="restart"/>
            <w:vAlign w:val="center"/>
          </w:tcPr>
          <w:p w14:paraId="237074C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.7.</w:t>
            </w:r>
            <w:r>
              <w:rPr>
                <w:rFonts w:hint="eastAsia" w:ascii="Times New Roman" w:hAnsi="Times New Roman" w:eastAsia="宋体" w:cs="Times New Roman"/>
                <w:color w:val="000000" w:themeColor="text1"/>
                <w:kern w:val="0"/>
                <w:sz w:val="21"/>
                <w:szCs w:val="21"/>
                <w14:textFill>
                  <w14:solidFill>
                    <w14:schemeClr w14:val="tx1"/>
                  </w14:solidFill>
                </w14:textFill>
              </w:rPr>
              <w:t>19</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25</w:t>
            </w:r>
          </w:p>
        </w:tc>
        <w:tc>
          <w:tcPr>
            <w:tcW w:w="378" w:type="pct"/>
            <w:vMerge w:val="restart"/>
            <w:vAlign w:val="center"/>
          </w:tcPr>
          <w:p w14:paraId="2C3CACB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小时值</w:t>
            </w:r>
          </w:p>
        </w:tc>
        <w:tc>
          <w:tcPr>
            <w:tcW w:w="735" w:type="pct"/>
            <w:vAlign w:val="center"/>
          </w:tcPr>
          <w:p w14:paraId="2EB9E2B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2C3AA76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08</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10</w:t>
            </w:r>
          </w:p>
        </w:tc>
        <w:tc>
          <w:tcPr>
            <w:tcW w:w="897" w:type="pct"/>
            <w:vAlign w:val="center"/>
          </w:tcPr>
          <w:p w14:paraId="61362A9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11</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14</w:t>
            </w:r>
          </w:p>
        </w:tc>
        <w:tc>
          <w:tcPr>
            <w:tcW w:w="353" w:type="pct"/>
            <w:vAlign w:val="center"/>
          </w:tcPr>
          <w:p w14:paraId="760C120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w:t>
            </w:r>
          </w:p>
        </w:tc>
        <w:tc>
          <w:tcPr>
            <w:tcW w:w="274" w:type="pct"/>
            <w:vAlign w:val="center"/>
          </w:tcPr>
          <w:p w14:paraId="481D20D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1C3DC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28050013">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62E09ECF">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5E395718">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58CF232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1D83D36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8</w:t>
            </w:r>
          </w:p>
        </w:tc>
        <w:tc>
          <w:tcPr>
            <w:tcW w:w="897" w:type="pct"/>
            <w:vAlign w:val="center"/>
          </w:tcPr>
          <w:p w14:paraId="6550E5A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9</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24</w:t>
            </w:r>
          </w:p>
        </w:tc>
        <w:tc>
          <w:tcPr>
            <w:tcW w:w="353" w:type="pct"/>
            <w:vAlign w:val="center"/>
          </w:tcPr>
          <w:p w14:paraId="6B8771C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0.2</w:t>
            </w:r>
          </w:p>
        </w:tc>
        <w:tc>
          <w:tcPr>
            <w:tcW w:w="274" w:type="pct"/>
            <w:vAlign w:val="center"/>
          </w:tcPr>
          <w:p w14:paraId="462533B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7D2A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09B59792">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16845EE2">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restart"/>
            <w:vAlign w:val="center"/>
          </w:tcPr>
          <w:p w14:paraId="6F38C95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日均值</w:t>
            </w:r>
          </w:p>
        </w:tc>
        <w:tc>
          <w:tcPr>
            <w:tcW w:w="735" w:type="pct"/>
            <w:vAlign w:val="center"/>
          </w:tcPr>
          <w:p w14:paraId="7090BBC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总悬浮颗粒物</w:t>
            </w:r>
          </w:p>
        </w:tc>
        <w:tc>
          <w:tcPr>
            <w:tcW w:w="888" w:type="pct"/>
            <w:vAlign w:val="center"/>
          </w:tcPr>
          <w:p w14:paraId="7B80FC3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0.067~0.084</w:t>
            </w:r>
          </w:p>
        </w:tc>
        <w:tc>
          <w:tcPr>
            <w:tcW w:w="897" w:type="pct"/>
            <w:vAlign w:val="center"/>
          </w:tcPr>
          <w:p w14:paraId="1E59917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7~0.0</w:t>
            </w:r>
            <w:r>
              <w:rPr>
                <w:rFonts w:hint="eastAsia" w:ascii="Times New Roman" w:hAnsi="Times New Roman" w:eastAsia="宋体" w:cs="Times New Roman"/>
                <w:color w:val="000000" w:themeColor="text1"/>
                <w:kern w:val="0"/>
                <w:sz w:val="21"/>
                <w:szCs w:val="21"/>
                <w14:textFill>
                  <w14:solidFill>
                    <w14:schemeClr w14:val="tx1"/>
                  </w14:solidFill>
                </w14:textFill>
              </w:rPr>
              <w:t>98</w:t>
            </w:r>
          </w:p>
        </w:tc>
        <w:tc>
          <w:tcPr>
            <w:tcW w:w="353" w:type="pct"/>
            <w:vAlign w:val="center"/>
          </w:tcPr>
          <w:p w14:paraId="6D2F66D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0.3</w:t>
            </w:r>
          </w:p>
        </w:tc>
        <w:tc>
          <w:tcPr>
            <w:tcW w:w="274" w:type="pct"/>
            <w:vAlign w:val="center"/>
          </w:tcPr>
          <w:p w14:paraId="4E8823C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16D86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481A298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2EB884C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77CB7500">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53547A9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PM</w:t>
            </w:r>
            <w:r>
              <w:rPr>
                <w:rFonts w:ascii="Times New Roman" w:hAnsi="Times New Roman" w:eastAsia="宋体" w:cs="Times New Roman"/>
                <w:color w:val="000000" w:themeColor="text1"/>
                <w:kern w:val="0"/>
                <w:sz w:val="21"/>
                <w:szCs w:val="21"/>
                <w:vertAlign w:val="subscript"/>
                <w14:textFill>
                  <w14:solidFill>
                    <w14:schemeClr w14:val="tx1"/>
                  </w14:solidFill>
                </w14:textFill>
              </w:rPr>
              <w:t>10</w:t>
            </w:r>
          </w:p>
        </w:tc>
        <w:tc>
          <w:tcPr>
            <w:tcW w:w="888" w:type="pct"/>
            <w:vAlign w:val="center"/>
          </w:tcPr>
          <w:p w14:paraId="6AF0850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42</w:t>
            </w:r>
            <w:r>
              <w:rPr>
                <w:rFonts w:ascii="Times New Roman" w:hAnsi="Times New Roman" w:eastAsia="宋体" w:cs="Times New Roman"/>
                <w:color w:val="000000" w:themeColor="text1"/>
                <w:kern w:val="0"/>
                <w:sz w:val="21"/>
                <w:szCs w:val="21"/>
                <w14:textFill>
                  <w14:solidFill>
                    <w14:schemeClr w14:val="tx1"/>
                  </w14:solidFill>
                </w14:textFill>
              </w:rPr>
              <w:t>~0.066</w:t>
            </w:r>
          </w:p>
        </w:tc>
        <w:tc>
          <w:tcPr>
            <w:tcW w:w="897" w:type="pct"/>
            <w:vAlign w:val="center"/>
          </w:tcPr>
          <w:p w14:paraId="282BDC3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47</w:t>
            </w:r>
            <w:r>
              <w:rPr>
                <w:rFonts w:ascii="Times New Roman" w:hAnsi="Times New Roman" w:eastAsia="宋体" w:cs="Times New Roman"/>
                <w:color w:val="000000" w:themeColor="text1"/>
                <w:kern w:val="0"/>
                <w:sz w:val="21"/>
                <w:szCs w:val="21"/>
                <w14:textFill>
                  <w14:solidFill>
                    <w14:schemeClr w14:val="tx1"/>
                  </w14:solidFill>
                </w14:textFill>
              </w:rPr>
              <w:t>~0.066</w:t>
            </w:r>
          </w:p>
        </w:tc>
        <w:tc>
          <w:tcPr>
            <w:tcW w:w="353" w:type="pct"/>
            <w:vAlign w:val="center"/>
          </w:tcPr>
          <w:p w14:paraId="35AB39D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04D5BDA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CD0F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07EEBC0C">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6CB0D05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56351AA7">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4E4C677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642AF2A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10</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2</w:t>
            </w:r>
          </w:p>
        </w:tc>
        <w:tc>
          <w:tcPr>
            <w:tcW w:w="897" w:type="pct"/>
            <w:vAlign w:val="center"/>
          </w:tcPr>
          <w:p w14:paraId="5EAD205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14</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353" w:type="pct"/>
            <w:vAlign w:val="center"/>
          </w:tcPr>
          <w:p w14:paraId="32BE20E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4301882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41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688CE230">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7FCE328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2475AF93">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51DD735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379EC1B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25</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28</w:t>
            </w:r>
          </w:p>
        </w:tc>
        <w:tc>
          <w:tcPr>
            <w:tcW w:w="897" w:type="pct"/>
            <w:vAlign w:val="center"/>
          </w:tcPr>
          <w:p w14:paraId="607BA0D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31</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35</w:t>
            </w:r>
          </w:p>
        </w:tc>
        <w:tc>
          <w:tcPr>
            <w:tcW w:w="353" w:type="pct"/>
            <w:vAlign w:val="center"/>
          </w:tcPr>
          <w:p w14:paraId="01D72E6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0.08</w:t>
            </w:r>
          </w:p>
        </w:tc>
        <w:tc>
          <w:tcPr>
            <w:tcW w:w="274" w:type="pct"/>
            <w:vAlign w:val="center"/>
          </w:tcPr>
          <w:p w14:paraId="371B0EE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45B6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2022D77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73B035B5">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Align w:val="center"/>
          </w:tcPr>
          <w:p w14:paraId="4A09664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8小时均值</w:t>
            </w:r>
          </w:p>
        </w:tc>
        <w:tc>
          <w:tcPr>
            <w:tcW w:w="735" w:type="pct"/>
            <w:vAlign w:val="center"/>
          </w:tcPr>
          <w:p w14:paraId="65A57FA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总挥发性有机物</w:t>
            </w:r>
          </w:p>
        </w:tc>
        <w:tc>
          <w:tcPr>
            <w:tcW w:w="888" w:type="pct"/>
            <w:vAlign w:val="center"/>
          </w:tcPr>
          <w:p w14:paraId="191EAC3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214</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268</w:t>
            </w:r>
          </w:p>
        </w:tc>
        <w:tc>
          <w:tcPr>
            <w:tcW w:w="897" w:type="pct"/>
            <w:vAlign w:val="center"/>
          </w:tcPr>
          <w:p w14:paraId="48C19A9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523</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588</w:t>
            </w:r>
          </w:p>
        </w:tc>
        <w:tc>
          <w:tcPr>
            <w:tcW w:w="353" w:type="pct"/>
            <w:vAlign w:val="center"/>
          </w:tcPr>
          <w:p w14:paraId="4653655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0.6</w:t>
            </w:r>
          </w:p>
        </w:tc>
        <w:tc>
          <w:tcPr>
            <w:tcW w:w="274" w:type="pct"/>
            <w:vAlign w:val="center"/>
          </w:tcPr>
          <w:p w14:paraId="0862E0E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10C5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restart"/>
            <w:vAlign w:val="center"/>
          </w:tcPr>
          <w:p w14:paraId="50A3325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四季度</w:t>
            </w:r>
          </w:p>
        </w:tc>
        <w:tc>
          <w:tcPr>
            <w:tcW w:w="897" w:type="pct"/>
            <w:vMerge w:val="restart"/>
            <w:vAlign w:val="center"/>
          </w:tcPr>
          <w:p w14:paraId="1FCF8C0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.1</w:t>
            </w:r>
            <w:r>
              <w:rPr>
                <w:rFonts w:hint="eastAsia" w:ascii="Times New Roman" w:hAnsi="Times New Roman" w:eastAsia="宋体" w:cs="Times New Roman"/>
                <w:color w:val="000000" w:themeColor="text1"/>
                <w:kern w:val="0"/>
                <w:sz w:val="21"/>
                <w:szCs w:val="21"/>
                <w14:textFill>
                  <w14:solidFill>
                    <w14:schemeClr w14:val="tx1"/>
                  </w14:solidFill>
                </w14:textFill>
              </w:rPr>
              <w:t>1</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01</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07</w:t>
            </w:r>
          </w:p>
        </w:tc>
        <w:tc>
          <w:tcPr>
            <w:tcW w:w="378" w:type="pct"/>
            <w:vMerge w:val="restart"/>
            <w:vAlign w:val="center"/>
          </w:tcPr>
          <w:p w14:paraId="783AA5A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小时值</w:t>
            </w:r>
          </w:p>
        </w:tc>
        <w:tc>
          <w:tcPr>
            <w:tcW w:w="735" w:type="pct"/>
            <w:vAlign w:val="center"/>
          </w:tcPr>
          <w:p w14:paraId="7CF1E6B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672CB57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w:t>
            </w:r>
            <w:r>
              <w:rPr>
                <w:rFonts w:hint="eastAsia" w:ascii="Times New Roman" w:hAnsi="Times New Roman" w:eastAsia="宋体" w:cs="Times New Roman"/>
                <w:color w:val="000000" w:themeColor="text1"/>
                <w:kern w:val="0"/>
                <w:sz w:val="21"/>
                <w:szCs w:val="21"/>
                <w14:textFill>
                  <w14:solidFill>
                    <w14:schemeClr w14:val="tx1"/>
                  </w14:solidFill>
                </w14:textFill>
              </w:rPr>
              <w:t>8</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0</w:t>
            </w:r>
          </w:p>
        </w:tc>
        <w:tc>
          <w:tcPr>
            <w:tcW w:w="897" w:type="pct"/>
            <w:vAlign w:val="center"/>
          </w:tcPr>
          <w:p w14:paraId="3939D4D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7AA6402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w:t>
            </w:r>
          </w:p>
        </w:tc>
        <w:tc>
          <w:tcPr>
            <w:tcW w:w="274" w:type="pct"/>
            <w:vAlign w:val="center"/>
          </w:tcPr>
          <w:p w14:paraId="56F8C78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59D1C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7194C6B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7397D16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2249AA40">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7F150B8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65680F4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~0.01</w:t>
            </w:r>
            <w:r>
              <w:rPr>
                <w:rFonts w:hint="eastAsia" w:ascii="Times New Roman" w:hAnsi="Times New Roman" w:eastAsia="宋体" w:cs="Times New Roman"/>
                <w:color w:val="000000" w:themeColor="text1"/>
                <w:kern w:val="0"/>
                <w:sz w:val="21"/>
                <w:szCs w:val="21"/>
                <w14:textFill>
                  <w14:solidFill>
                    <w14:schemeClr w14:val="tx1"/>
                  </w14:solidFill>
                </w14:textFill>
              </w:rPr>
              <w:t>8</w:t>
            </w:r>
          </w:p>
        </w:tc>
        <w:tc>
          <w:tcPr>
            <w:tcW w:w="897" w:type="pct"/>
            <w:vAlign w:val="center"/>
          </w:tcPr>
          <w:p w14:paraId="64203EC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441687B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0.2</w:t>
            </w:r>
          </w:p>
        </w:tc>
        <w:tc>
          <w:tcPr>
            <w:tcW w:w="274" w:type="pct"/>
            <w:vAlign w:val="center"/>
          </w:tcPr>
          <w:p w14:paraId="2F61E66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916D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5FD012AD">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4C6955B5">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Align w:val="center"/>
          </w:tcPr>
          <w:p w14:paraId="0009D8F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8小时均值</w:t>
            </w:r>
          </w:p>
        </w:tc>
        <w:tc>
          <w:tcPr>
            <w:tcW w:w="735" w:type="pct"/>
            <w:vAlign w:val="center"/>
          </w:tcPr>
          <w:p w14:paraId="14D48DB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总挥发性有机物</w:t>
            </w:r>
          </w:p>
        </w:tc>
        <w:tc>
          <w:tcPr>
            <w:tcW w:w="888" w:type="pct"/>
            <w:vAlign w:val="center"/>
          </w:tcPr>
          <w:p w14:paraId="394E4CA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269</w:t>
            </w: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415</w:t>
            </w:r>
          </w:p>
        </w:tc>
        <w:tc>
          <w:tcPr>
            <w:tcW w:w="897" w:type="pct"/>
            <w:vAlign w:val="center"/>
          </w:tcPr>
          <w:p w14:paraId="0BDE69C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6E8C4B1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0.6</w:t>
            </w:r>
          </w:p>
        </w:tc>
        <w:tc>
          <w:tcPr>
            <w:tcW w:w="274" w:type="pct"/>
            <w:vAlign w:val="center"/>
          </w:tcPr>
          <w:p w14:paraId="17295E6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49BE2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6D0C4662">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0AF51437">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restart"/>
            <w:vAlign w:val="center"/>
          </w:tcPr>
          <w:p w14:paraId="77154A2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日均值</w:t>
            </w:r>
          </w:p>
        </w:tc>
        <w:tc>
          <w:tcPr>
            <w:tcW w:w="735" w:type="pct"/>
            <w:vAlign w:val="center"/>
          </w:tcPr>
          <w:p w14:paraId="06C9F77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总悬浮颗粒物</w:t>
            </w:r>
          </w:p>
        </w:tc>
        <w:tc>
          <w:tcPr>
            <w:tcW w:w="888" w:type="pct"/>
            <w:vAlign w:val="center"/>
          </w:tcPr>
          <w:p w14:paraId="0D2810B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r>
              <w:rPr>
                <w:rFonts w:hint="eastAsia" w:ascii="Times New Roman" w:hAnsi="Times New Roman" w:eastAsia="宋体" w:cs="Times New Roman"/>
                <w:color w:val="000000" w:themeColor="text1"/>
                <w:kern w:val="0"/>
                <w:sz w:val="21"/>
                <w:szCs w:val="21"/>
                <w14:textFill>
                  <w14:solidFill>
                    <w14:schemeClr w14:val="tx1"/>
                  </w14:solidFill>
                </w14:textFill>
              </w:rPr>
              <w:t>090</w:t>
            </w:r>
            <w:r>
              <w:rPr>
                <w:rFonts w:ascii="Times New Roman" w:hAnsi="Times New Roman" w:eastAsia="宋体" w:cs="Times New Roman"/>
                <w:color w:val="000000" w:themeColor="text1"/>
                <w:kern w:val="0"/>
                <w:sz w:val="21"/>
                <w:szCs w:val="21"/>
                <w14:textFill>
                  <w14:solidFill>
                    <w14:schemeClr w14:val="tx1"/>
                  </w14:solidFill>
                </w14:textFill>
              </w:rPr>
              <w:t>~0.1</w:t>
            </w:r>
            <w:r>
              <w:rPr>
                <w:rFonts w:hint="eastAsia" w:ascii="Times New Roman" w:hAnsi="Times New Roman" w:eastAsia="宋体" w:cs="Times New Roman"/>
                <w:color w:val="000000" w:themeColor="text1"/>
                <w:kern w:val="0"/>
                <w:sz w:val="21"/>
                <w:szCs w:val="21"/>
                <w14:textFill>
                  <w14:solidFill>
                    <w14:schemeClr w14:val="tx1"/>
                  </w14:solidFill>
                </w14:textFill>
              </w:rPr>
              <w:t>12</w:t>
            </w:r>
          </w:p>
        </w:tc>
        <w:tc>
          <w:tcPr>
            <w:tcW w:w="897" w:type="pct"/>
            <w:vAlign w:val="center"/>
          </w:tcPr>
          <w:p w14:paraId="5515E69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443C0BD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0.3</w:t>
            </w:r>
          </w:p>
        </w:tc>
        <w:tc>
          <w:tcPr>
            <w:tcW w:w="274" w:type="pct"/>
            <w:vAlign w:val="center"/>
          </w:tcPr>
          <w:p w14:paraId="4E9F20E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44600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1F5F9F98">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327A5B84">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1B15B3D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2AA2081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PM</w:t>
            </w:r>
            <w:r>
              <w:rPr>
                <w:rFonts w:ascii="Times New Roman" w:hAnsi="Times New Roman" w:eastAsia="宋体" w:cs="Times New Roman"/>
                <w:color w:val="000000" w:themeColor="text1"/>
                <w:kern w:val="0"/>
                <w:sz w:val="21"/>
                <w:szCs w:val="21"/>
                <w:vertAlign w:val="subscript"/>
                <w14:textFill>
                  <w14:solidFill>
                    <w14:schemeClr w14:val="tx1"/>
                  </w14:solidFill>
                </w14:textFill>
              </w:rPr>
              <w:t>10</w:t>
            </w:r>
          </w:p>
        </w:tc>
        <w:tc>
          <w:tcPr>
            <w:tcW w:w="888" w:type="pct"/>
            <w:vAlign w:val="center"/>
          </w:tcPr>
          <w:p w14:paraId="251E30C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60</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72</w:t>
            </w:r>
          </w:p>
        </w:tc>
        <w:tc>
          <w:tcPr>
            <w:tcW w:w="897" w:type="pct"/>
            <w:vAlign w:val="center"/>
          </w:tcPr>
          <w:p w14:paraId="12421FE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0DCDCF8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2BA06C1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7131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324904E8">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364E09C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6ADAEF4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6C1AC05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二氧化硫</w:t>
            </w:r>
          </w:p>
        </w:tc>
        <w:tc>
          <w:tcPr>
            <w:tcW w:w="888" w:type="pct"/>
            <w:vAlign w:val="center"/>
          </w:tcPr>
          <w:p w14:paraId="595207D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10</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12</w:t>
            </w:r>
          </w:p>
        </w:tc>
        <w:tc>
          <w:tcPr>
            <w:tcW w:w="897" w:type="pct"/>
            <w:vAlign w:val="center"/>
          </w:tcPr>
          <w:p w14:paraId="3B03F0D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213C30B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0.15</w:t>
            </w:r>
          </w:p>
        </w:tc>
        <w:tc>
          <w:tcPr>
            <w:tcW w:w="274" w:type="pct"/>
            <w:vAlign w:val="center"/>
          </w:tcPr>
          <w:p w14:paraId="1D26B66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A7CF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8" w:type="pct"/>
            <w:vMerge w:val="continue"/>
            <w:vAlign w:val="center"/>
          </w:tcPr>
          <w:p w14:paraId="095B0B8C">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897" w:type="pct"/>
            <w:vMerge w:val="continue"/>
            <w:vAlign w:val="center"/>
          </w:tcPr>
          <w:p w14:paraId="04D6B056">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378" w:type="pct"/>
            <w:vMerge w:val="continue"/>
            <w:vAlign w:val="center"/>
          </w:tcPr>
          <w:p w14:paraId="3B3788BE">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735" w:type="pct"/>
            <w:vAlign w:val="center"/>
          </w:tcPr>
          <w:p w14:paraId="5C85AF0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二氧化氮</w:t>
            </w:r>
          </w:p>
        </w:tc>
        <w:tc>
          <w:tcPr>
            <w:tcW w:w="888" w:type="pct"/>
            <w:vAlign w:val="center"/>
          </w:tcPr>
          <w:p w14:paraId="0F98566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24</w:t>
            </w:r>
            <w:r>
              <w:rPr>
                <w:rFonts w:ascii="Times New Roman" w:hAnsi="Times New Roman" w:eastAsia="宋体" w:cs="Times New Roman"/>
                <w:color w:val="000000" w:themeColor="text1"/>
                <w:kern w:val="0"/>
                <w:sz w:val="21"/>
                <w:szCs w:val="21"/>
                <w14:textFill>
                  <w14:solidFill>
                    <w14:schemeClr w14:val="tx1"/>
                  </w14:solidFill>
                </w14:textFill>
              </w:rPr>
              <w:t>~0.0</w:t>
            </w:r>
            <w:r>
              <w:rPr>
                <w:rFonts w:hint="eastAsia" w:ascii="Times New Roman" w:hAnsi="Times New Roman" w:eastAsia="宋体" w:cs="Times New Roman"/>
                <w:color w:val="000000" w:themeColor="text1"/>
                <w:kern w:val="0"/>
                <w:sz w:val="21"/>
                <w:szCs w:val="21"/>
                <w14:textFill>
                  <w14:solidFill>
                    <w14:schemeClr w14:val="tx1"/>
                  </w14:solidFill>
                </w14:textFill>
              </w:rPr>
              <w:t>27</w:t>
            </w:r>
          </w:p>
        </w:tc>
        <w:tc>
          <w:tcPr>
            <w:tcW w:w="897" w:type="pct"/>
            <w:vAlign w:val="center"/>
          </w:tcPr>
          <w:p w14:paraId="623712A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353" w:type="pct"/>
            <w:vAlign w:val="center"/>
          </w:tcPr>
          <w:p w14:paraId="75D409E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0.08</w:t>
            </w:r>
          </w:p>
        </w:tc>
        <w:tc>
          <w:tcPr>
            <w:tcW w:w="274" w:type="pct"/>
            <w:vAlign w:val="center"/>
          </w:tcPr>
          <w:p w14:paraId="628BDBD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bookmarkEnd w:id="25"/>
    </w:tbl>
    <w:p w14:paraId="16BB1F4C">
      <w:pPr>
        <w:pStyle w:val="2"/>
        <w:snapToGrid w:val="0"/>
        <w:ind w:firstLine="560"/>
        <w:jc w:val="center"/>
        <w:rPr>
          <w:rFonts w:hint="eastAsia" w:ascii="楷体_GB2312" w:hAnsi="楷体_GB2312" w:eastAsia="楷体_GB2312" w:cs="楷体_GB2312"/>
          <w:color w:val="000000" w:themeColor="text1"/>
          <w:szCs w:val="32"/>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表</w:t>
      </w:r>
      <w:r>
        <w:rPr>
          <w:rFonts w:hint="eastAsia" w:ascii="黑体" w:hAnsi="黑体" w:eastAsia="黑体"/>
          <w:color w:val="000000" w:themeColor="text1"/>
          <w:sz w:val="28"/>
          <w:szCs w:val="28"/>
          <w14:textFill>
            <w14:solidFill>
              <w14:schemeClr w14:val="tx1"/>
            </w14:solidFill>
          </w14:textFill>
        </w:rPr>
        <w:t>5</w:t>
      </w:r>
      <w:r>
        <w:rPr>
          <w:rFonts w:ascii="黑体" w:hAnsi="黑体" w:eastAsia="黑体"/>
          <w:color w:val="000000" w:themeColor="text1"/>
          <w:sz w:val="28"/>
          <w:szCs w:val="28"/>
          <w14:textFill>
            <w14:solidFill>
              <w14:schemeClr w14:val="tx1"/>
            </w14:solidFill>
          </w14:textFill>
        </w:rPr>
        <w:t xml:space="preserve"> 声环境监测结果一览表</w:t>
      </w:r>
    </w:p>
    <w:tbl>
      <w:tblPr>
        <w:tblStyle w:val="42"/>
        <w:tblW w:w="543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952"/>
        <w:gridCol w:w="952"/>
        <w:gridCol w:w="952"/>
        <w:gridCol w:w="952"/>
        <w:gridCol w:w="952"/>
        <w:gridCol w:w="952"/>
        <w:gridCol w:w="952"/>
        <w:gridCol w:w="950"/>
      </w:tblGrid>
      <w:tr w14:paraId="09956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697" w:type="pct"/>
            <w:vMerge w:val="restart"/>
            <w:vAlign w:val="center"/>
          </w:tcPr>
          <w:p w14:paraId="23AC649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监测日期</w:t>
            </w:r>
          </w:p>
        </w:tc>
        <w:tc>
          <w:tcPr>
            <w:tcW w:w="4303" w:type="pct"/>
            <w:gridSpan w:val="8"/>
            <w:vAlign w:val="center"/>
          </w:tcPr>
          <w:p w14:paraId="279B3D8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检测结果 单位：Leq</w:t>
            </w:r>
          </w:p>
        </w:tc>
      </w:tr>
      <w:tr w14:paraId="17E5A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Merge w:val="continue"/>
            <w:vAlign w:val="center"/>
          </w:tcPr>
          <w:p w14:paraId="44CA0A6B">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1076" w:type="pct"/>
            <w:gridSpan w:val="2"/>
            <w:vAlign w:val="center"/>
          </w:tcPr>
          <w:p w14:paraId="15FE7C5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N1麻滩新村</w:t>
            </w:r>
          </w:p>
        </w:tc>
        <w:tc>
          <w:tcPr>
            <w:tcW w:w="1076" w:type="pct"/>
            <w:gridSpan w:val="2"/>
            <w:vAlign w:val="center"/>
          </w:tcPr>
          <w:p w14:paraId="5EF41A4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N2林场小区</w:t>
            </w:r>
          </w:p>
        </w:tc>
        <w:tc>
          <w:tcPr>
            <w:tcW w:w="1076" w:type="pct"/>
            <w:gridSpan w:val="2"/>
          </w:tcPr>
          <w:p w14:paraId="55A0CA0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N3工业大道旁</w:t>
            </w:r>
          </w:p>
        </w:tc>
        <w:tc>
          <w:tcPr>
            <w:tcW w:w="1076" w:type="pct"/>
            <w:gridSpan w:val="2"/>
          </w:tcPr>
          <w:p w14:paraId="1472EC7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N4铁东二路旁</w:t>
            </w:r>
          </w:p>
        </w:tc>
      </w:tr>
      <w:tr w14:paraId="1429E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Merge w:val="continue"/>
            <w:vAlign w:val="center"/>
          </w:tcPr>
          <w:p w14:paraId="606933F9">
            <w:pPr>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538" w:type="pct"/>
            <w:vAlign w:val="center"/>
          </w:tcPr>
          <w:p w14:paraId="3EFBCCB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昼间</w:t>
            </w:r>
          </w:p>
        </w:tc>
        <w:tc>
          <w:tcPr>
            <w:tcW w:w="538" w:type="pct"/>
            <w:vAlign w:val="center"/>
          </w:tcPr>
          <w:p w14:paraId="5CE992F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夜间</w:t>
            </w:r>
          </w:p>
        </w:tc>
        <w:tc>
          <w:tcPr>
            <w:tcW w:w="538" w:type="pct"/>
            <w:vAlign w:val="center"/>
          </w:tcPr>
          <w:p w14:paraId="07B7418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昼间</w:t>
            </w:r>
          </w:p>
        </w:tc>
        <w:tc>
          <w:tcPr>
            <w:tcW w:w="538" w:type="pct"/>
            <w:vAlign w:val="center"/>
          </w:tcPr>
          <w:p w14:paraId="1C59BC4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夜间</w:t>
            </w:r>
          </w:p>
        </w:tc>
        <w:tc>
          <w:tcPr>
            <w:tcW w:w="538" w:type="pct"/>
            <w:vAlign w:val="center"/>
          </w:tcPr>
          <w:p w14:paraId="39998AC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昼间</w:t>
            </w:r>
          </w:p>
        </w:tc>
        <w:tc>
          <w:tcPr>
            <w:tcW w:w="538" w:type="pct"/>
            <w:vAlign w:val="center"/>
          </w:tcPr>
          <w:p w14:paraId="526E901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夜间</w:t>
            </w:r>
          </w:p>
        </w:tc>
        <w:tc>
          <w:tcPr>
            <w:tcW w:w="538" w:type="pct"/>
            <w:vAlign w:val="center"/>
          </w:tcPr>
          <w:p w14:paraId="769BD13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昼间</w:t>
            </w:r>
          </w:p>
        </w:tc>
        <w:tc>
          <w:tcPr>
            <w:tcW w:w="538" w:type="pct"/>
            <w:vAlign w:val="center"/>
          </w:tcPr>
          <w:p w14:paraId="52B5667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夜间</w:t>
            </w:r>
          </w:p>
        </w:tc>
      </w:tr>
      <w:tr w14:paraId="69763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27D11C8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.2</w:t>
            </w:r>
            <w:r>
              <w:rPr>
                <w:rFonts w:hint="eastAsia" w:ascii="Times New Roman" w:hAnsi="Times New Roman" w:eastAsia="宋体" w:cs="Times New Roman"/>
                <w:color w:val="000000" w:themeColor="text1"/>
                <w:kern w:val="0"/>
                <w:sz w:val="21"/>
                <w:szCs w:val="21"/>
                <w14:textFill>
                  <w14:solidFill>
                    <w14:schemeClr w14:val="tx1"/>
                  </w14:solidFill>
                </w14:textFill>
              </w:rPr>
              <w:t>4</w:t>
            </w:r>
            <w:r>
              <w:rPr>
                <w:rFonts w:ascii="Times New Roman" w:hAnsi="Times New Roman" w:eastAsia="宋体" w:cs="Times New Roman"/>
                <w:color w:val="000000" w:themeColor="text1"/>
                <w:kern w:val="0"/>
                <w:sz w:val="21"/>
                <w:szCs w:val="21"/>
                <w14:textFill>
                  <w14:solidFill>
                    <w14:schemeClr w14:val="tx1"/>
                  </w14:solidFill>
                </w14:textFill>
              </w:rPr>
              <w:t>~27</w:t>
            </w:r>
          </w:p>
        </w:tc>
        <w:tc>
          <w:tcPr>
            <w:tcW w:w="538" w:type="pct"/>
            <w:vAlign w:val="center"/>
          </w:tcPr>
          <w:p w14:paraId="1C403B0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~58</w:t>
            </w:r>
          </w:p>
        </w:tc>
        <w:tc>
          <w:tcPr>
            <w:tcW w:w="538" w:type="pct"/>
            <w:vAlign w:val="center"/>
          </w:tcPr>
          <w:p w14:paraId="6725B9D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538" w:type="pct"/>
            <w:vAlign w:val="center"/>
          </w:tcPr>
          <w:p w14:paraId="2D5814D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56~5</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538" w:type="pct"/>
            <w:vAlign w:val="center"/>
          </w:tcPr>
          <w:p w14:paraId="2724A03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6</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538" w:type="pct"/>
          </w:tcPr>
          <w:p w14:paraId="4322966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538" w:type="pct"/>
          </w:tcPr>
          <w:p w14:paraId="20F19B8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48</w:t>
            </w:r>
          </w:p>
        </w:tc>
        <w:tc>
          <w:tcPr>
            <w:tcW w:w="538" w:type="pct"/>
          </w:tcPr>
          <w:p w14:paraId="6FE8724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~57</w:t>
            </w:r>
          </w:p>
        </w:tc>
        <w:tc>
          <w:tcPr>
            <w:tcW w:w="538" w:type="pct"/>
          </w:tcPr>
          <w:p w14:paraId="43748DF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6</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r>
      <w:tr w14:paraId="1545D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7847A5A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是否超标</w:t>
            </w:r>
          </w:p>
        </w:tc>
        <w:tc>
          <w:tcPr>
            <w:tcW w:w="538" w:type="pct"/>
            <w:vAlign w:val="center"/>
          </w:tcPr>
          <w:p w14:paraId="6FAC22D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39C133C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43EB15A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2CAA9DC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2872D92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590126B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C376F9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5C081F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1980C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33CC482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24</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27</w:t>
            </w:r>
          </w:p>
        </w:tc>
        <w:tc>
          <w:tcPr>
            <w:tcW w:w="538" w:type="pct"/>
            <w:vAlign w:val="center"/>
          </w:tcPr>
          <w:p w14:paraId="3EF9931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54~56</w:t>
            </w:r>
          </w:p>
        </w:tc>
        <w:tc>
          <w:tcPr>
            <w:tcW w:w="538" w:type="pct"/>
            <w:vAlign w:val="center"/>
          </w:tcPr>
          <w:p w14:paraId="078C50F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44~4</w:t>
            </w:r>
            <w:r>
              <w:rPr>
                <w:rFonts w:hint="eastAsia" w:ascii="Times New Roman" w:hAnsi="Times New Roman" w:eastAsia="宋体" w:cs="Times New Roman"/>
                <w:color w:val="000000" w:themeColor="text1"/>
                <w:kern w:val="0"/>
                <w:sz w:val="21"/>
                <w:szCs w:val="21"/>
                <w14:textFill>
                  <w14:solidFill>
                    <w14:schemeClr w14:val="tx1"/>
                  </w14:solidFill>
                </w14:textFill>
              </w:rPr>
              <w:t>6</w:t>
            </w:r>
          </w:p>
        </w:tc>
        <w:tc>
          <w:tcPr>
            <w:tcW w:w="538" w:type="pct"/>
            <w:vAlign w:val="center"/>
          </w:tcPr>
          <w:p w14:paraId="2D0AE06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154EE27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4</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6</w:t>
            </w:r>
          </w:p>
        </w:tc>
        <w:tc>
          <w:tcPr>
            <w:tcW w:w="538" w:type="pct"/>
          </w:tcPr>
          <w:p w14:paraId="0E5311C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54~5</w:t>
            </w:r>
            <w:r>
              <w:rPr>
                <w:rFonts w:hint="eastAsia" w:ascii="Times New Roman" w:hAnsi="Times New Roman" w:eastAsia="宋体" w:cs="Times New Roman"/>
                <w:color w:val="000000" w:themeColor="text1"/>
                <w:kern w:val="0"/>
                <w:sz w:val="21"/>
                <w:szCs w:val="21"/>
                <w14:textFill>
                  <w14:solidFill>
                    <w14:schemeClr w14:val="tx1"/>
                  </w14:solidFill>
                </w14:textFill>
              </w:rPr>
              <w:t>6</w:t>
            </w:r>
          </w:p>
        </w:tc>
        <w:tc>
          <w:tcPr>
            <w:tcW w:w="538" w:type="pct"/>
          </w:tcPr>
          <w:p w14:paraId="23DCCBC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44~4</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538" w:type="pct"/>
          </w:tcPr>
          <w:p w14:paraId="6881EFF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54~56</w:t>
            </w:r>
          </w:p>
        </w:tc>
        <w:tc>
          <w:tcPr>
            <w:tcW w:w="538" w:type="pct"/>
          </w:tcPr>
          <w:p w14:paraId="5BDF1DA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6</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7</w:t>
            </w:r>
          </w:p>
        </w:tc>
      </w:tr>
      <w:tr w14:paraId="11E8C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7B5ED5E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是否超标</w:t>
            </w:r>
          </w:p>
        </w:tc>
        <w:tc>
          <w:tcPr>
            <w:tcW w:w="538" w:type="pct"/>
            <w:vAlign w:val="center"/>
          </w:tcPr>
          <w:p w14:paraId="004160D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672C715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2F06008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44E6FE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2027508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F49F91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73E5558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400EC6AD">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306B4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2973BE1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7</w:t>
            </w:r>
            <w:r>
              <w:rPr>
                <w:rFonts w:ascii="Times New Roman" w:hAnsi="Times New Roman" w:eastAsia="宋体" w:cs="Times New Roman"/>
                <w:color w:val="000000" w:themeColor="text1"/>
                <w:kern w:val="0"/>
                <w:sz w:val="21"/>
                <w:szCs w:val="21"/>
                <w14:textFill>
                  <w14:solidFill>
                    <w14:schemeClr w14:val="tx1"/>
                  </w14:solidFill>
                </w14:textFill>
              </w:rPr>
              <w:t>.19~2</w:t>
            </w:r>
            <w:r>
              <w:rPr>
                <w:rFonts w:hint="eastAsia" w:ascii="Times New Roman" w:hAnsi="Times New Roman" w:eastAsia="宋体" w:cs="Times New Roman"/>
                <w:color w:val="000000" w:themeColor="text1"/>
                <w:kern w:val="0"/>
                <w:sz w:val="21"/>
                <w:szCs w:val="21"/>
                <w14:textFill>
                  <w14:solidFill>
                    <w14:schemeClr w14:val="tx1"/>
                  </w14:solidFill>
                </w14:textFill>
              </w:rPr>
              <w:t>2</w:t>
            </w:r>
          </w:p>
        </w:tc>
        <w:tc>
          <w:tcPr>
            <w:tcW w:w="538" w:type="pct"/>
            <w:vAlign w:val="center"/>
          </w:tcPr>
          <w:p w14:paraId="584FA32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023347F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p>
        </w:tc>
        <w:tc>
          <w:tcPr>
            <w:tcW w:w="538" w:type="pct"/>
            <w:vAlign w:val="center"/>
          </w:tcPr>
          <w:p w14:paraId="045BBF8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4ED00CE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45~4</w:t>
            </w:r>
            <w:r>
              <w:rPr>
                <w:rFonts w:hint="eastAsia" w:ascii="Times New Roman" w:hAnsi="Times New Roman" w:eastAsia="宋体" w:cs="Times New Roman"/>
                <w:color w:val="000000" w:themeColor="text1"/>
                <w:kern w:val="0"/>
                <w:sz w:val="21"/>
                <w:szCs w:val="21"/>
                <w14:textFill>
                  <w14:solidFill>
                    <w14:schemeClr w14:val="tx1"/>
                  </w14:solidFill>
                </w14:textFill>
              </w:rPr>
              <w:t>6</w:t>
            </w:r>
          </w:p>
        </w:tc>
        <w:tc>
          <w:tcPr>
            <w:tcW w:w="538" w:type="pct"/>
          </w:tcPr>
          <w:p w14:paraId="1E8C608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tcPr>
          <w:p w14:paraId="0A605C2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5</w:t>
            </w:r>
          </w:p>
        </w:tc>
        <w:tc>
          <w:tcPr>
            <w:tcW w:w="538" w:type="pct"/>
          </w:tcPr>
          <w:p w14:paraId="2DBB619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tcPr>
          <w:p w14:paraId="089AA9A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r>
      <w:tr w14:paraId="21C18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1F3973A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是否超标</w:t>
            </w:r>
          </w:p>
        </w:tc>
        <w:tc>
          <w:tcPr>
            <w:tcW w:w="538" w:type="pct"/>
            <w:vAlign w:val="center"/>
          </w:tcPr>
          <w:p w14:paraId="7A17C74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7D45E72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7DC1D20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0FA44BE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2D0107FB">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B9BF5F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4937A6A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7701F92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2BE4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181AED4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202</w:t>
            </w:r>
            <w:r>
              <w:rPr>
                <w:rFonts w:hint="eastAsia" w:ascii="Times New Roman" w:hAnsi="Times New Roman" w:eastAsia="宋体" w:cs="Times New Roman"/>
                <w:color w:val="000000" w:themeColor="text1"/>
                <w:kern w:val="0"/>
                <w:sz w:val="21"/>
                <w:szCs w:val="21"/>
                <w14:textFill>
                  <w14:solidFill>
                    <w14:schemeClr w14:val="tx1"/>
                  </w14:solidFill>
                </w14:textFill>
              </w:rPr>
              <w:t>5</w:t>
            </w:r>
            <w:r>
              <w:rPr>
                <w:rFonts w:ascii="Times New Roman" w:hAnsi="Times New Roman" w:eastAsia="宋体" w:cs="Times New Roman"/>
                <w:color w:val="000000" w:themeColor="text1"/>
                <w:kern w:val="0"/>
                <w:sz w:val="21"/>
                <w:szCs w:val="21"/>
                <w14:textFill>
                  <w14:solidFill>
                    <w14:schemeClr w14:val="tx1"/>
                  </w14:solidFill>
                </w14:textFill>
              </w:rPr>
              <w:t>.1</w:t>
            </w:r>
            <w:r>
              <w:rPr>
                <w:rFonts w:hint="eastAsia" w:ascii="Times New Roman" w:hAnsi="Times New Roman" w:eastAsia="宋体" w:cs="Times New Roman"/>
                <w:color w:val="000000" w:themeColor="text1"/>
                <w:kern w:val="0"/>
                <w:sz w:val="21"/>
                <w:szCs w:val="21"/>
                <w14:textFill>
                  <w14:solidFill>
                    <w14:schemeClr w14:val="tx1"/>
                  </w14:solidFill>
                </w14:textFill>
              </w:rPr>
              <w:t>1</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1</w:t>
            </w:r>
            <w:r>
              <w:rPr>
                <w:rFonts w:ascii="Times New Roman" w:hAnsi="Times New Roman"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5C0D087E">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7B0BABDA">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5</w:t>
            </w:r>
          </w:p>
        </w:tc>
        <w:tc>
          <w:tcPr>
            <w:tcW w:w="538" w:type="pct"/>
            <w:vAlign w:val="center"/>
          </w:tcPr>
          <w:p w14:paraId="09CCC17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vAlign w:val="center"/>
          </w:tcPr>
          <w:p w14:paraId="0F276C1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p>
        </w:tc>
        <w:tc>
          <w:tcPr>
            <w:tcW w:w="538" w:type="pct"/>
          </w:tcPr>
          <w:p w14:paraId="766B8BF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tcPr>
          <w:p w14:paraId="16E5977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4</w:t>
            </w:r>
          </w:p>
        </w:tc>
        <w:tc>
          <w:tcPr>
            <w:tcW w:w="538" w:type="pct"/>
          </w:tcPr>
          <w:p w14:paraId="00F0792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r>
              <w:rPr>
                <w:rFonts w:hint="eastAsia" w:ascii="Times New Roman" w:hAnsi="Times New Roman" w:eastAsia="宋体" w:cs="Times New Roman"/>
                <w:color w:val="000000" w:themeColor="text1"/>
                <w:kern w:val="0"/>
                <w:sz w:val="21"/>
                <w:szCs w:val="21"/>
                <w14:textFill>
                  <w14:solidFill>
                    <w14:schemeClr w14:val="tx1"/>
                  </w14:solidFill>
                </w14:textFill>
              </w:rPr>
              <w:t>2</w:t>
            </w:r>
          </w:p>
        </w:tc>
        <w:tc>
          <w:tcPr>
            <w:tcW w:w="538" w:type="pct"/>
          </w:tcPr>
          <w:p w14:paraId="2464037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1</w:t>
            </w: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3</w:t>
            </w:r>
          </w:p>
        </w:tc>
      </w:tr>
      <w:tr w14:paraId="08C1B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02353BA2">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是否超标</w:t>
            </w:r>
          </w:p>
        </w:tc>
        <w:tc>
          <w:tcPr>
            <w:tcW w:w="538" w:type="pct"/>
            <w:vAlign w:val="center"/>
          </w:tcPr>
          <w:p w14:paraId="4F3D6026">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009E6D09">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58C9AF2F">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4C5291C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16AEDC8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4D4EF618">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6943C26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c>
          <w:tcPr>
            <w:tcW w:w="538" w:type="pct"/>
            <w:vAlign w:val="center"/>
          </w:tcPr>
          <w:p w14:paraId="67858810">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否</w:t>
            </w:r>
          </w:p>
        </w:tc>
      </w:tr>
      <w:tr w14:paraId="09E03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pct"/>
            <w:vAlign w:val="center"/>
          </w:tcPr>
          <w:p w14:paraId="09F5D01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标准限值</w:t>
            </w:r>
          </w:p>
        </w:tc>
        <w:tc>
          <w:tcPr>
            <w:tcW w:w="538" w:type="pct"/>
            <w:vAlign w:val="center"/>
          </w:tcPr>
          <w:p w14:paraId="363C1BB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60</w:t>
            </w:r>
          </w:p>
        </w:tc>
        <w:tc>
          <w:tcPr>
            <w:tcW w:w="538" w:type="pct"/>
            <w:vAlign w:val="center"/>
          </w:tcPr>
          <w:p w14:paraId="3AFFA813">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50</w:t>
            </w:r>
          </w:p>
        </w:tc>
        <w:tc>
          <w:tcPr>
            <w:tcW w:w="538" w:type="pct"/>
            <w:vAlign w:val="center"/>
          </w:tcPr>
          <w:p w14:paraId="7CDFB904">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60</w:t>
            </w:r>
          </w:p>
        </w:tc>
        <w:tc>
          <w:tcPr>
            <w:tcW w:w="538" w:type="pct"/>
            <w:vAlign w:val="center"/>
          </w:tcPr>
          <w:p w14:paraId="2DC9BFAC">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50</w:t>
            </w:r>
          </w:p>
        </w:tc>
        <w:tc>
          <w:tcPr>
            <w:tcW w:w="538" w:type="pct"/>
          </w:tcPr>
          <w:p w14:paraId="2FCAEEA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70</w:t>
            </w:r>
          </w:p>
        </w:tc>
        <w:tc>
          <w:tcPr>
            <w:tcW w:w="538" w:type="pct"/>
          </w:tcPr>
          <w:p w14:paraId="1731FC85">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55</w:t>
            </w:r>
          </w:p>
        </w:tc>
        <w:tc>
          <w:tcPr>
            <w:tcW w:w="538" w:type="pct"/>
          </w:tcPr>
          <w:p w14:paraId="73B14637">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70</w:t>
            </w:r>
          </w:p>
        </w:tc>
        <w:tc>
          <w:tcPr>
            <w:tcW w:w="538" w:type="pct"/>
          </w:tcPr>
          <w:p w14:paraId="72DFAC41">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55</w:t>
            </w:r>
          </w:p>
        </w:tc>
      </w:tr>
    </w:tbl>
    <w:p w14:paraId="79E8DABD">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751C8097">
      <w:pPr>
        <w:pStyle w:val="2"/>
        <w:snapToGrid w:val="0"/>
        <w:ind w:firstLine="420"/>
        <w:jc w:val="center"/>
        <w:rPr>
          <w:rFonts w:hint="eastAsia" w:ascii="楷体_GB2312" w:hAnsi="楷体_GB2312" w:eastAsia="楷体_GB2312" w:cs="楷体_GB2312"/>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表</w:t>
      </w:r>
      <w:r>
        <w:rPr>
          <w:rFonts w:hint="eastAsia" w:ascii="黑体" w:hAnsi="黑体" w:eastAsia="黑体"/>
          <w:color w:val="000000" w:themeColor="text1"/>
          <w:sz w:val="21"/>
          <w:szCs w:val="21"/>
          <w14:textFill>
            <w14:solidFill>
              <w14:schemeClr w14:val="tx1"/>
            </w14:solidFill>
          </w14:textFill>
        </w:rPr>
        <w:t>6</w:t>
      </w:r>
      <w:r>
        <w:rPr>
          <w:rFonts w:ascii="黑体" w:hAnsi="黑体" w:eastAsia="黑体"/>
          <w:color w:val="000000" w:themeColor="text1"/>
          <w:sz w:val="21"/>
          <w:szCs w:val="21"/>
          <w14:textFill>
            <w14:solidFill>
              <w14:schemeClr w14:val="tx1"/>
            </w14:solidFill>
          </w14:textFill>
        </w:rPr>
        <w:t xml:space="preserve"> 建设用地土壤环境质量现状监测结果表  单位：mg/kg，pH值：无量纲</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02"/>
        <w:gridCol w:w="1557"/>
        <w:gridCol w:w="991"/>
        <w:gridCol w:w="903"/>
        <w:gridCol w:w="2494"/>
        <w:gridCol w:w="906"/>
        <w:gridCol w:w="943"/>
      </w:tblGrid>
      <w:tr w14:paraId="3D6E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Merge w:val="restart"/>
            <w:vAlign w:val="center"/>
          </w:tcPr>
          <w:p w14:paraId="617E0B7A">
            <w:pPr>
              <w:widowControl/>
              <w:jc w:val="center"/>
              <w:rPr>
                <w:rFonts w:ascii="Times New Roman" w:hAnsi="Times New Roman" w:eastAsia="宋体" w:cs="Times New Roman"/>
                <w:color w:val="000000" w:themeColor="text1"/>
                <w:spacing w:val="-1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序号</w:t>
            </w:r>
          </w:p>
        </w:tc>
        <w:tc>
          <w:tcPr>
            <w:tcW w:w="938" w:type="pct"/>
            <w:vMerge w:val="restart"/>
            <w:vAlign w:val="center"/>
          </w:tcPr>
          <w:p w14:paraId="3B8B337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检测项目</w:t>
            </w:r>
          </w:p>
        </w:tc>
        <w:tc>
          <w:tcPr>
            <w:tcW w:w="597" w:type="pct"/>
            <w:vMerge w:val="restart"/>
            <w:vAlign w:val="center"/>
          </w:tcPr>
          <w:p w14:paraId="6641540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采样时间</w:t>
            </w:r>
          </w:p>
        </w:tc>
        <w:tc>
          <w:tcPr>
            <w:tcW w:w="544" w:type="pct"/>
            <w:vMerge w:val="restart"/>
            <w:vAlign w:val="center"/>
          </w:tcPr>
          <w:p w14:paraId="7340C86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采样深度</w:t>
            </w:r>
          </w:p>
        </w:tc>
        <w:tc>
          <w:tcPr>
            <w:tcW w:w="1503" w:type="pct"/>
            <w:vAlign w:val="center"/>
          </w:tcPr>
          <w:p w14:paraId="17545AE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检测结果（mg/kg）</w:t>
            </w:r>
          </w:p>
        </w:tc>
        <w:tc>
          <w:tcPr>
            <w:tcW w:w="546" w:type="pct"/>
            <w:vMerge w:val="restart"/>
            <w:vAlign w:val="center"/>
          </w:tcPr>
          <w:p w14:paraId="1A2F263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筛选值</w:t>
            </w:r>
          </w:p>
        </w:tc>
        <w:tc>
          <w:tcPr>
            <w:tcW w:w="568" w:type="pct"/>
            <w:vMerge w:val="restart"/>
            <w:vAlign w:val="center"/>
          </w:tcPr>
          <w:p w14:paraId="1DD9892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达标情况</w:t>
            </w:r>
          </w:p>
        </w:tc>
      </w:tr>
      <w:tr w14:paraId="6CF9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Merge w:val="continue"/>
            <w:vAlign w:val="center"/>
          </w:tcPr>
          <w:p w14:paraId="5C065E0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938" w:type="pct"/>
            <w:vMerge w:val="continue"/>
            <w:vAlign w:val="center"/>
          </w:tcPr>
          <w:p w14:paraId="7B513DE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597" w:type="pct"/>
            <w:vMerge w:val="continue"/>
            <w:vAlign w:val="center"/>
          </w:tcPr>
          <w:p w14:paraId="76BFC1B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544" w:type="pct"/>
            <w:vMerge w:val="continue"/>
            <w:vAlign w:val="center"/>
          </w:tcPr>
          <w:p w14:paraId="3576A54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1503" w:type="pct"/>
            <w:vAlign w:val="center"/>
          </w:tcPr>
          <w:p w14:paraId="23B05A8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T1永州利好科技有限公司旁边</w:t>
            </w:r>
          </w:p>
        </w:tc>
        <w:tc>
          <w:tcPr>
            <w:tcW w:w="546" w:type="pct"/>
            <w:vMerge w:val="continue"/>
            <w:vAlign w:val="center"/>
          </w:tcPr>
          <w:p w14:paraId="3F8CF76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c>
          <w:tcPr>
            <w:tcW w:w="568" w:type="pct"/>
            <w:vMerge w:val="continue"/>
            <w:vAlign w:val="center"/>
          </w:tcPr>
          <w:p w14:paraId="1DFC23E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p>
        </w:tc>
      </w:tr>
      <w:tr w14:paraId="1E71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F292C8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938" w:type="pct"/>
            <w:tcBorders>
              <w:top w:val="single" w:color="auto" w:sz="4" w:space="0"/>
              <w:left w:val="single" w:color="auto" w:sz="8" w:space="0"/>
              <w:bottom w:val="single" w:color="auto" w:sz="8" w:space="0"/>
              <w:right w:val="single" w:color="auto" w:sz="8" w:space="0"/>
            </w:tcBorders>
            <w:vAlign w:val="center"/>
          </w:tcPr>
          <w:p w14:paraId="599F168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砷</w:t>
            </w:r>
          </w:p>
        </w:tc>
        <w:tc>
          <w:tcPr>
            <w:tcW w:w="597" w:type="pct"/>
            <w:vMerge w:val="restart"/>
            <w:tcBorders>
              <w:top w:val="single" w:color="auto" w:sz="4" w:space="0"/>
            </w:tcBorders>
            <w:vAlign w:val="center"/>
          </w:tcPr>
          <w:p w14:paraId="47303C2B">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07</w:t>
            </w: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544" w:type="pct"/>
            <w:vMerge w:val="restart"/>
            <w:tcBorders>
              <w:top w:val="single" w:color="auto" w:sz="4" w:space="0"/>
            </w:tcBorders>
            <w:vAlign w:val="center"/>
          </w:tcPr>
          <w:p w14:paraId="20811284">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0-0.2m</w:t>
            </w:r>
          </w:p>
        </w:tc>
        <w:tc>
          <w:tcPr>
            <w:tcW w:w="1503" w:type="pct"/>
            <w:tcBorders>
              <w:top w:val="single" w:color="auto" w:sz="4" w:space="0"/>
              <w:left w:val="single" w:color="auto" w:sz="8" w:space="0"/>
              <w:bottom w:val="single" w:color="auto" w:sz="8" w:space="0"/>
              <w:right w:val="single" w:color="auto" w:sz="8" w:space="0"/>
            </w:tcBorders>
            <w:vAlign w:val="center"/>
          </w:tcPr>
          <w:p w14:paraId="12B0241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7.43</w:t>
            </w:r>
          </w:p>
        </w:tc>
        <w:tc>
          <w:tcPr>
            <w:tcW w:w="546" w:type="pct"/>
            <w:tcBorders>
              <w:top w:val="single" w:color="auto" w:sz="8" w:space="0"/>
              <w:left w:val="single" w:color="auto" w:sz="8" w:space="0"/>
              <w:bottom w:val="single" w:color="auto" w:sz="8" w:space="0"/>
              <w:right w:val="nil"/>
            </w:tcBorders>
            <w:vAlign w:val="center"/>
          </w:tcPr>
          <w:p w14:paraId="0A64C9B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60</w:t>
            </w:r>
          </w:p>
        </w:tc>
        <w:tc>
          <w:tcPr>
            <w:tcW w:w="568" w:type="pct"/>
            <w:vAlign w:val="center"/>
          </w:tcPr>
          <w:p w14:paraId="579C3385">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221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FF0156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938" w:type="pct"/>
            <w:tcBorders>
              <w:top w:val="single" w:color="auto" w:sz="8" w:space="0"/>
              <w:left w:val="single" w:color="auto" w:sz="8" w:space="0"/>
              <w:bottom w:val="single" w:color="auto" w:sz="8" w:space="0"/>
              <w:right w:val="single" w:color="auto" w:sz="8" w:space="0"/>
            </w:tcBorders>
            <w:vAlign w:val="center"/>
          </w:tcPr>
          <w:p w14:paraId="3872A89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镉</w:t>
            </w:r>
          </w:p>
        </w:tc>
        <w:tc>
          <w:tcPr>
            <w:tcW w:w="597" w:type="pct"/>
            <w:vMerge w:val="continue"/>
            <w:vAlign w:val="center"/>
          </w:tcPr>
          <w:p w14:paraId="21B9EF3D">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751BB6D9">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3428BC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0.08</w:t>
            </w:r>
          </w:p>
        </w:tc>
        <w:tc>
          <w:tcPr>
            <w:tcW w:w="546" w:type="pct"/>
            <w:tcBorders>
              <w:top w:val="single" w:color="auto" w:sz="8" w:space="0"/>
              <w:left w:val="single" w:color="auto" w:sz="8" w:space="0"/>
              <w:bottom w:val="single" w:color="auto" w:sz="8" w:space="0"/>
              <w:right w:val="nil"/>
            </w:tcBorders>
            <w:vAlign w:val="center"/>
          </w:tcPr>
          <w:p w14:paraId="6AFA4A1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65</w:t>
            </w:r>
          </w:p>
        </w:tc>
        <w:tc>
          <w:tcPr>
            <w:tcW w:w="568" w:type="pct"/>
            <w:vAlign w:val="center"/>
          </w:tcPr>
          <w:p w14:paraId="1EF9D9B5">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1EA2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137B8BD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w:t>
            </w:r>
          </w:p>
        </w:tc>
        <w:tc>
          <w:tcPr>
            <w:tcW w:w="938" w:type="pct"/>
            <w:tcBorders>
              <w:top w:val="single" w:color="auto" w:sz="8" w:space="0"/>
              <w:left w:val="single" w:color="auto" w:sz="8" w:space="0"/>
              <w:bottom w:val="single" w:color="auto" w:sz="8" w:space="0"/>
              <w:right w:val="single" w:color="auto" w:sz="8" w:space="0"/>
            </w:tcBorders>
            <w:vAlign w:val="center"/>
          </w:tcPr>
          <w:p w14:paraId="05B152D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铅</w:t>
            </w:r>
          </w:p>
        </w:tc>
        <w:tc>
          <w:tcPr>
            <w:tcW w:w="597" w:type="pct"/>
            <w:vMerge w:val="continue"/>
            <w:vAlign w:val="center"/>
          </w:tcPr>
          <w:p w14:paraId="7EC496E3">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56DD81EB">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ACDED2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546" w:type="pct"/>
            <w:tcBorders>
              <w:top w:val="single" w:color="auto" w:sz="8" w:space="0"/>
              <w:left w:val="single" w:color="auto" w:sz="8" w:space="0"/>
              <w:bottom w:val="single" w:color="auto" w:sz="8" w:space="0"/>
              <w:right w:val="nil"/>
            </w:tcBorders>
            <w:vAlign w:val="center"/>
          </w:tcPr>
          <w:p w14:paraId="1910211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800</w:t>
            </w:r>
          </w:p>
        </w:tc>
        <w:tc>
          <w:tcPr>
            <w:tcW w:w="568" w:type="pct"/>
            <w:vAlign w:val="center"/>
          </w:tcPr>
          <w:p w14:paraId="1AD2A8CE">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8BD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623FBB9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938" w:type="pct"/>
            <w:tcBorders>
              <w:top w:val="single" w:color="auto" w:sz="8" w:space="0"/>
              <w:left w:val="single" w:color="auto" w:sz="8" w:space="0"/>
              <w:bottom w:val="single" w:color="auto" w:sz="8" w:space="0"/>
              <w:right w:val="single" w:color="auto" w:sz="8" w:space="0"/>
            </w:tcBorders>
            <w:vAlign w:val="center"/>
          </w:tcPr>
          <w:p w14:paraId="420D7C4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铜</w:t>
            </w:r>
          </w:p>
        </w:tc>
        <w:tc>
          <w:tcPr>
            <w:tcW w:w="597" w:type="pct"/>
            <w:vMerge w:val="continue"/>
            <w:vAlign w:val="center"/>
          </w:tcPr>
          <w:p w14:paraId="1A66A95C">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6F7BECE9">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03C933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19</w:t>
            </w:r>
          </w:p>
        </w:tc>
        <w:tc>
          <w:tcPr>
            <w:tcW w:w="546" w:type="pct"/>
            <w:tcBorders>
              <w:top w:val="single" w:color="auto" w:sz="8" w:space="0"/>
              <w:left w:val="single" w:color="auto" w:sz="8" w:space="0"/>
              <w:bottom w:val="single" w:color="auto" w:sz="8" w:space="0"/>
              <w:right w:val="nil"/>
            </w:tcBorders>
            <w:vAlign w:val="center"/>
          </w:tcPr>
          <w:p w14:paraId="2EE8867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18000</w:t>
            </w:r>
          </w:p>
        </w:tc>
        <w:tc>
          <w:tcPr>
            <w:tcW w:w="568" w:type="pct"/>
            <w:vAlign w:val="center"/>
          </w:tcPr>
          <w:p w14:paraId="297B42C6">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0F5B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1571A18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938" w:type="pct"/>
            <w:tcBorders>
              <w:top w:val="single" w:color="auto" w:sz="8" w:space="0"/>
              <w:left w:val="single" w:color="auto" w:sz="8" w:space="0"/>
              <w:bottom w:val="single" w:color="auto" w:sz="8" w:space="0"/>
              <w:right w:val="single" w:color="auto" w:sz="8" w:space="0"/>
            </w:tcBorders>
            <w:vAlign w:val="center"/>
          </w:tcPr>
          <w:p w14:paraId="434F90F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六价铬</w:t>
            </w:r>
          </w:p>
        </w:tc>
        <w:tc>
          <w:tcPr>
            <w:tcW w:w="597" w:type="pct"/>
            <w:vMerge w:val="continue"/>
            <w:vAlign w:val="center"/>
          </w:tcPr>
          <w:p w14:paraId="5E78248C">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421EF523">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38AF173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0.5L</w:t>
            </w:r>
          </w:p>
        </w:tc>
        <w:tc>
          <w:tcPr>
            <w:tcW w:w="546" w:type="pct"/>
            <w:tcBorders>
              <w:top w:val="single" w:color="auto" w:sz="8" w:space="0"/>
              <w:left w:val="single" w:color="auto" w:sz="8" w:space="0"/>
              <w:bottom w:val="single" w:color="auto" w:sz="8" w:space="0"/>
              <w:right w:val="nil"/>
            </w:tcBorders>
            <w:vAlign w:val="center"/>
          </w:tcPr>
          <w:p w14:paraId="301B124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5.7</w:t>
            </w:r>
          </w:p>
        </w:tc>
        <w:tc>
          <w:tcPr>
            <w:tcW w:w="568" w:type="pct"/>
            <w:vAlign w:val="center"/>
          </w:tcPr>
          <w:p w14:paraId="1998A0C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2E5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5D6393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w:t>
            </w:r>
          </w:p>
        </w:tc>
        <w:tc>
          <w:tcPr>
            <w:tcW w:w="938" w:type="pct"/>
            <w:tcBorders>
              <w:top w:val="single" w:color="auto" w:sz="8" w:space="0"/>
              <w:left w:val="single" w:color="auto" w:sz="8" w:space="0"/>
              <w:bottom w:val="single" w:color="auto" w:sz="8" w:space="0"/>
              <w:right w:val="single" w:color="auto" w:sz="8" w:space="0"/>
            </w:tcBorders>
            <w:vAlign w:val="center"/>
          </w:tcPr>
          <w:p w14:paraId="165CCB5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汞</w:t>
            </w:r>
          </w:p>
        </w:tc>
        <w:tc>
          <w:tcPr>
            <w:tcW w:w="597" w:type="pct"/>
            <w:vMerge w:val="continue"/>
            <w:vAlign w:val="center"/>
          </w:tcPr>
          <w:p w14:paraId="00F2A254">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774A276F">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2D7D2F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0.070</w:t>
            </w:r>
          </w:p>
        </w:tc>
        <w:tc>
          <w:tcPr>
            <w:tcW w:w="546" w:type="pct"/>
            <w:tcBorders>
              <w:top w:val="single" w:color="auto" w:sz="8" w:space="0"/>
              <w:left w:val="single" w:color="auto" w:sz="8" w:space="0"/>
              <w:bottom w:val="single" w:color="auto" w:sz="8" w:space="0"/>
              <w:right w:val="nil"/>
            </w:tcBorders>
            <w:vAlign w:val="center"/>
          </w:tcPr>
          <w:p w14:paraId="5CC667D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38</w:t>
            </w:r>
          </w:p>
        </w:tc>
        <w:tc>
          <w:tcPr>
            <w:tcW w:w="568" w:type="pct"/>
            <w:vAlign w:val="center"/>
          </w:tcPr>
          <w:p w14:paraId="4289750C">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426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0A07DF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w:t>
            </w:r>
          </w:p>
        </w:tc>
        <w:tc>
          <w:tcPr>
            <w:tcW w:w="938" w:type="pct"/>
            <w:tcBorders>
              <w:top w:val="single" w:color="auto" w:sz="8" w:space="0"/>
              <w:left w:val="single" w:color="auto" w:sz="8" w:space="0"/>
              <w:bottom w:val="single" w:color="auto" w:sz="8" w:space="0"/>
              <w:right w:val="single" w:color="auto" w:sz="8" w:space="0"/>
            </w:tcBorders>
            <w:vAlign w:val="center"/>
          </w:tcPr>
          <w:p w14:paraId="480D522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镍</w:t>
            </w:r>
          </w:p>
        </w:tc>
        <w:tc>
          <w:tcPr>
            <w:tcW w:w="597" w:type="pct"/>
            <w:vMerge w:val="continue"/>
            <w:vAlign w:val="center"/>
          </w:tcPr>
          <w:p w14:paraId="4216ACAA">
            <w:pPr>
              <w:jc w:val="center"/>
              <w:rPr>
                <w:rFonts w:ascii="Times New Roman" w:hAnsi="Times New Roman" w:eastAsia="宋体" w:cs="Times New Roman"/>
                <w:color w:val="000000" w:themeColor="text1"/>
                <w:sz w:val="21"/>
                <w:szCs w:val="21"/>
                <w14:textFill>
                  <w14:solidFill>
                    <w14:schemeClr w14:val="tx1"/>
                  </w14:solidFill>
                </w14:textFill>
              </w:rPr>
            </w:pPr>
          </w:p>
        </w:tc>
        <w:tc>
          <w:tcPr>
            <w:tcW w:w="544" w:type="pct"/>
            <w:vMerge w:val="continue"/>
            <w:vAlign w:val="center"/>
          </w:tcPr>
          <w:p w14:paraId="7AEADC8E">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F1C3BE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23</w:t>
            </w:r>
          </w:p>
        </w:tc>
        <w:tc>
          <w:tcPr>
            <w:tcW w:w="546" w:type="pct"/>
            <w:tcBorders>
              <w:top w:val="single" w:color="auto" w:sz="8" w:space="0"/>
              <w:left w:val="single" w:color="auto" w:sz="8" w:space="0"/>
              <w:bottom w:val="single" w:color="auto" w:sz="8" w:space="0"/>
              <w:right w:val="nil"/>
            </w:tcBorders>
            <w:vAlign w:val="center"/>
          </w:tcPr>
          <w:p w14:paraId="1932102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900</w:t>
            </w:r>
          </w:p>
        </w:tc>
        <w:tc>
          <w:tcPr>
            <w:tcW w:w="568" w:type="pct"/>
            <w:vAlign w:val="center"/>
          </w:tcPr>
          <w:p w14:paraId="30A2E48A">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1D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C9808A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w:t>
            </w:r>
          </w:p>
        </w:tc>
        <w:tc>
          <w:tcPr>
            <w:tcW w:w="938" w:type="pct"/>
            <w:tcBorders>
              <w:top w:val="single" w:color="auto" w:sz="8" w:space="0"/>
              <w:left w:val="single" w:color="auto" w:sz="8" w:space="0"/>
              <w:bottom w:val="single" w:color="auto" w:sz="8" w:space="0"/>
              <w:right w:val="single" w:color="auto" w:sz="8" w:space="0"/>
            </w:tcBorders>
            <w:vAlign w:val="center"/>
          </w:tcPr>
          <w:p w14:paraId="6F91504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四氯化碳</w:t>
            </w:r>
          </w:p>
        </w:tc>
        <w:tc>
          <w:tcPr>
            <w:tcW w:w="597" w:type="pct"/>
            <w:vMerge w:val="continue"/>
            <w:vAlign w:val="center"/>
          </w:tcPr>
          <w:p w14:paraId="34C18AA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7FF056C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23DAF5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0.0013L</w:t>
            </w:r>
          </w:p>
        </w:tc>
        <w:tc>
          <w:tcPr>
            <w:tcW w:w="546" w:type="pct"/>
            <w:tcBorders>
              <w:top w:val="single" w:color="auto" w:sz="8" w:space="0"/>
              <w:left w:val="single" w:color="auto" w:sz="8" w:space="0"/>
              <w:bottom w:val="single" w:color="auto" w:sz="8" w:space="0"/>
              <w:right w:val="nil"/>
            </w:tcBorders>
            <w:vAlign w:val="center"/>
          </w:tcPr>
          <w:p w14:paraId="537B71B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568" w:type="pct"/>
            <w:vAlign w:val="center"/>
          </w:tcPr>
          <w:p w14:paraId="41C58724">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3C0D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6B85A3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9</w:t>
            </w:r>
          </w:p>
        </w:tc>
        <w:tc>
          <w:tcPr>
            <w:tcW w:w="938" w:type="pct"/>
            <w:tcBorders>
              <w:top w:val="single" w:color="auto" w:sz="8" w:space="0"/>
              <w:left w:val="single" w:color="auto" w:sz="8" w:space="0"/>
              <w:bottom w:val="single" w:color="auto" w:sz="8" w:space="0"/>
              <w:right w:val="single" w:color="auto" w:sz="8" w:space="0"/>
            </w:tcBorders>
            <w:vAlign w:val="center"/>
          </w:tcPr>
          <w:p w14:paraId="796933A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氯仿</w:t>
            </w:r>
          </w:p>
        </w:tc>
        <w:tc>
          <w:tcPr>
            <w:tcW w:w="597" w:type="pct"/>
            <w:vMerge w:val="continue"/>
            <w:vAlign w:val="center"/>
          </w:tcPr>
          <w:p w14:paraId="53EFD22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325D200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39A2261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0.0011L</w:t>
            </w:r>
          </w:p>
        </w:tc>
        <w:tc>
          <w:tcPr>
            <w:tcW w:w="546" w:type="pct"/>
            <w:tcBorders>
              <w:top w:val="single" w:color="auto" w:sz="8" w:space="0"/>
              <w:left w:val="single" w:color="auto" w:sz="8" w:space="0"/>
              <w:bottom w:val="single" w:color="auto" w:sz="8" w:space="0"/>
              <w:right w:val="nil"/>
            </w:tcBorders>
            <w:vAlign w:val="center"/>
          </w:tcPr>
          <w:p w14:paraId="1C9C757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0.9</w:t>
            </w:r>
          </w:p>
        </w:tc>
        <w:tc>
          <w:tcPr>
            <w:tcW w:w="568" w:type="pct"/>
            <w:vAlign w:val="center"/>
          </w:tcPr>
          <w:p w14:paraId="3952E451">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BEB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9FC658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10</w:t>
            </w:r>
          </w:p>
        </w:tc>
        <w:tc>
          <w:tcPr>
            <w:tcW w:w="938" w:type="pct"/>
            <w:tcBorders>
              <w:top w:val="single" w:color="auto" w:sz="8" w:space="0"/>
              <w:left w:val="single" w:color="auto" w:sz="8" w:space="0"/>
              <w:bottom w:val="single" w:color="auto" w:sz="8" w:space="0"/>
              <w:right w:val="single" w:color="auto" w:sz="8" w:space="0"/>
            </w:tcBorders>
            <w:vAlign w:val="center"/>
          </w:tcPr>
          <w:p w14:paraId="62D07EF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氯甲烷</w:t>
            </w:r>
          </w:p>
        </w:tc>
        <w:tc>
          <w:tcPr>
            <w:tcW w:w="597" w:type="pct"/>
            <w:vMerge w:val="continue"/>
            <w:vAlign w:val="center"/>
          </w:tcPr>
          <w:p w14:paraId="73A3416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59115320">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8AEE7B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0.0010L</w:t>
            </w:r>
          </w:p>
        </w:tc>
        <w:tc>
          <w:tcPr>
            <w:tcW w:w="546" w:type="pct"/>
            <w:tcBorders>
              <w:top w:val="single" w:color="auto" w:sz="8" w:space="0"/>
              <w:left w:val="single" w:color="auto" w:sz="8" w:space="0"/>
              <w:bottom w:val="single" w:color="auto" w:sz="8" w:space="0"/>
              <w:right w:val="nil"/>
            </w:tcBorders>
            <w:vAlign w:val="center"/>
          </w:tcPr>
          <w:p w14:paraId="38FD13D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37</w:t>
            </w:r>
          </w:p>
        </w:tc>
        <w:tc>
          <w:tcPr>
            <w:tcW w:w="568" w:type="pct"/>
            <w:vAlign w:val="center"/>
          </w:tcPr>
          <w:p w14:paraId="5FEE818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CEC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6A5F572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w:t>
            </w:r>
          </w:p>
        </w:tc>
        <w:tc>
          <w:tcPr>
            <w:tcW w:w="938" w:type="pct"/>
            <w:tcBorders>
              <w:top w:val="single" w:color="auto" w:sz="8" w:space="0"/>
              <w:left w:val="single" w:color="auto" w:sz="8" w:space="0"/>
              <w:bottom w:val="single" w:color="auto" w:sz="8" w:space="0"/>
              <w:right w:val="single" w:color="auto" w:sz="8" w:space="0"/>
            </w:tcBorders>
            <w:vAlign w:val="center"/>
          </w:tcPr>
          <w:p w14:paraId="669FC51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1,1-二氯乙烷</w:t>
            </w:r>
          </w:p>
        </w:tc>
        <w:tc>
          <w:tcPr>
            <w:tcW w:w="597" w:type="pct"/>
            <w:vMerge w:val="continue"/>
            <w:vAlign w:val="center"/>
          </w:tcPr>
          <w:p w14:paraId="1A59E817">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06298C2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2F381A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52C28FD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9</w:t>
            </w:r>
          </w:p>
        </w:tc>
        <w:tc>
          <w:tcPr>
            <w:tcW w:w="568" w:type="pct"/>
            <w:vAlign w:val="center"/>
          </w:tcPr>
          <w:p w14:paraId="0D14AAE3">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29C2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75F609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w:t>
            </w:r>
          </w:p>
        </w:tc>
        <w:tc>
          <w:tcPr>
            <w:tcW w:w="938" w:type="pct"/>
            <w:tcBorders>
              <w:top w:val="single" w:color="auto" w:sz="8" w:space="0"/>
              <w:left w:val="single" w:color="auto" w:sz="8" w:space="0"/>
              <w:bottom w:val="single" w:color="auto" w:sz="8" w:space="0"/>
              <w:right w:val="single" w:color="auto" w:sz="8" w:space="0"/>
            </w:tcBorders>
            <w:vAlign w:val="center"/>
          </w:tcPr>
          <w:p w14:paraId="3109CD3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1,2-二氯乙烷</w:t>
            </w:r>
          </w:p>
        </w:tc>
        <w:tc>
          <w:tcPr>
            <w:tcW w:w="597" w:type="pct"/>
            <w:vMerge w:val="continue"/>
            <w:vAlign w:val="center"/>
          </w:tcPr>
          <w:p w14:paraId="60116AB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1738359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26BC6E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0.0013L</w:t>
            </w:r>
          </w:p>
        </w:tc>
        <w:tc>
          <w:tcPr>
            <w:tcW w:w="546" w:type="pct"/>
            <w:tcBorders>
              <w:top w:val="single" w:color="auto" w:sz="8" w:space="0"/>
              <w:left w:val="single" w:color="auto" w:sz="8" w:space="0"/>
              <w:bottom w:val="single" w:color="auto" w:sz="8" w:space="0"/>
              <w:right w:val="nil"/>
            </w:tcBorders>
            <w:vAlign w:val="center"/>
          </w:tcPr>
          <w:p w14:paraId="5BBA73D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568" w:type="pct"/>
            <w:vAlign w:val="center"/>
          </w:tcPr>
          <w:p w14:paraId="1AFAFCD6">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D96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341AE8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13</w:t>
            </w:r>
          </w:p>
        </w:tc>
        <w:tc>
          <w:tcPr>
            <w:tcW w:w="938" w:type="pct"/>
            <w:tcBorders>
              <w:top w:val="single" w:color="auto" w:sz="8" w:space="0"/>
              <w:left w:val="single" w:color="auto" w:sz="8" w:space="0"/>
              <w:bottom w:val="single" w:color="auto" w:sz="8" w:space="0"/>
              <w:right w:val="single" w:color="auto" w:sz="8" w:space="0"/>
            </w:tcBorders>
            <w:vAlign w:val="center"/>
          </w:tcPr>
          <w:p w14:paraId="29D0997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1,1-二氯乙烯</w:t>
            </w:r>
          </w:p>
        </w:tc>
        <w:tc>
          <w:tcPr>
            <w:tcW w:w="597" w:type="pct"/>
            <w:vMerge w:val="continue"/>
            <w:vAlign w:val="center"/>
          </w:tcPr>
          <w:p w14:paraId="429BC404">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6CBBB53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82461D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0.0010L</w:t>
            </w:r>
          </w:p>
        </w:tc>
        <w:tc>
          <w:tcPr>
            <w:tcW w:w="546" w:type="pct"/>
            <w:tcBorders>
              <w:top w:val="single" w:color="auto" w:sz="8" w:space="0"/>
              <w:left w:val="single" w:color="auto" w:sz="8" w:space="0"/>
              <w:bottom w:val="single" w:color="auto" w:sz="8" w:space="0"/>
              <w:right w:val="nil"/>
            </w:tcBorders>
            <w:vAlign w:val="center"/>
          </w:tcPr>
          <w:p w14:paraId="26CB356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66</w:t>
            </w:r>
          </w:p>
        </w:tc>
        <w:tc>
          <w:tcPr>
            <w:tcW w:w="568" w:type="pct"/>
            <w:vAlign w:val="center"/>
          </w:tcPr>
          <w:p w14:paraId="5CCD5DDA">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51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1E7DEFE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14</w:t>
            </w:r>
          </w:p>
        </w:tc>
        <w:tc>
          <w:tcPr>
            <w:tcW w:w="938" w:type="pct"/>
            <w:tcBorders>
              <w:top w:val="single" w:color="auto" w:sz="8" w:space="0"/>
              <w:left w:val="single" w:color="auto" w:sz="8" w:space="0"/>
              <w:bottom w:val="single" w:color="auto" w:sz="8" w:space="0"/>
              <w:right w:val="single" w:color="auto" w:sz="8" w:space="0"/>
            </w:tcBorders>
            <w:vAlign w:val="center"/>
          </w:tcPr>
          <w:p w14:paraId="606A3B8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顺-1,2-二氯乙烯</w:t>
            </w:r>
          </w:p>
        </w:tc>
        <w:tc>
          <w:tcPr>
            <w:tcW w:w="597" w:type="pct"/>
            <w:vMerge w:val="continue"/>
            <w:vAlign w:val="center"/>
          </w:tcPr>
          <w:p w14:paraId="6679869F">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5F2E7BE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553DCE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0.0013L</w:t>
            </w:r>
          </w:p>
        </w:tc>
        <w:tc>
          <w:tcPr>
            <w:tcW w:w="546" w:type="pct"/>
            <w:tcBorders>
              <w:top w:val="single" w:color="auto" w:sz="8" w:space="0"/>
              <w:left w:val="single" w:color="auto" w:sz="8" w:space="0"/>
              <w:bottom w:val="single" w:color="auto" w:sz="8" w:space="0"/>
              <w:right w:val="nil"/>
            </w:tcBorders>
            <w:vAlign w:val="center"/>
          </w:tcPr>
          <w:p w14:paraId="4D4D71A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596</w:t>
            </w:r>
          </w:p>
        </w:tc>
        <w:tc>
          <w:tcPr>
            <w:tcW w:w="568" w:type="pct"/>
            <w:vAlign w:val="center"/>
          </w:tcPr>
          <w:p w14:paraId="2F0E5D00">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229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7627F4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938" w:type="pct"/>
            <w:tcBorders>
              <w:top w:val="single" w:color="auto" w:sz="8" w:space="0"/>
              <w:left w:val="single" w:color="auto" w:sz="8" w:space="0"/>
              <w:bottom w:val="single" w:color="auto" w:sz="8" w:space="0"/>
              <w:right w:val="single" w:color="auto" w:sz="8" w:space="0"/>
            </w:tcBorders>
            <w:vAlign w:val="center"/>
          </w:tcPr>
          <w:p w14:paraId="28B89CD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反-1,2-二氯乙烯</w:t>
            </w:r>
          </w:p>
        </w:tc>
        <w:tc>
          <w:tcPr>
            <w:tcW w:w="597" w:type="pct"/>
            <w:vMerge w:val="continue"/>
            <w:vAlign w:val="center"/>
          </w:tcPr>
          <w:p w14:paraId="4D6658E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6A6D332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A4FBFC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0.0014L</w:t>
            </w:r>
          </w:p>
        </w:tc>
        <w:tc>
          <w:tcPr>
            <w:tcW w:w="546" w:type="pct"/>
            <w:tcBorders>
              <w:top w:val="single" w:color="auto" w:sz="8" w:space="0"/>
              <w:left w:val="single" w:color="auto" w:sz="8" w:space="0"/>
              <w:bottom w:val="single" w:color="auto" w:sz="8" w:space="0"/>
              <w:right w:val="nil"/>
            </w:tcBorders>
            <w:vAlign w:val="center"/>
          </w:tcPr>
          <w:p w14:paraId="607CE4A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54</w:t>
            </w:r>
          </w:p>
        </w:tc>
        <w:tc>
          <w:tcPr>
            <w:tcW w:w="568" w:type="pct"/>
            <w:vAlign w:val="center"/>
          </w:tcPr>
          <w:p w14:paraId="325C865A">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1CC1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F71744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16</w:t>
            </w:r>
          </w:p>
        </w:tc>
        <w:tc>
          <w:tcPr>
            <w:tcW w:w="938" w:type="pct"/>
            <w:tcBorders>
              <w:top w:val="single" w:color="auto" w:sz="8" w:space="0"/>
              <w:left w:val="single" w:color="auto" w:sz="8" w:space="0"/>
              <w:bottom w:val="single" w:color="auto" w:sz="8" w:space="0"/>
              <w:right w:val="single" w:color="auto" w:sz="8" w:space="0"/>
            </w:tcBorders>
            <w:vAlign w:val="center"/>
          </w:tcPr>
          <w:p w14:paraId="2E87553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二氯甲烷</w:t>
            </w:r>
          </w:p>
        </w:tc>
        <w:tc>
          <w:tcPr>
            <w:tcW w:w="597" w:type="pct"/>
            <w:vMerge w:val="continue"/>
            <w:vAlign w:val="center"/>
          </w:tcPr>
          <w:p w14:paraId="18DDBF88">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0E098AF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F25E9C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0.0015L</w:t>
            </w:r>
          </w:p>
        </w:tc>
        <w:tc>
          <w:tcPr>
            <w:tcW w:w="546" w:type="pct"/>
            <w:tcBorders>
              <w:top w:val="single" w:color="auto" w:sz="8" w:space="0"/>
              <w:left w:val="single" w:color="auto" w:sz="8" w:space="0"/>
              <w:bottom w:val="single" w:color="auto" w:sz="8" w:space="0"/>
              <w:right w:val="nil"/>
            </w:tcBorders>
            <w:vAlign w:val="center"/>
          </w:tcPr>
          <w:p w14:paraId="0C87017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616</w:t>
            </w:r>
          </w:p>
        </w:tc>
        <w:tc>
          <w:tcPr>
            <w:tcW w:w="568" w:type="pct"/>
            <w:vAlign w:val="center"/>
          </w:tcPr>
          <w:p w14:paraId="324F06B9">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7E2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BA28E6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17</w:t>
            </w:r>
          </w:p>
        </w:tc>
        <w:tc>
          <w:tcPr>
            <w:tcW w:w="938" w:type="pct"/>
            <w:tcBorders>
              <w:top w:val="single" w:color="auto" w:sz="8" w:space="0"/>
              <w:left w:val="single" w:color="auto" w:sz="8" w:space="0"/>
              <w:bottom w:val="single" w:color="auto" w:sz="8" w:space="0"/>
              <w:right w:val="single" w:color="auto" w:sz="8" w:space="0"/>
            </w:tcBorders>
            <w:vAlign w:val="center"/>
          </w:tcPr>
          <w:p w14:paraId="363CC4B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1,2-二氯丙烷</w:t>
            </w:r>
          </w:p>
        </w:tc>
        <w:tc>
          <w:tcPr>
            <w:tcW w:w="597" w:type="pct"/>
            <w:vMerge w:val="continue"/>
            <w:vAlign w:val="center"/>
          </w:tcPr>
          <w:p w14:paraId="5453005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0F40C002">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212BB4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0.0011L</w:t>
            </w:r>
          </w:p>
        </w:tc>
        <w:tc>
          <w:tcPr>
            <w:tcW w:w="546" w:type="pct"/>
            <w:tcBorders>
              <w:top w:val="single" w:color="auto" w:sz="8" w:space="0"/>
              <w:left w:val="single" w:color="auto" w:sz="8" w:space="0"/>
              <w:bottom w:val="single" w:color="auto" w:sz="8" w:space="0"/>
              <w:right w:val="nil"/>
            </w:tcBorders>
            <w:vAlign w:val="center"/>
          </w:tcPr>
          <w:p w14:paraId="63A6A51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568" w:type="pct"/>
            <w:vAlign w:val="center"/>
          </w:tcPr>
          <w:p w14:paraId="0B188CEC">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3966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68009EC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18</w:t>
            </w:r>
          </w:p>
        </w:tc>
        <w:tc>
          <w:tcPr>
            <w:tcW w:w="938" w:type="pct"/>
            <w:tcBorders>
              <w:top w:val="single" w:color="auto" w:sz="8" w:space="0"/>
              <w:left w:val="single" w:color="auto" w:sz="8" w:space="0"/>
              <w:bottom w:val="single" w:color="auto" w:sz="8" w:space="0"/>
              <w:right w:val="single" w:color="auto" w:sz="8" w:space="0"/>
            </w:tcBorders>
            <w:vAlign w:val="center"/>
          </w:tcPr>
          <w:p w14:paraId="7AD8D55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1,1,1,2-四氯乙烷</w:t>
            </w:r>
          </w:p>
        </w:tc>
        <w:tc>
          <w:tcPr>
            <w:tcW w:w="597" w:type="pct"/>
            <w:vMerge w:val="continue"/>
            <w:vAlign w:val="center"/>
          </w:tcPr>
          <w:p w14:paraId="6B7C832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22BF68D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2425266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403FA07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10</w:t>
            </w:r>
          </w:p>
        </w:tc>
        <w:tc>
          <w:tcPr>
            <w:tcW w:w="568" w:type="pct"/>
            <w:vAlign w:val="center"/>
          </w:tcPr>
          <w:p w14:paraId="63FB43DA">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70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3BCBE32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19</w:t>
            </w:r>
          </w:p>
        </w:tc>
        <w:tc>
          <w:tcPr>
            <w:tcW w:w="938" w:type="pct"/>
            <w:tcBorders>
              <w:top w:val="single" w:color="auto" w:sz="8" w:space="0"/>
              <w:left w:val="single" w:color="auto" w:sz="8" w:space="0"/>
              <w:bottom w:val="single" w:color="auto" w:sz="8" w:space="0"/>
              <w:right w:val="single" w:color="auto" w:sz="8" w:space="0"/>
            </w:tcBorders>
            <w:vAlign w:val="center"/>
          </w:tcPr>
          <w:p w14:paraId="17D63E3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1,1,2,2-四氯乙烷</w:t>
            </w:r>
          </w:p>
        </w:tc>
        <w:tc>
          <w:tcPr>
            <w:tcW w:w="597" w:type="pct"/>
            <w:vMerge w:val="continue"/>
            <w:vAlign w:val="center"/>
          </w:tcPr>
          <w:p w14:paraId="111D7ECD">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3396488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2768420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65B9ACC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6.8</w:t>
            </w:r>
          </w:p>
        </w:tc>
        <w:tc>
          <w:tcPr>
            <w:tcW w:w="568" w:type="pct"/>
            <w:vAlign w:val="center"/>
          </w:tcPr>
          <w:p w14:paraId="1F255A6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7F2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327D51C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w:t>
            </w:r>
          </w:p>
        </w:tc>
        <w:tc>
          <w:tcPr>
            <w:tcW w:w="938" w:type="pct"/>
            <w:tcBorders>
              <w:top w:val="single" w:color="auto" w:sz="8" w:space="0"/>
              <w:left w:val="single" w:color="auto" w:sz="8" w:space="0"/>
              <w:bottom w:val="single" w:color="auto" w:sz="8" w:space="0"/>
              <w:right w:val="single" w:color="auto" w:sz="8" w:space="0"/>
            </w:tcBorders>
            <w:vAlign w:val="center"/>
          </w:tcPr>
          <w:p w14:paraId="0CB8478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四氯乙烯</w:t>
            </w:r>
          </w:p>
        </w:tc>
        <w:tc>
          <w:tcPr>
            <w:tcW w:w="597" w:type="pct"/>
            <w:vMerge w:val="continue"/>
            <w:vAlign w:val="center"/>
          </w:tcPr>
          <w:p w14:paraId="149D751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77A0D148">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F89BBA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0.0014L</w:t>
            </w:r>
          </w:p>
        </w:tc>
        <w:tc>
          <w:tcPr>
            <w:tcW w:w="546" w:type="pct"/>
            <w:tcBorders>
              <w:top w:val="single" w:color="auto" w:sz="8" w:space="0"/>
              <w:left w:val="single" w:color="auto" w:sz="8" w:space="0"/>
              <w:bottom w:val="single" w:color="auto" w:sz="8" w:space="0"/>
              <w:right w:val="nil"/>
            </w:tcBorders>
            <w:vAlign w:val="center"/>
          </w:tcPr>
          <w:p w14:paraId="11EFEEB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53</w:t>
            </w:r>
          </w:p>
        </w:tc>
        <w:tc>
          <w:tcPr>
            <w:tcW w:w="568" w:type="pct"/>
            <w:vAlign w:val="center"/>
          </w:tcPr>
          <w:p w14:paraId="3CA603F4">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394A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3A1F62B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21</w:t>
            </w:r>
          </w:p>
        </w:tc>
        <w:tc>
          <w:tcPr>
            <w:tcW w:w="938" w:type="pct"/>
            <w:tcBorders>
              <w:top w:val="single" w:color="auto" w:sz="8" w:space="0"/>
              <w:left w:val="single" w:color="auto" w:sz="8" w:space="0"/>
              <w:bottom w:val="single" w:color="auto" w:sz="8" w:space="0"/>
              <w:right w:val="single" w:color="auto" w:sz="8" w:space="0"/>
            </w:tcBorders>
            <w:vAlign w:val="center"/>
          </w:tcPr>
          <w:p w14:paraId="611B7B0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1,1,1-三氯乙烷</w:t>
            </w:r>
          </w:p>
        </w:tc>
        <w:tc>
          <w:tcPr>
            <w:tcW w:w="597" w:type="pct"/>
            <w:vMerge w:val="continue"/>
            <w:vAlign w:val="center"/>
          </w:tcPr>
          <w:p w14:paraId="764C506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68B55F7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11CA01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0.0013L</w:t>
            </w:r>
          </w:p>
        </w:tc>
        <w:tc>
          <w:tcPr>
            <w:tcW w:w="546" w:type="pct"/>
            <w:tcBorders>
              <w:top w:val="single" w:color="auto" w:sz="8" w:space="0"/>
              <w:left w:val="single" w:color="auto" w:sz="8" w:space="0"/>
              <w:bottom w:val="single" w:color="auto" w:sz="8" w:space="0"/>
              <w:right w:val="nil"/>
            </w:tcBorders>
            <w:vAlign w:val="center"/>
          </w:tcPr>
          <w:p w14:paraId="1235705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840</w:t>
            </w:r>
          </w:p>
        </w:tc>
        <w:tc>
          <w:tcPr>
            <w:tcW w:w="568" w:type="pct"/>
            <w:vAlign w:val="center"/>
          </w:tcPr>
          <w:p w14:paraId="27245E81">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102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6E116F1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22</w:t>
            </w:r>
          </w:p>
        </w:tc>
        <w:tc>
          <w:tcPr>
            <w:tcW w:w="938" w:type="pct"/>
            <w:tcBorders>
              <w:top w:val="single" w:color="auto" w:sz="8" w:space="0"/>
              <w:left w:val="single" w:color="auto" w:sz="8" w:space="0"/>
              <w:bottom w:val="single" w:color="auto" w:sz="8" w:space="0"/>
              <w:right w:val="single" w:color="auto" w:sz="8" w:space="0"/>
            </w:tcBorders>
            <w:vAlign w:val="center"/>
          </w:tcPr>
          <w:p w14:paraId="2DDF325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1,1,2-三氯乙烷</w:t>
            </w:r>
          </w:p>
        </w:tc>
        <w:tc>
          <w:tcPr>
            <w:tcW w:w="597" w:type="pct"/>
            <w:vMerge w:val="continue"/>
            <w:vAlign w:val="center"/>
          </w:tcPr>
          <w:p w14:paraId="669A6EE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D9D31BD">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228A04B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23E4A1C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568" w:type="pct"/>
            <w:vAlign w:val="center"/>
          </w:tcPr>
          <w:p w14:paraId="151EFDFA">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E71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899B18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23</w:t>
            </w:r>
          </w:p>
        </w:tc>
        <w:tc>
          <w:tcPr>
            <w:tcW w:w="938" w:type="pct"/>
            <w:tcBorders>
              <w:top w:val="single" w:color="auto" w:sz="8" w:space="0"/>
              <w:left w:val="single" w:color="auto" w:sz="8" w:space="0"/>
              <w:bottom w:val="single" w:color="auto" w:sz="8" w:space="0"/>
              <w:right w:val="single" w:color="auto" w:sz="8" w:space="0"/>
            </w:tcBorders>
            <w:vAlign w:val="center"/>
          </w:tcPr>
          <w:p w14:paraId="2B3D247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三氯乙烯</w:t>
            </w:r>
          </w:p>
        </w:tc>
        <w:tc>
          <w:tcPr>
            <w:tcW w:w="597" w:type="pct"/>
            <w:vMerge w:val="continue"/>
            <w:vAlign w:val="center"/>
          </w:tcPr>
          <w:p w14:paraId="63ACFCE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7E6F775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543539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52EAF79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568" w:type="pct"/>
            <w:vAlign w:val="center"/>
          </w:tcPr>
          <w:p w14:paraId="1B28272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814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246A7C7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24</w:t>
            </w:r>
          </w:p>
        </w:tc>
        <w:tc>
          <w:tcPr>
            <w:tcW w:w="938" w:type="pct"/>
            <w:tcBorders>
              <w:top w:val="single" w:color="auto" w:sz="8" w:space="0"/>
              <w:left w:val="single" w:color="auto" w:sz="8" w:space="0"/>
              <w:bottom w:val="single" w:color="auto" w:sz="8" w:space="0"/>
              <w:right w:val="single" w:color="auto" w:sz="8" w:space="0"/>
            </w:tcBorders>
            <w:vAlign w:val="center"/>
          </w:tcPr>
          <w:p w14:paraId="24350C0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1,2,3-三氯丙烷</w:t>
            </w:r>
          </w:p>
        </w:tc>
        <w:tc>
          <w:tcPr>
            <w:tcW w:w="597" w:type="pct"/>
            <w:vMerge w:val="continue"/>
            <w:vAlign w:val="center"/>
          </w:tcPr>
          <w:p w14:paraId="221BA15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1908776C">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4DA194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6E09086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0.5</w:t>
            </w:r>
          </w:p>
        </w:tc>
        <w:tc>
          <w:tcPr>
            <w:tcW w:w="568" w:type="pct"/>
            <w:vAlign w:val="center"/>
          </w:tcPr>
          <w:p w14:paraId="6B94D74C">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3E2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152715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25</w:t>
            </w:r>
          </w:p>
        </w:tc>
        <w:tc>
          <w:tcPr>
            <w:tcW w:w="938" w:type="pct"/>
            <w:tcBorders>
              <w:top w:val="single" w:color="auto" w:sz="8" w:space="0"/>
              <w:left w:val="single" w:color="auto" w:sz="8" w:space="0"/>
              <w:bottom w:val="single" w:color="auto" w:sz="8" w:space="0"/>
              <w:right w:val="single" w:color="auto" w:sz="8" w:space="0"/>
            </w:tcBorders>
            <w:vAlign w:val="center"/>
          </w:tcPr>
          <w:p w14:paraId="62D34CF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氯乙烯</w:t>
            </w:r>
          </w:p>
        </w:tc>
        <w:tc>
          <w:tcPr>
            <w:tcW w:w="597" w:type="pct"/>
            <w:vMerge w:val="continue"/>
            <w:vAlign w:val="center"/>
          </w:tcPr>
          <w:p w14:paraId="5F3D175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5B6575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F41E83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0.0010L</w:t>
            </w:r>
          </w:p>
        </w:tc>
        <w:tc>
          <w:tcPr>
            <w:tcW w:w="546" w:type="pct"/>
            <w:tcBorders>
              <w:top w:val="single" w:color="auto" w:sz="8" w:space="0"/>
              <w:left w:val="single" w:color="auto" w:sz="8" w:space="0"/>
              <w:bottom w:val="single" w:color="auto" w:sz="8" w:space="0"/>
              <w:right w:val="nil"/>
            </w:tcBorders>
            <w:vAlign w:val="center"/>
          </w:tcPr>
          <w:p w14:paraId="1E77767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0.43</w:t>
            </w:r>
          </w:p>
        </w:tc>
        <w:tc>
          <w:tcPr>
            <w:tcW w:w="568" w:type="pct"/>
            <w:vAlign w:val="center"/>
          </w:tcPr>
          <w:p w14:paraId="68090C25">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F8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019D209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26</w:t>
            </w:r>
          </w:p>
        </w:tc>
        <w:tc>
          <w:tcPr>
            <w:tcW w:w="938" w:type="pct"/>
            <w:tcBorders>
              <w:top w:val="single" w:color="auto" w:sz="8" w:space="0"/>
              <w:left w:val="single" w:color="auto" w:sz="8" w:space="0"/>
              <w:bottom w:val="single" w:color="auto" w:sz="8" w:space="0"/>
              <w:right w:val="single" w:color="auto" w:sz="8" w:space="0"/>
            </w:tcBorders>
            <w:vAlign w:val="center"/>
          </w:tcPr>
          <w:p w14:paraId="03F764D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w:t>
            </w:r>
          </w:p>
        </w:tc>
        <w:tc>
          <w:tcPr>
            <w:tcW w:w="597" w:type="pct"/>
            <w:vMerge w:val="continue"/>
            <w:vAlign w:val="center"/>
          </w:tcPr>
          <w:p w14:paraId="44E48A3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0E97137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54D3832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0.0019L</w:t>
            </w:r>
          </w:p>
        </w:tc>
        <w:tc>
          <w:tcPr>
            <w:tcW w:w="546" w:type="pct"/>
            <w:tcBorders>
              <w:top w:val="single" w:color="auto" w:sz="8" w:space="0"/>
              <w:left w:val="single" w:color="auto" w:sz="8" w:space="0"/>
              <w:bottom w:val="single" w:color="auto" w:sz="8" w:space="0"/>
              <w:right w:val="nil"/>
            </w:tcBorders>
            <w:vAlign w:val="center"/>
          </w:tcPr>
          <w:p w14:paraId="515AE90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568" w:type="pct"/>
            <w:vAlign w:val="center"/>
          </w:tcPr>
          <w:p w14:paraId="27AA6911">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01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01C7E4E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27</w:t>
            </w:r>
          </w:p>
        </w:tc>
        <w:tc>
          <w:tcPr>
            <w:tcW w:w="938" w:type="pct"/>
            <w:tcBorders>
              <w:top w:val="single" w:color="auto" w:sz="8" w:space="0"/>
              <w:left w:val="single" w:color="auto" w:sz="8" w:space="0"/>
              <w:bottom w:val="single" w:color="auto" w:sz="8" w:space="0"/>
              <w:right w:val="single" w:color="auto" w:sz="8" w:space="0"/>
            </w:tcBorders>
            <w:vAlign w:val="center"/>
          </w:tcPr>
          <w:p w14:paraId="6CA507A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氯苯</w:t>
            </w:r>
          </w:p>
        </w:tc>
        <w:tc>
          <w:tcPr>
            <w:tcW w:w="597" w:type="pct"/>
            <w:vMerge w:val="continue"/>
            <w:vAlign w:val="center"/>
          </w:tcPr>
          <w:p w14:paraId="122338B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6C435A9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EF6F65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1356784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270</w:t>
            </w:r>
          </w:p>
        </w:tc>
        <w:tc>
          <w:tcPr>
            <w:tcW w:w="568" w:type="pct"/>
            <w:vAlign w:val="center"/>
          </w:tcPr>
          <w:p w14:paraId="774FEBB7">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0830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9B885F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938" w:type="pct"/>
            <w:tcBorders>
              <w:top w:val="single" w:color="auto" w:sz="8" w:space="0"/>
              <w:left w:val="single" w:color="auto" w:sz="8" w:space="0"/>
              <w:bottom w:val="single" w:color="auto" w:sz="8" w:space="0"/>
              <w:right w:val="single" w:color="auto" w:sz="8" w:space="0"/>
            </w:tcBorders>
            <w:vAlign w:val="center"/>
          </w:tcPr>
          <w:p w14:paraId="36F7514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1,2-二氯苯</w:t>
            </w:r>
          </w:p>
        </w:tc>
        <w:tc>
          <w:tcPr>
            <w:tcW w:w="597" w:type="pct"/>
            <w:vMerge w:val="continue"/>
            <w:vAlign w:val="center"/>
          </w:tcPr>
          <w:p w14:paraId="48F706C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7CB301F">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5901E17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0.0015L</w:t>
            </w:r>
          </w:p>
        </w:tc>
        <w:tc>
          <w:tcPr>
            <w:tcW w:w="546" w:type="pct"/>
            <w:tcBorders>
              <w:top w:val="single" w:color="auto" w:sz="8" w:space="0"/>
              <w:left w:val="single" w:color="auto" w:sz="8" w:space="0"/>
              <w:bottom w:val="single" w:color="auto" w:sz="8" w:space="0"/>
              <w:right w:val="nil"/>
            </w:tcBorders>
            <w:vAlign w:val="center"/>
          </w:tcPr>
          <w:p w14:paraId="383361A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560</w:t>
            </w:r>
          </w:p>
        </w:tc>
        <w:tc>
          <w:tcPr>
            <w:tcW w:w="568" w:type="pct"/>
            <w:vAlign w:val="center"/>
          </w:tcPr>
          <w:p w14:paraId="26363230">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91E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3C02DBC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29</w:t>
            </w:r>
          </w:p>
        </w:tc>
        <w:tc>
          <w:tcPr>
            <w:tcW w:w="938" w:type="pct"/>
            <w:tcBorders>
              <w:top w:val="single" w:color="auto" w:sz="8" w:space="0"/>
              <w:left w:val="single" w:color="auto" w:sz="8" w:space="0"/>
              <w:bottom w:val="single" w:color="auto" w:sz="8" w:space="0"/>
              <w:right w:val="single" w:color="auto" w:sz="8" w:space="0"/>
            </w:tcBorders>
            <w:vAlign w:val="center"/>
          </w:tcPr>
          <w:p w14:paraId="54B5D71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1,4-二氯苯</w:t>
            </w:r>
          </w:p>
        </w:tc>
        <w:tc>
          <w:tcPr>
            <w:tcW w:w="597" w:type="pct"/>
            <w:vMerge w:val="continue"/>
            <w:vAlign w:val="center"/>
          </w:tcPr>
          <w:p w14:paraId="5F09E5AC">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19BCE08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DFEB49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0.0015L</w:t>
            </w:r>
          </w:p>
        </w:tc>
        <w:tc>
          <w:tcPr>
            <w:tcW w:w="546" w:type="pct"/>
            <w:tcBorders>
              <w:top w:val="single" w:color="auto" w:sz="8" w:space="0"/>
              <w:left w:val="single" w:color="auto" w:sz="8" w:space="0"/>
              <w:bottom w:val="single" w:color="auto" w:sz="8" w:space="0"/>
              <w:right w:val="nil"/>
            </w:tcBorders>
            <w:vAlign w:val="center"/>
          </w:tcPr>
          <w:p w14:paraId="2F6225D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20</w:t>
            </w:r>
          </w:p>
        </w:tc>
        <w:tc>
          <w:tcPr>
            <w:tcW w:w="568" w:type="pct"/>
            <w:vAlign w:val="center"/>
          </w:tcPr>
          <w:p w14:paraId="6352C36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63D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1D63C0D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30</w:t>
            </w:r>
          </w:p>
        </w:tc>
        <w:tc>
          <w:tcPr>
            <w:tcW w:w="938" w:type="pct"/>
            <w:tcBorders>
              <w:top w:val="single" w:color="auto" w:sz="8" w:space="0"/>
              <w:left w:val="single" w:color="auto" w:sz="8" w:space="0"/>
              <w:bottom w:val="single" w:color="auto" w:sz="8" w:space="0"/>
              <w:right w:val="single" w:color="auto" w:sz="8" w:space="0"/>
            </w:tcBorders>
            <w:vAlign w:val="center"/>
          </w:tcPr>
          <w:p w14:paraId="16EA48C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乙苯</w:t>
            </w:r>
          </w:p>
        </w:tc>
        <w:tc>
          <w:tcPr>
            <w:tcW w:w="597" w:type="pct"/>
            <w:vMerge w:val="continue"/>
            <w:vAlign w:val="center"/>
          </w:tcPr>
          <w:p w14:paraId="34F6F57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0134147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60246E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60675A7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28</w:t>
            </w:r>
          </w:p>
        </w:tc>
        <w:tc>
          <w:tcPr>
            <w:tcW w:w="568" w:type="pct"/>
            <w:vAlign w:val="center"/>
          </w:tcPr>
          <w:p w14:paraId="7807971F">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1B41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0D1AAD9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31</w:t>
            </w:r>
          </w:p>
        </w:tc>
        <w:tc>
          <w:tcPr>
            <w:tcW w:w="938" w:type="pct"/>
            <w:tcBorders>
              <w:top w:val="single" w:color="auto" w:sz="8" w:space="0"/>
              <w:left w:val="single" w:color="auto" w:sz="8" w:space="0"/>
              <w:bottom w:val="single" w:color="auto" w:sz="8" w:space="0"/>
              <w:right w:val="single" w:color="auto" w:sz="8" w:space="0"/>
            </w:tcBorders>
            <w:vAlign w:val="center"/>
          </w:tcPr>
          <w:p w14:paraId="5381980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苯乙烯</w:t>
            </w:r>
          </w:p>
        </w:tc>
        <w:tc>
          <w:tcPr>
            <w:tcW w:w="597" w:type="pct"/>
            <w:vMerge w:val="continue"/>
            <w:vAlign w:val="center"/>
          </w:tcPr>
          <w:p w14:paraId="2DB1094C">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7BBE8584">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5715222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0.0011L</w:t>
            </w:r>
          </w:p>
        </w:tc>
        <w:tc>
          <w:tcPr>
            <w:tcW w:w="546" w:type="pct"/>
            <w:tcBorders>
              <w:top w:val="single" w:color="auto" w:sz="8" w:space="0"/>
              <w:left w:val="single" w:color="auto" w:sz="8" w:space="0"/>
              <w:bottom w:val="single" w:color="auto" w:sz="8" w:space="0"/>
              <w:right w:val="nil"/>
            </w:tcBorders>
            <w:vAlign w:val="center"/>
          </w:tcPr>
          <w:p w14:paraId="60CBD5C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1290</w:t>
            </w:r>
          </w:p>
        </w:tc>
        <w:tc>
          <w:tcPr>
            <w:tcW w:w="568" w:type="pct"/>
            <w:vAlign w:val="center"/>
          </w:tcPr>
          <w:p w14:paraId="06D45809">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1B2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D5E34D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32</w:t>
            </w:r>
          </w:p>
        </w:tc>
        <w:tc>
          <w:tcPr>
            <w:tcW w:w="938" w:type="pct"/>
            <w:tcBorders>
              <w:top w:val="single" w:color="auto" w:sz="8" w:space="0"/>
              <w:left w:val="single" w:color="auto" w:sz="8" w:space="0"/>
              <w:bottom w:val="single" w:color="auto" w:sz="8" w:space="0"/>
              <w:right w:val="single" w:color="auto" w:sz="8" w:space="0"/>
            </w:tcBorders>
            <w:vAlign w:val="center"/>
          </w:tcPr>
          <w:p w14:paraId="321DD32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甲苯</w:t>
            </w:r>
          </w:p>
        </w:tc>
        <w:tc>
          <w:tcPr>
            <w:tcW w:w="597" w:type="pct"/>
            <w:vMerge w:val="continue"/>
            <w:vAlign w:val="center"/>
          </w:tcPr>
          <w:p w14:paraId="3D3B5298">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27DC649E">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D0CBB3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0.0013L</w:t>
            </w:r>
          </w:p>
        </w:tc>
        <w:tc>
          <w:tcPr>
            <w:tcW w:w="546" w:type="pct"/>
            <w:tcBorders>
              <w:top w:val="single" w:color="auto" w:sz="8" w:space="0"/>
              <w:left w:val="single" w:color="auto" w:sz="8" w:space="0"/>
              <w:bottom w:val="single" w:color="auto" w:sz="8" w:space="0"/>
              <w:right w:val="nil"/>
            </w:tcBorders>
            <w:vAlign w:val="center"/>
          </w:tcPr>
          <w:p w14:paraId="7C781C0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1200</w:t>
            </w:r>
          </w:p>
        </w:tc>
        <w:tc>
          <w:tcPr>
            <w:tcW w:w="568" w:type="pct"/>
            <w:vAlign w:val="center"/>
          </w:tcPr>
          <w:p w14:paraId="26D91975">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48A4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63E75BA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33</w:t>
            </w:r>
          </w:p>
        </w:tc>
        <w:tc>
          <w:tcPr>
            <w:tcW w:w="938" w:type="pct"/>
            <w:tcBorders>
              <w:top w:val="single" w:color="auto" w:sz="8" w:space="0"/>
              <w:left w:val="single" w:color="auto" w:sz="8" w:space="0"/>
              <w:bottom w:val="single" w:color="auto" w:sz="8" w:space="0"/>
              <w:right w:val="single" w:color="auto" w:sz="8" w:space="0"/>
            </w:tcBorders>
            <w:vAlign w:val="center"/>
          </w:tcPr>
          <w:p w14:paraId="3DB4F35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间二甲苯+对二甲苯</w:t>
            </w:r>
          </w:p>
        </w:tc>
        <w:tc>
          <w:tcPr>
            <w:tcW w:w="597" w:type="pct"/>
            <w:vMerge w:val="continue"/>
            <w:vAlign w:val="center"/>
          </w:tcPr>
          <w:p w14:paraId="61E8DF6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3DCF10C4">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BC2F85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11BDB98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570</w:t>
            </w:r>
          </w:p>
        </w:tc>
        <w:tc>
          <w:tcPr>
            <w:tcW w:w="568" w:type="pct"/>
            <w:vAlign w:val="center"/>
          </w:tcPr>
          <w:p w14:paraId="368287E5">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026A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BF6826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34</w:t>
            </w:r>
          </w:p>
        </w:tc>
        <w:tc>
          <w:tcPr>
            <w:tcW w:w="938" w:type="pct"/>
            <w:tcBorders>
              <w:top w:val="single" w:color="auto" w:sz="8" w:space="0"/>
              <w:left w:val="single" w:color="auto" w:sz="8" w:space="0"/>
              <w:bottom w:val="single" w:color="auto" w:sz="8" w:space="0"/>
              <w:right w:val="single" w:color="auto" w:sz="8" w:space="0"/>
            </w:tcBorders>
            <w:vAlign w:val="center"/>
          </w:tcPr>
          <w:p w14:paraId="1AF5200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邻二甲苯</w:t>
            </w:r>
          </w:p>
        </w:tc>
        <w:tc>
          <w:tcPr>
            <w:tcW w:w="597" w:type="pct"/>
            <w:vMerge w:val="continue"/>
            <w:vAlign w:val="center"/>
          </w:tcPr>
          <w:p w14:paraId="48DB77E0">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2692AE7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43B8F6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0.0012L</w:t>
            </w:r>
          </w:p>
        </w:tc>
        <w:tc>
          <w:tcPr>
            <w:tcW w:w="546" w:type="pct"/>
            <w:tcBorders>
              <w:top w:val="single" w:color="auto" w:sz="8" w:space="0"/>
              <w:left w:val="single" w:color="auto" w:sz="8" w:space="0"/>
              <w:bottom w:val="single" w:color="auto" w:sz="8" w:space="0"/>
              <w:right w:val="nil"/>
            </w:tcBorders>
            <w:vAlign w:val="center"/>
          </w:tcPr>
          <w:p w14:paraId="5BFA290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640</w:t>
            </w:r>
          </w:p>
        </w:tc>
        <w:tc>
          <w:tcPr>
            <w:tcW w:w="568" w:type="pct"/>
            <w:vAlign w:val="center"/>
          </w:tcPr>
          <w:p w14:paraId="2704E8FB">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3B4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182F9A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35</w:t>
            </w:r>
          </w:p>
        </w:tc>
        <w:tc>
          <w:tcPr>
            <w:tcW w:w="938" w:type="pct"/>
            <w:tcBorders>
              <w:top w:val="single" w:color="auto" w:sz="8" w:space="0"/>
              <w:left w:val="single" w:color="auto" w:sz="8" w:space="0"/>
              <w:bottom w:val="single" w:color="auto" w:sz="8" w:space="0"/>
              <w:right w:val="single" w:color="auto" w:sz="8" w:space="0"/>
            </w:tcBorders>
            <w:vAlign w:val="center"/>
          </w:tcPr>
          <w:p w14:paraId="28AF849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硝基苯</w:t>
            </w:r>
          </w:p>
        </w:tc>
        <w:tc>
          <w:tcPr>
            <w:tcW w:w="597" w:type="pct"/>
            <w:vMerge w:val="continue"/>
            <w:vAlign w:val="center"/>
          </w:tcPr>
          <w:p w14:paraId="707F2D7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59FFEB12">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49E9FE4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0.09L</w:t>
            </w:r>
          </w:p>
        </w:tc>
        <w:tc>
          <w:tcPr>
            <w:tcW w:w="546" w:type="pct"/>
            <w:tcBorders>
              <w:top w:val="single" w:color="auto" w:sz="8" w:space="0"/>
              <w:left w:val="single" w:color="auto" w:sz="8" w:space="0"/>
              <w:bottom w:val="single" w:color="auto" w:sz="8" w:space="0"/>
              <w:right w:val="nil"/>
            </w:tcBorders>
            <w:vAlign w:val="center"/>
          </w:tcPr>
          <w:p w14:paraId="30CC195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76</w:t>
            </w:r>
          </w:p>
        </w:tc>
        <w:tc>
          <w:tcPr>
            <w:tcW w:w="568" w:type="pct"/>
            <w:vAlign w:val="center"/>
          </w:tcPr>
          <w:p w14:paraId="20F4357C">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2C3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50F580E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36</w:t>
            </w:r>
          </w:p>
        </w:tc>
        <w:tc>
          <w:tcPr>
            <w:tcW w:w="938" w:type="pct"/>
            <w:tcBorders>
              <w:top w:val="single" w:color="auto" w:sz="8" w:space="0"/>
              <w:left w:val="single" w:color="auto" w:sz="8" w:space="0"/>
              <w:bottom w:val="single" w:color="auto" w:sz="8" w:space="0"/>
              <w:right w:val="single" w:color="auto" w:sz="8" w:space="0"/>
            </w:tcBorders>
            <w:vAlign w:val="center"/>
          </w:tcPr>
          <w:p w14:paraId="755DF63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苯胺</w:t>
            </w:r>
          </w:p>
        </w:tc>
        <w:tc>
          <w:tcPr>
            <w:tcW w:w="597" w:type="pct"/>
            <w:vMerge w:val="continue"/>
            <w:vAlign w:val="center"/>
          </w:tcPr>
          <w:p w14:paraId="30BBFBA5">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36B1A410">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57EFB95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0.09L</w:t>
            </w:r>
          </w:p>
        </w:tc>
        <w:tc>
          <w:tcPr>
            <w:tcW w:w="546" w:type="pct"/>
            <w:tcBorders>
              <w:top w:val="single" w:color="auto" w:sz="8" w:space="0"/>
              <w:left w:val="single" w:color="auto" w:sz="8" w:space="0"/>
              <w:bottom w:val="single" w:color="auto" w:sz="8" w:space="0"/>
              <w:right w:val="nil"/>
            </w:tcBorders>
            <w:vAlign w:val="center"/>
          </w:tcPr>
          <w:p w14:paraId="22A68CB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260</w:t>
            </w:r>
          </w:p>
        </w:tc>
        <w:tc>
          <w:tcPr>
            <w:tcW w:w="568" w:type="pct"/>
            <w:vAlign w:val="center"/>
          </w:tcPr>
          <w:p w14:paraId="6A71D65F">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4F6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321008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37</w:t>
            </w:r>
          </w:p>
        </w:tc>
        <w:tc>
          <w:tcPr>
            <w:tcW w:w="938" w:type="pct"/>
            <w:tcBorders>
              <w:top w:val="single" w:color="auto" w:sz="8" w:space="0"/>
              <w:left w:val="single" w:color="auto" w:sz="8" w:space="0"/>
              <w:bottom w:val="single" w:color="auto" w:sz="8" w:space="0"/>
              <w:right w:val="single" w:color="auto" w:sz="8" w:space="0"/>
            </w:tcBorders>
            <w:vAlign w:val="center"/>
          </w:tcPr>
          <w:p w14:paraId="641DCE7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2-氯酚</w:t>
            </w:r>
          </w:p>
        </w:tc>
        <w:tc>
          <w:tcPr>
            <w:tcW w:w="597" w:type="pct"/>
            <w:vMerge w:val="continue"/>
            <w:vAlign w:val="center"/>
          </w:tcPr>
          <w:p w14:paraId="6685ED56">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3AEEFB1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7D23B56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0.06L</w:t>
            </w:r>
          </w:p>
        </w:tc>
        <w:tc>
          <w:tcPr>
            <w:tcW w:w="546" w:type="pct"/>
            <w:tcBorders>
              <w:top w:val="single" w:color="auto" w:sz="8" w:space="0"/>
              <w:left w:val="single" w:color="auto" w:sz="8" w:space="0"/>
              <w:bottom w:val="single" w:color="auto" w:sz="8" w:space="0"/>
              <w:right w:val="nil"/>
            </w:tcBorders>
            <w:vAlign w:val="center"/>
          </w:tcPr>
          <w:p w14:paraId="5DF37A5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2256</w:t>
            </w:r>
          </w:p>
        </w:tc>
        <w:tc>
          <w:tcPr>
            <w:tcW w:w="568" w:type="pct"/>
            <w:vAlign w:val="center"/>
          </w:tcPr>
          <w:p w14:paraId="60A99640">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1BCB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C91181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38</w:t>
            </w:r>
          </w:p>
        </w:tc>
        <w:tc>
          <w:tcPr>
            <w:tcW w:w="938" w:type="pct"/>
            <w:tcBorders>
              <w:top w:val="single" w:color="auto" w:sz="8" w:space="0"/>
              <w:left w:val="single" w:color="auto" w:sz="8" w:space="0"/>
              <w:bottom w:val="single" w:color="auto" w:sz="8" w:space="0"/>
              <w:right w:val="single" w:color="auto" w:sz="8" w:space="0"/>
            </w:tcBorders>
            <w:vAlign w:val="center"/>
          </w:tcPr>
          <w:p w14:paraId="75571CC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苯并[a]蒽</w:t>
            </w:r>
          </w:p>
        </w:tc>
        <w:tc>
          <w:tcPr>
            <w:tcW w:w="597" w:type="pct"/>
            <w:vMerge w:val="continue"/>
            <w:vAlign w:val="center"/>
          </w:tcPr>
          <w:p w14:paraId="29F8BF8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6D7D2BD">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0BC87C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3BB2E04C">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568" w:type="pct"/>
            <w:vAlign w:val="center"/>
          </w:tcPr>
          <w:p w14:paraId="5853A41E">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17B6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900E36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39</w:t>
            </w:r>
          </w:p>
        </w:tc>
        <w:tc>
          <w:tcPr>
            <w:tcW w:w="938" w:type="pct"/>
            <w:tcBorders>
              <w:top w:val="single" w:color="auto" w:sz="8" w:space="0"/>
              <w:left w:val="single" w:color="auto" w:sz="8" w:space="0"/>
              <w:bottom w:val="single" w:color="auto" w:sz="8" w:space="0"/>
              <w:right w:val="single" w:color="auto" w:sz="8" w:space="0"/>
            </w:tcBorders>
            <w:vAlign w:val="center"/>
          </w:tcPr>
          <w:p w14:paraId="322208E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苯并[a]芘</w:t>
            </w:r>
          </w:p>
        </w:tc>
        <w:tc>
          <w:tcPr>
            <w:tcW w:w="597" w:type="pct"/>
            <w:vMerge w:val="continue"/>
            <w:vAlign w:val="center"/>
          </w:tcPr>
          <w:p w14:paraId="5EBBFE80">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6D1F4F0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6527101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26A2034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568" w:type="pct"/>
            <w:vAlign w:val="center"/>
          </w:tcPr>
          <w:p w14:paraId="30646CFF">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00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5E609E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40</w:t>
            </w:r>
          </w:p>
        </w:tc>
        <w:tc>
          <w:tcPr>
            <w:tcW w:w="938" w:type="pct"/>
            <w:tcBorders>
              <w:top w:val="single" w:color="auto" w:sz="8" w:space="0"/>
              <w:left w:val="single" w:color="auto" w:sz="8" w:space="0"/>
              <w:bottom w:val="single" w:color="auto" w:sz="8" w:space="0"/>
              <w:right w:val="single" w:color="auto" w:sz="8" w:space="0"/>
            </w:tcBorders>
            <w:vAlign w:val="center"/>
          </w:tcPr>
          <w:p w14:paraId="2516F78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苯并[b]荧蒽</w:t>
            </w:r>
          </w:p>
        </w:tc>
        <w:tc>
          <w:tcPr>
            <w:tcW w:w="597" w:type="pct"/>
            <w:vMerge w:val="continue"/>
            <w:vAlign w:val="center"/>
          </w:tcPr>
          <w:p w14:paraId="7D21CAC1">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146C457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18B21A7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0.2L</w:t>
            </w:r>
          </w:p>
        </w:tc>
        <w:tc>
          <w:tcPr>
            <w:tcW w:w="546" w:type="pct"/>
            <w:tcBorders>
              <w:top w:val="single" w:color="auto" w:sz="8" w:space="0"/>
              <w:left w:val="single" w:color="auto" w:sz="8" w:space="0"/>
              <w:bottom w:val="single" w:color="auto" w:sz="8" w:space="0"/>
              <w:right w:val="nil"/>
            </w:tcBorders>
            <w:vAlign w:val="center"/>
          </w:tcPr>
          <w:p w14:paraId="03ACE83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568" w:type="pct"/>
            <w:vAlign w:val="center"/>
          </w:tcPr>
          <w:p w14:paraId="1B567D26">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64A7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42AFF26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41</w:t>
            </w:r>
          </w:p>
        </w:tc>
        <w:tc>
          <w:tcPr>
            <w:tcW w:w="938" w:type="pct"/>
            <w:tcBorders>
              <w:top w:val="single" w:color="auto" w:sz="8" w:space="0"/>
              <w:left w:val="single" w:color="auto" w:sz="8" w:space="0"/>
              <w:bottom w:val="single" w:color="auto" w:sz="8" w:space="0"/>
              <w:right w:val="single" w:color="auto" w:sz="8" w:space="0"/>
            </w:tcBorders>
            <w:vAlign w:val="center"/>
          </w:tcPr>
          <w:p w14:paraId="72F32ED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苯并[k]荧蒽</w:t>
            </w:r>
          </w:p>
        </w:tc>
        <w:tc>
          <w:tcPr>
            <w:tcW w:w="597" w:type="pct"/>
            <w:vMerge w:val="continue"/>
            <w:vAlign w:val="center"/>
          </w:tcPr>
          <w:p w14:paraId="7658A447">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1A31E38">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29CB2FE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72F85C9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151</w:t>
            </w:r>
          </w:p>
        </w:tc>
        <w:tc>
          <w:tcPr>
            <w:tcW w:w="568" w:type="pct"/>
            <w:vAlign w:val="center"/>
          </w:tcPr>
          <w:p w14:paraId="3D042FB8">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7D53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0A21DF8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42</w:t>
            </w:r>
          </w:p>
        </w:tc>
        <w:tc>
          <w:tcPr>
            <w:tcW w:w="938" w:type="pct"/>
            <w:tcBorders>
              <w:top w:val="single" w:color="auto" w:sz="8" w:space="0"/>
              <w:left w:val="single" w:color="auto" w:sz="8" w:space="0"/>
              <w:bottom w:val="single" w:color="auto" w:sz="8" w:space="0"/>
              <w:right w:val="single" w:color="auto" w:sz="8" w:space="0"/>
            </w:tcBorders>
            <w:vAlign w:val="center"/>
          </w:tcPr>
          <w:p w14:paraId="508827D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䓛</w:t>
            </w:r>
          </w:p>
        </w:tc>
        <w:tc>
          <w:tcPr>
            <w:tcW w:w="597" w:type="pct"/>
            <w:vMerge w:val="continue"/>
            <w:vAlign w:val="center"/>
          </w:tcPr>
          <w:p w14:paraId="126C292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5A72DDA2">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3AD795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311541F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1293</w:t>
            </w:r>
          </w:p>
        </w:tc>
        <w:tc>
          <w:tcPr>
            <w:tcW w:w="568" w:type="pct"/>
            <w:vAlign w:val="center"/>
          </w:tcPr>
          <w:p w14:paraId="178FA8FF">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24C0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65DA35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43</w:t>
            </w:r>
          </w:p>
        </w:tc>
        <w:tc>
          <w:tcPr>
            <w:tcW w:w="938" w:type="pct"/>
            <w:tcBorders>
              <w:top w:val="single" w:color="auto" w:sz="8" w:space="0"/>
              <w:left w:val="single" w:color="auto" w:sz="8" w:space="0"/>
              <w:bottom w:val="single" w:color="auto" w:sz="8" w:space="0"/>
              <w:right w:val="single" w:color="auto" w:sz="8" w:space="0"/>
            </w:tcBorders>
            <w:vAlign w:val="center"/>
          </w:tcPr>
          <w:p w14:paraId="014F695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二苯并[a, h]蒽</w:t>
            </w:r>
          </w:p>
        </w:tc>
        <w:tc>
          <w:tcPr>
            <w:tcW w:w="597" w:type="pct"/>
            <w:vMerge w:val="continue"/>
            <w:vAlign w:val="center"/>
          </w:tcPr>
          <w:p w14:paraId="5E880AE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241684BA">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EEEA5D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745D13E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568" w:type="pct"/>
            <w:vAlign w:val="center"/>
          </w:tcPr>
          <w:p w14:paraId="31D0725C">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08A0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7520282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44</w:t>
            </w:r>
          </w:p>
        </w:tc>
        <w:tc>
          <w:tcPr>
            <w:tcW w:w="938" w:type="pct"/>
            <w:tcBorders>
              <w:top w:val="single" w:color="auto" w:sz="8" w:space="0"/>
              <w:left w:val="single" w:color="auto" w:sz="8" w:space="0"/>
              <w:bottom w:val="single" w:color="auto" w:sz="8" w:space="0"/>
              <w:right w:val="single" w:color="auto" w:sz="8" w:space="0"/>
            </w:tcBorders>
            <w:vAlign w:val="center"/>
          </w:tcPr>
          <w:p w14:paraId="6DB135A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茚并[1,2,3-cd]芘</w:t>
            </w:r>
          </w:p>
        </w:tc>
        <w:tc>
          <w:tcPr>
            <w:tcW w:w="597" w:type="pct"/>
            <w:vMerge w:val="continue"/>
            <w:vAlign w:val="center"/>
          </w:tcPr>
          <w:p w14:paraId="426477F9">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235B74BC">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069A0BA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0.1L</w:t>
            </w:r>
          </w:p>
        </w:tc>
        <w:tc>
          <w:tcPr>
            <w:tcW w:w="546" w:type="pct"/>
            <w:tcBorders>
              <w:top w:val="single" w:color="auto" w:sz="8" w:space="0"/>
              <w:left w:val="single" w:color="auto" w:sz="8" w:space="0"/>
              <w:bottom w:val="single" w:color="auto" w:sz="8" w:space="0"/>
              <w:right w:val="nil"/>
            </w:tcBorders>
            <w:vAlign w:val="center"/>
          </w:tcPr>
          <w:p w14:paraId="5EBD6705">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15</w:t>
            </w:r>
          </w:p>
        </w:tc>
        <w:tc>
          <w:tcPr>
            <w:tcW w:w="568" w:type="pct"/>
            <w:vAlign w:val="center"/>
          </w:tcPr>
          <w:p w14:paraId="23261FDB">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r w14:paraId="5C55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303" w:type="pct"/>
            <w:vAlign w:val="center"/>
          </w:tcPr>
          <w:p w14:paraId="1F4E631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45</w:t>
            </w:r>
          </w:p>
        </w:tc>
        <w:tc>
          <w:tcPr>
            <w:tcW w:w="938" w:type="pct"/>
            <w:tcBorders>
              <w:top w:val="single" w:color="auto" w:sz="8" w:space="0"/>
              <w:left w:val="single" w:color="auto" w:sz="8" w:space="0"/>
              <w:bottom w:val="single" w:color="auto" w:sz="8" w:space="0"/>
              <w:right w:val="single" w:color="auto" w:sz="8" w:space="0"/>
            </w:tcBorders>
            <w:vAlign w:val="center"/>
          </w:tcPr>
          <w:p w14:paraId="1D3C4C7D">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萘</w:t>
            </w:r>
          </w:p>
        </w:tc>
        <w:tc>
          <w:tcPr>
            <w:tcW w:w="597" w:type="pct"/>
            <w:vMerge w:val="continue"/>
            <w:vAlign w:val="center"/>
          </w:tcPr>
          <w:p w14:paraId="2D4F16CD">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544" w:type="pct"/>
            <w:vMerge w:val="continue"/>
            <w:vAlign w:val="center"/>
          </w:tcPr>
          <w:p w14:paraId="4E2A8393">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1503" w:type="pct"/>
            <w:tcBorders>
              <w:top w:val="single" w:color="auto" w:sz="8" w:space="0"/>
              <w:left w:val="single" w:color="auto" w:sz="8" w:space="0"/>
              <w:bottom w:val="single" w:color="auto" w:sz="8" w:space="0"/>
              <w:right w:val="single" w:color="auto" w:sz="8" w:space="0"/>
            </w:tcBorders>
            <w:vAlign w:val="center"/>
          </w:tcPr>
          <w:p w14:paraId="500674B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0.09L</w:t>
            </w:r>
          </w:p>
        </w:tc>
        <w:tc>
          <w:tcPr>
            <w:tcW w:w="546" w:type="pct"/>
            <w:tcBorders>
              <w:top w:val="single" w:color="auto" w:sz="8" w:space="0"/>
              <w:left w:val="single" w:color="auto" w:sz="8" w:space="0"/>
              <w:bottom w:val="single" w:color="auto" w:sz="8" w:space="0"/>
              <w:right w:val="nil"/>
            </w:tcBorders>
            <w:vAlign w:val="center"/>
          </w:tcPr>
          <w:p w14:paraId="22B89A47">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70</w:t>
            </w:r>
          </w:p>
        </w:tc>
        <w:tc>
          <w:tcPr>
            <w:tcW w:w="568" w:type="pct"/>
            <w:vAlign w:val="center"/>
          </w:tcPr>
          <w:p w14:paraId="1F034AB2">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达标</w:t>
            </w:r>
          </w:p>
        </w:tc>
      </w:tr>
    </w:tbl>
    <w:p w14:paraId="4F35E0F9">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sectPr>
          <w:footerReference r:id="rId7" w:type="default"/>
          <w:pgSz w:w="11906" w:h="16838"/>
          <w:pgMar w:top="1440" w:right="1800" w:bottom="1440" w:left="1800" w:header="851" w:footer="992" w:gutter="0"/>
          <w:cols w:space="720" w:num="1"/>
          <w:docGrid w:type="lines" w:linePitch="312" w:charSpace="0"/>
        </w:sectPr>
      </w:pPr>
    </w:p>
    <w:p w14:paraId="610485CC">
      <w:pPr>
        <w:pStyle w:val="2"/>
        <w:snapToGrid w:val="0"/>
        <w:ind w:firstLine="560"/>
        <w:jc w:val="center"/>
        <w:rPr>
          <w:rFonts w:hint="eastAsia" w:ascii="楷体_GB2312" w:hAnsi="楷体_GB2312" w:eastAsia="楷体_GB2312" w:cs="楷体_GB2312"/>
          <w:color w:val="000000" w:themeColor="text1"/>
          <w:szCs w:val="3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表</w:t>
      </w:r>
      <w:r>
        <w:rPr>
          <w:rFonts w:ascii="黑体" w:hAnsi="黑体" w:eastAsia="黑体"/>
          <w:color w:val="000000" w:themeColor="text1"/>
          <w:sz w:val="28"/>
          <w:szCs w:val="28"/>
          <w14:textFill>
            <w14:solidFill>
              <w14:schemeClr w14:val="tx1"/>
            </w14:solidFill>
          </w14:textFill>
        </w:rPr>
        <w:t xml:space="preserve">7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地表水环境监测结果一览表    单位：mg/L（pH值无量纲）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03"/>
        <w:gridCol w:w="1048"/>
        <w:gridCol w:w="614"/>
        <w:gridCol w:w="655"/>
        <w:gridCol w:w="852"/>
        <w:gridCol w:w="556"/>
        <w:gridCol w:w="556"/>
        <w:gridCol w:w="655"/>
        <w:gridCol w:w="655"/>
        <w:gridCol w:w="1048"/>
        <w:gridCol w:w="972"/>
        <w:gridCol w:w="1442"/>
        <w:gridCol w:w="1245"/>
        <w:gridCol w:w="1048"/>
        <w:gridCol w:w="1562"/>
        <w:gridCol w:w="1442"/>
        <w:gridCol w:w="816"/>
        <w:gridCol w:w="816"/>
        <w:gridCol w:w="619"/>
        <w:gridCol w:w="816"/>
        <w:gridCol w:w="619"/>
        <w:gridCol w:w="718"/>
        <w:gridCol w:w="521"/>
        <w:gridCol w:w="521"/>
        <w:gridCol w:w="522"/>
      </w:tblGrid>
      <w:tr w14:paraId="139B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Align w:val="center"/>
          </w:tcPr>
          <w:p w14:paraId="058DDF0B">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检测断面</w:t>
            </w:r>
          </w:p>
        </w:tc>
        <w:tc>
          <w:tcPr>
            <w:tcW w:w="1048" w:type="dxa"/>
            <w:vAlign w:val="center"/>
          </w:tcPr>
          <w:p w14:paraId="2EB26D1B">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检测时间</w:t>
            </w:r>
          </w:p>
        </w:tc>
        <w:tc>
          <w:tcPr>
            <w:tcW w:w="614" w:type="dxa"/>
            <w:vAlign w:val="center"/>
          </w:tcPr>
          <w:p w14:paraId="0E1082EC">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项目</w:t>
            </w:r>
          </w:p>
        </w:tc>
        <w:tc>
          <w:tcPr>
            <w:tcW w:w="655" w:type="dxa"/>
            <w:vAlign w:val="center"/>
          </w:tcPr>
          <w:p w14:paraId="2A7B509B">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pH</w:t>
            </w:r>
          </w:p>
        </w:tc>
        <w:tc>
          <w:tcPr>
            <w:tcW w:w="852" w:type="dxa"/>
            <w:vAlign w:val="center"/>
          </w:tcPr>
          <w:p w14:paraId="57D01EF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溶解氧</w:t>
            </w:r>
          </w:p>
        </w:tc>
        <w:tc>
          <w:tcPr>
            <w:tcW w:w="556" w:type="dxa"/>
            <w:vAlign w:val="center"/>
          </w:tcPr>
          <w:p w14:paraId="66414066">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COD</w:t>
            </w:r>
          </w:p>
        </w:tc>
        <w:tc>
          <w:tcPr>
            <w:tcW w:w="556" w:type="dxa"/>
            <w:vAlign w:val="center"/>
          </w:tcPr>
          <w:p w14:paraId="70507240">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悬浮物</w:t>
            </w:r>
          </w:p>
        </w:tc>
        <w:tc>
          <w:tcPr>
            <w:tcW w:w="655" w:type="dxa"/>
            <w:vAlign w:val="center"/>
          </w:tcPr>
          <w:p w14:paraId="593C025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高锰酸盐指数</w:t>
            </w:r>
          </w:p>
        </w:tc>
        <w:tc>
          <w:tcPr>
            <w:tcW w:w="655" w:type="dxa"/>
            <w:vAlign w:val="center"/>
          </w:tcPr>
          <w:p w14:paraId="6E330F55">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BOD</w:t>
            </w:r>
            <w:r>
              <w:rPr>
                <w:rFonts w:ascii="Times New Roman" w:hAnsi="Times New Roman" w:eastAsia="宋体" w:cs="Times New Roman"/>
                <w:b/>
                <w:bCs/>
                <w:color w:val="000000" w:themeColor="text1"/>
                <w:sz w:val="21"/>
                <w:szCs w:val="21"/>
                <w:vertAlign w:val="subscript"/>
                <w14:textFill>
                  <w14:solidFill>
                    <w14:schemeClr w14:val="tx1"/>
                  </w14:solidFill>
                </w14:textFill>
              </w:rPr>
              <w:t>5</w:t>
            </w:r>
          </w:p>
        </w:tc>
        <w:tc>
          <w:tcPr>
            <w:tcW w:w="1048" w:type="dxa"/>
            <w:vAlign w:val="center"/>
          </w:tcPr>
          <w:p w14:paraId="37E02B83">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氨氮</w:t>
            </w:r>
          </w:p>
        </w:tc>
        <w:tc>
          <w:tcPr>
            <w:tcW w:w="972" w:type="dxa"/>
            <w:vAlign w:val="center"/>
          </w:tcPr>
          <w:p w14:paraId="2DF20F5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总磷</w:t>
            </w:r>
          </w:p>
        </w:tc>
        <w:tc>
          <w:tcPr>
            <w:tcW w:w="1442" w:type="dxa"/>
            <w:vAlign w:val="center"/>
          </w:tcPr>
          <w:p w14:paraId="3A4352C6">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铜</w:t>
            </w:r>
          </w:p>
        </w:tc>
        <w:tc>
          <w:tcPr>
            <w:tcW w:w="1245" w:type="dxa"/>
            <w:vAlign w:val="center"/>
          </w:tcPr>
          <w:p w14:paraId="43CB4B6C">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锌</w:t>
            </w:r>
          </w:p>
        </w:tc>
        <w:tc>
          <w:tcPr>
            <w:tcW w:w="1048" w:type="dxa"/>
            <w:vAlign w:val="center"/>
          </w:tcPr>
          <w:p w14:paraId="691951BD">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氟化物</w:t>
            </w:r>
          </w:p>
        </w:tc>
        <w:tc>
          <w:tcPr>
            <w:tcW w:w="1562" w:type="dxa"/>
            <w:vAlign w:val="center"/>
          </w:tcPr>
          <w:p w14:paraId="0B61A1E5">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硒</w:t>
            </w:r>
          </w:p>
        </w:tc>
        <w:tc>
          <w:tcPr>
            <w:tcW w:w="1442" w:type="dxa"/>
            <w:vAlign w:val="center"/>
          </w:tcPr>
          <w:p w14:paraId="3B8C86B0">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砷</w:t>
            </w:r>
          </w:p>
        </w:tc>
        <w:tc>
          <w:tcPr>
            <w:tcW w:w="816" w:type="dxa"/>
            <w:vAlign w:val="center"/>
          </w:tcPr>
          <w:p w14:paraId="1917E621">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汞</w:t>
            </w:r>
          </w:p>
        </w:tc>
        <w:tc>
          <w:tcPr>
            <w:tcW w:w="816" w:type="dxa"/>
            <w:vAlign w:val="center"/>
          </w:tcPr>
          <w:p w14:paraId="44E451CF">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镉</w:t>
            </w:r>
          </w:p>
        </w:tc>
        <w:tc>
          <w:tcPr>
            <w:tcW w:w="619" w:type="dxa"/>
            <w:vAlign w:val="center"/>
          </w:tcPr>
          <w:p w14:paraId="0623598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六价铬</w:t>
            </w:r>
          </w:p>
        </w:tc>
        <w:tc>
          <w:tcPr>
            <w:tcW w:w="816" w:type="dxa"/>
            <w:vAlign w:val="center"/>
          </w:tcPr>
          <w:p w14:paraId="152E560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铅</w:t>
            </w:r>
          </w:p>
        </w:tc>
        <w:tc>
          <w:tcPr>
            <w:tcW w:w="619" w:type="dxa"/>
            <w:vAlign w:val="center"/>
          </w:tcPr>
          <w:p w14:paraId="2DA7170C">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氰化物</w:t>
            </w:r>
          </w:p>
        </w:tc>
        <w:tc>
          <w:tcPr>
            <w:tcW w:w="718" w:type="dxa"/>
            <w:vAlign w:val="center"/>
          </w:tcPr>
          <w:p w14:paraId="7E2BEC4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挥发酚</w:t>
            </w:r>
          </w:p>
        </w:tc>
        <w:tc>
          <w:tcPr>
            <w:tcW w:w="521" w:type="dxa"/>
            <w:vAlign w:val="center"/>
          </w:tcPr>
          <w:p w14:paraId="7614D74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石油类</w:t>
            </w:r>
          </w:p>
        </w:tc>
        <w:tc>
          <w:tcPr>
            <w:tcW w:w="521" w:type="dxa"/>
            <w:vAlign w:val="center"/>
          </w:tcPr>
          <w:p w14:paraId="1893BD80">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阴离子表面活性剂</w:t>
            </w:r>
          </w:p>
        </w:tc>
        <w:tc>
          <w:tcPr>
            <w:tcW w:w="521" w:type="dxa"/>
            <w:vAlign w:val="center"/>
          </w:tcPr>
          <w:p w14:paraId="76D990F8">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硫化物</w:t>
            </w:r>
          </w:p>
        </w:tc>
      </w:tr>
      <w:tr w14:paraId="527C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4AC4549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W1 双牌工业集中区</w:t>
            </w:r>
          </w:p>
          <w:p w14:paraId="68ED12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入园上游1000m 断面</w:t>
            </w:r>
          </w:p>
        </w:tc>
        <w:tc>
          <w:tcPr>
            <w:tcW w:w="1048" w:type="dxa"/>
            <w:vMerge w:val="restart"/>
            <w:vAlign w:val="center"/>
          </w:tcPr>
          <w:p w14:paraId="69E97C1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w:t>
            </w:r>
          </w:p>
          <w:p w14:paraId="3D4ABF5F">
            <w:pPr>
              <w:tabs>
                <w:tab w:val="left" w:pos="1021"/>
              </w:tabs>
              <w:jc w:val="center"/>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614" w:type="dxa"/>
            <w:vAlign w:val="center"/>
          </w:tcPr>
          <w:p w14:paraId="779C75C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485E49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852" w:type="dxa"/>
            <w:vAlign w:val="center"/>
          </w:tcPr>
          <w:p w14:paraId="64396B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9.18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9.45</w:t>
            </w:r>
          </w:p>
        </w:tc>
        <w:tc>
          <w:tcPr>
            <w:tcW w:w="556" w:type="dxa"/>
            <w:vAlign w:val="center"/>
          </w:tcPr>
          <w:p w14:paraId="09EEA0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13</w:t>
            </w:r>
          </w:p>
        </w:tc>
        <w:tc>
          <w:tcPr>
            <w:tcW w:w="556" w:type="dxa"/>
            <w:vAlign w:val="center"/>
          </w:tcPr>
          <w:p w14:paraId="228B09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655" w:type="dxa"/>
            <w:vAlign w:val="center"/>
          </w:tcPr>
          <w:p w14:paraId="4AEE7A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3.7</w:t>
            </w:r>
          </w:p>
        </w:tc>
        <w:tc>
          <w:tcPr>
            <w:tcW w:w="655" w:type="dxa"/>
            <w:vAlign w:val="center"/>
          </w:tcPr>
          <w:p w14:paraId="39D3A9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1048" w:type="dxa"/>
            <w:vAlign w:val="center"/>
          </w:tcPr>
          <w:p w14:paraId="081501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0.025L</w:t>
            </w:r>
          </w:p>
        </w:tc>
        <w:tc>
          <w:tcPr>
            <w:tcW w:w="972" w:type="dxa"/>
            <w:vAlign w:val="center"/>
          </w:tcPr>
          <w:p w14:paraId="28DF700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1442" w:type="dxa"/>
            <w:vAlign w:val="center"/>
          </w:tcPr>
          <w:p w14:paraId="1EDA08A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008</w:t>
            </w:r>
            <w:r>
              <w:rPr>
                <w:rFonts w:ascii="Times New Roman" w:hAnsi="Times New Roman" w:eastAsia="宋体" w:cs="Times New Roman"/>
                <w:color w:val="000000" w:themeColor="text1"/>
                <w:sz w:val="21"/>
                <w:szCs w:val="21"/>
                <w14:textFill>
                  <w14:solidFill>
                    <w14:schemeClr w14:val="tx1"/>
                  </w14:solidFill>
                </w14:textFill>
              </w:rPr>
              <w:t>L</w:t>
            </w:r>
          </w:p>
        </w:tc>
        <w:tc>
          <w:tcPr>
            <w:tcW w:w="1245" w:type="dxa"/>
            <w:vAlign w:val="center"/>
          </w:tcPr>
          <w:p w14:paraId="2D8A9A0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3944C5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0.106~0.108</w:t>
            </w:r>
          </w:p>
        </w:tc>
        <w:tc>
          <w:tcPr>
            <w:tcW w:w="1562" w:type="dxa"/>
            <w:vAlign w:val="center"/>
          </w:tcPr>
          <w:p w14:paraId="1E4980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7~0.0015</w:t>
            </w:r>
          </w:p>
        </w:tc>
        <w:tc>
          <w:tcPr>
            <w:tcW w:w="1442" w:type="dxa"/>
            <w:vAlign w:val="center"/>
          </w:tcPr>
          <w:p w14:paraId="04DC786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6~0.0007</w:t>
            </w:r>
          </w:p>
        </w:tc>
        <w:tc>
          <w:tcPr>
            <w:tcW w:w="816" w:type="dxa"/>
            <w:vAlign w:val="center"/>
          </w:tcPr>
          <w:p w14:paraId="1904B60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64C903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0E92DD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333BF1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1DB6038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6AB235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51B75E5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02AB637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041270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2BCD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1CDFD55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520861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268669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0D874A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1A3DEF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5211B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227669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C9892B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34405B4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23FB92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052D70A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3B47D00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4D052F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AF1C0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07684A1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6EEFFB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9D5D60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B8047E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353F4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6E58A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F08674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306FE2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F4C11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44773A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42C8A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5B00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0261622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6CFF22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2E9A16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27E1B57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18FBC09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D1949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E197D7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2EF45E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405A6D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816E21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50EC80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1BF911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3D1668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FB0608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4C7419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1D0F74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4E2986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3FE07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3384EA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D195A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20C4085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1B81553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BAFD84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40820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6CC69B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65D7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3916A6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W2双牌县污水处理厂排放口下游500m 断面</w:t>
            </w:r>
          </w:p>
        </w:tc>
        <w:tc>
          <w:tcPr>
            <w:tcW w:w="1048" w:type="dxa"/>
            <w:vMerge w:val="continue"/>
            <w:vAlign w:val="center"/>
          </w:tcPr>
          <w:p w14:paraId="34FDE2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AE4415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71ABAD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852" w:type="dxa"/>
            <w:vAlign w:val="center"/>
          </w:tcPr>
          <w:p w14:paraId="6225399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9.12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9.52</w:t>
            </w:r>
          </w:p>
        </w:tc>
        <w:tc>
          <w:tcPr>
            <w:tcW w:w="556" w:type="dxa"/>
            <w:vAlign w:val="center"/>
          </w:tcPr>
          <w:p w14:paraId="492054F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17</w:t>
            </w:r>
          </w:p>
        </w:tc>
        <w:tc>
          <w:tcPr>
            <w:tcW w:w="556" w:type="dxa"/>
            <w:vAlign w:val="center"/>
          </w:tcPr>
          <w:p w14:paraId="7868572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655" w:type="dxa"/>
            <w:vAlign w:val="center"/>
          </w:tcPr>
          <w:p w14:paraId="55E461B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4.1</w:t>
            </w:r>
          </w:p>
        </w:tc>
        <w:tc>
          <w:tcPr>
            <w:tcW w:w="655" w:type="dxa"/>
            <w:vAlign w:val="center"/>
          </w:tcPr>
          <w:p w14:paraId="358473C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3.6</w:t>
            </w:r>
          </w:p>
        </w:tc>
        <w:tc>
          <w:tcPr>
            <w:tcW w:w="1048" w:type="dxa"/>
            <w:vAlign w:val="center"/>
          </w:tcPr>
          <w:p w14:paraId="355A87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0.043~0.049</w:t>
            </w:r>
          </w:p>
        </w:tc>
        <w:tc>
          <w:tcPr>
            <w:tcW w:w="972" w:type="dxa"/>
            <w:vAlign w:val="center"/>
          </w:tcPr>
          <w:p w14:paraId="6CFF2E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14:textFill>
                  <w14:solidFill>
                    <w14:schemeClr w14:val="tx1"/>
                  </w14:solidFill>
                </w14:textFill>
              </w:rPr>
              <w:t>13</w:t>
            </w: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14:textFill>
                  <w14:solidFill>
                    <w14:schemeClr w14:val="tx1"/>
                  </w14:solidFill>
                </w14:textFill>
              </w:rPr>
              <w:t>18</w:t>
            </w:r>
          </w:p>
        </w:tc>
        <w:tc>
          <w:tcPr>
            <w:tcW w:w="1442" w:type="dxa"/>
            <w:vAlign w:val="center"/>
          </w:tcPr>
          <w:p w14:paraId="14A77D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051~0.00058</w:t>
            </w:r>
          </w:p>
        </w:tc>
        <w:tc>
          <w:tcPr>
            <w:tcW w:w="1245" w:type="dxa"/>
            <w:vAlign w:val="center"/>
          </w:tcPr>
          <w:p w14:paraId="7881B1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0.0244~0.0252</w:t>
            </w:r>
          </w:p>
        </w:tc>
        <w:tc>
          <w:tcPr>
            <w:tcW w:w="1048" w:type="dxa"/>
            <w:vAlign w:val="center"/>
          </w:tcPr>
          <w:p w14:paraId="227F9A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0.175~0.179</w:t>
            </w:r>
          </w:p>
        </w:tc>
        <w:tc>
          <w:tcPr>
            <w:tcW w:w="1562" w:type="dxa"/>
            <w:vAlign w:val="center"/>
          </w:tcPr>
          <w:p w14:paraId="14694BA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15</w:t>
            </w:r>
          </w:p>
        </w:tc>
        <w:tc>
          <w:tcPr>
            <w:tcW w:w="1442" w:type="dxa"/>
            <w:vAlign w:val="center"/>
          </w:tcPr>
          <w:p w14:paraId="26880F8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816" w:type="dxa"/>
            <w:vAlign w:val="center"/>
          </w:tcPr>
          <w:p w14:paraId="4CC94B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616029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11AAD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3790243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2FCAED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16FDDB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23C9007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712312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697FC5E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7D4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1992DE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326C14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776D8DB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40E1951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292192C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809E7E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F12D8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10FEB35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1633E5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007B71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2306F37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CB6484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5800EE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6BBD28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5E8993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EF580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B56E7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00109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2E27A3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577109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3C3E8F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DCE08F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43B3B3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F5B38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299CBE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7CA6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1EC27A6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25DF3FC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09F68A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7E7E85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56D7D12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0801F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E42C3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225BD8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387BE2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3A0E3C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4E4F977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E73B8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186D9CC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4024062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410D2F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31E455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FA4C67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F5D92C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3D498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DF81A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220EC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1416DAF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BDBBD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7F55A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2A8CF52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563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1A6D04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W3五里牌水电站陶家渡大坝下游断面</w:t>
            </w:r>
          </w:p>
        </w:tc>
        <w:tc>
          <w:tcPr>
            <w:tcW w:w="1048" w:type="dxa"/>
            <w:vMerge w:val="continue"/>
            <w:vAlign w:val="center"/>
          </w:tcPr>
          <w:p w14:paraId="636025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7A8753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349699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852" w:type="dxa"/>
            <w:vAlign w:val="center"/>
          </w:tcPr>
          <w:p w14:paraId="108098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9.05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9.45</w:t>
            </w:r>
          </w:p>
        </w:tc>
        <w:tc>
          <w:tcPr>
            <w:tcW w:w="556" w:type="dxa"/>
            <w:vAlign w:val="center"/>
          </w:tcPr>
          <w:p w14:paraId="3076285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16</w:t>
            </w:r>
          </w:p>
        </w:tc>
        <w:tc>
          <w:tcPr>
            <w:tcW w:w="556" w:type="dxa"/>
            <w:vAlign w:val="center"/>
          </w:tcPr>
          <w:p w14:paraId="3FF740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655" w:type="dxa"/>
            <w:vAlign w:val="center"/>
          </w:tcPr>
          <w:p w14:paraId="0B7F55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4.4</w:t>
            </w:r>
          </w:p>
        </w:tc>
        <w:tc>
          <w:tcPr>
            <w:tcW w:w="655" w:type="dxa"/>
            <w:vAlign w:val="center"/>
          </w:tcPr>
          <w:p w14:paraId="2F0A1B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3.3</w:t>
            </w:r>
          </w:p>
        </w:tc>
        <w:tc>
          <w:tcPr>
            <w:tcW w:w="1048" w:type="dxa"/>
            <w:vAlign w:val="center"/>
          </w:tcPr>
          <w:p w14:paraId="31E0A64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0.038~0.043</w:t>
            </w:r>
          </w:p>
        </w:tc>
        <w:tc>
          <w:tcPr>
            <w:tcW w:w="972" w:type="dxa"/>
            <w:vAlign w:val="center"/>
          </w:tcPr>
          <w:p w14:paraId="1258DFA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1442" w:type="dxa"/>
            <w:vAlign w:val="center"/>
          </w:tcPr>
          <w:p w14:paraId="76897B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008</w:t>
            </w:r>
            <w:r>
              <w:rPr>
                <w:rFonts w:ascii="Times New Roman" w:hAnsi="Times New Roman" w:eastAsia="宋体" w:cs="Times New Roman"/>
                <w:color w:val="000000" w:themeColor="text1"/>
                <w:sz w:val="21"/>
                <w:szCs w:val="21"/>
                <w14:textFill>
                  <w14:solidFill>
                    <w14:schemeClr w14:val="tx1"/>
                  </w14:solidFill>
                </w14:textFill>
              </w:rPr>
              <w:t>L</w:t>
            </w:r>
          </w:p>
        </w:tc>
        <w:tc>
          <w:tcPr>
            <w:tcW w:w="1245" w:type="dxa"/>
            <w:vAlign w:val="center"/>
          </w:tcPr>
          <w:p w14:paraId="1343DE4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2DB2F0D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0.173~0.175</w:t>
            </w:r>
          </w:p>
        </w:tc>
        <w:tc>
          <w:tcPr>
            <w:tcW w:w="1562" w:type="dxa"/>
            <w:vAlign w:val="center"/>
          </w:tcPr>
          <w:p w14:paraId="44CDE73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13~0.0014</w:t>
            </w:r>
          </w:p>
        </w:tc>
        <w:tc>
          <w:tcPr>
            <w:tcW w:w="1442" w:type="dxa"/>
            <w:vAlign w:val="center"/>
          </w:tcPr>
          <w:p w14:paraId="2A2BAF3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5~0.0009</w:t>
            </w:r>
          </w:p>
        </w:tc>
        <w:tc>
          <w:tcPr>
            <w:tcW w:w="816" w:type="dxa"/>
            <w:vAlign w:val="center"/>
          </w:tcPr>
          <w:p w14:paraId="68ED14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6A302FC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55A5B76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517A3A5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591D1DD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4D0E42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3715607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4A21F4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139F02A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5FF9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67FE33A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1E0F93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693262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662B61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294B92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34F98D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2FA719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38830E8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16D0D2D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43569B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70260CC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EC583C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7A5CBC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2C069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3A8D2CA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4F7594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028419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3685CE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25C0BB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DEF603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34AB89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3497F2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432EE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10421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68463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0EEE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0F969C4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1FF6F4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6015DF0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421ACAC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18E1A1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22F45BF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377BC7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7384DB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4AEB234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9B643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204B28E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E6C2EB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1748AF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A938B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6951B4A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E8CFA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17606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7E9734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41F76ED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C64E8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64B2C3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1CEB3E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7C6A1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A261E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35F6D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49B8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5B8C30E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bookmarkStart w:id="26" w:name="_Hlk221176203"/>
            <w:r>
              <w:rPr>
                <w:rFonts w:ascii="Times New Roman" w:hAnsi="Times New Roman" w:eastAsia="宋体" w:cs="Times New Roman"/>
                <w:color w:val="000000" w:themeColor="text1"/>
                <w:sz w:val="21"/>
                <w:szCs w:val="21"/>
                <w14:textFill>
                  <w14:solidFill>
                    <w14:schemeClr w14:val="tx1"/>
                  </w14:solidFill>
                </w14:textFill>
              </w:rPr>
              <w:t>W1 双牌工业集中区</w:t>
            </w:r>
          </w:p>
          <w:p w14:paraId="2C3BDF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入园上游1000m 断面</w:t>
            </w:r>
          </w:p>
        </w:tc>
        <w:tc>
          <w:tcPr>
            <w:tcW w:w="1048" w:type="dxa"/>
            <w:vMerge w:val="restart"/>
            <w:vAlign w:val="center"/>
          </w:tcPr>
          <w:p w14:paraId="1007D6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24</w:t>
            </w:r>
            <w:r>
              <w:rPr>
                <w:rFonts w:ascii="Times New Roman" w:hAnsi="Times New Roman" w:eastAsia="宋体" w:cs="Times New Roman"/>
                <w:color w:val="000000" w:themeColor="text1"/>
                <w:sz w:val="21"/>
                <w:szCs w:val="21"/>
                <w14:textFill>
                  <w14:solidFill>
                    <w14:schemeClr w14:val="tx1"/>
                  </w14:solidFill>
                </w14:textFill>
              </w:rPr>
              <w:t>~</w:t>
            </w:r>
          </w:p>
          <w:p w14:paraId="17C1EB4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.5.2</w:t>
            </w: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614" w:type="dxa"/>
            <w:vAlign w:val="center"/>
          </w:tcPr>
          <w:p w14:paraId="056BE84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17B990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852" w:type="dxa"/>
            <w:vAlign w:val="center"/>
          </w:tcPr>
          <w:p w14:paraId="44E87F1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6.83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7.24</w:t>
            </w:r>
          </w:p>
        </w:tc>
        <w:tc>
          <w:tcPr>
            <w:tcW w:w="556" w:type="dxa"/>
            <w:vAlign w:val="center"/>
          </w:tcPr>
          <w:p w14:paraId="2661AA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12</w:t>
            </w:r>
          </w:p>
        </w:tc>
        <w:tc>
          <w:tcPr>
            <w:tcW w:w="556" w:type="dxa"/>
            <w:vAlign w:val="center"/>
          </w:tcPr>
          <w:p w14:paraId="0BCB032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23</w:t>
            </w:r>
          </w:p>
        </w:tc>
        <w:tc>
          <w:tcPr>
            <w:tcW w:w="655" w:type="dxa"/>
            <w:vAlign w:val="center"/>
          </w:tcPr>
          <w:p w14:paraId="0644B17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2.1</w:t>
            </w:r>
          </w:p>
        </w:tc>
        <w:tc>
          <w:tcPr>
            <w:tcW w:w="655" w:type="dxa"/>
            <w:vAlign w:val="center"/>
          </w:tcPr>
          <w:p w14:paraId="14598C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1048" w:type="dxa"/>
            <w:vAlign w:val="center"/>
          </w:tcPr>
          <w:p w14:paraId="4A5CF7C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0.094~0.124</w:t>
            </w:r>
          </w:p>
        </w:tc>
        <w:tc>
          <w:tcPr>
            <w:tcW w:w="972" w:type="dxa"/>
            <w:vAlign w:val="center"/>
          </w:tcPr>
          <w:p w14:paraId="6B9A58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1442" w:type="dxa"/>
            <w:vAlign w:val="center"/>
          </w:tcPr>
          <w:p w14:paraId="1B540D7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008</w:t>
            </w:r>
            <w:r>
              <w:rPr>
                <w:rFonts w:ascii="Times New Roman" w:hAnsi="Times New Roman" w:eastAsia="宋体" w:cs="Times New Roman"/>
                <w:color w:val="000000" w:themeColor="text1"/>
                <w:sz w:val="21"/>
                <w:szCs w:val="21"/>
                <w14:textFill>
                  <w14:solidFill>
                    <w14:schemeClr w14:val="tx1"/>
                  </w14:solidFill>
                </w14:textFill>
              </w:rPr>
              <w:t>L</w:t>
            </w:r>
          </w:p>
        </w:tc>
        <w:tc>
          <w:tcPr>
            <w:tcW w:w="1245" w:type="dxa"/>
            <w:vAlign w:val="center"/>
          </w:tcPr>
          <w:p w14:paraId="029573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3A7578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0.10~0.115</w:t>
            </w:r>
          </w:p>
        </w:tc>
        <w:tc>
          <w:tcPr>
            <w:tcW w:w="1562" w:type="dxa"/>
            <w:vAlign w:val="center"/>
          </w:tcPr>
          <w:p w14:paraId="47A8989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29F369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14~0.0016</w:t>
            </w:r>
          </w:p>
        </w:tc>
        <w:tc>
          <w:tcPr>
            <w:tcW w:w="816" w:type="dxa"/>
            <w:vAlign w:val="center"/>
          </w:tcPr>
          <w:p w14:paraId="7A1E2D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72B2B61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CFF977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0463BD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016C93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3D61CE4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6C33BE1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1810F33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5D4F63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bookmarkEnd w:id="26"/>
      <w:tr w14:paraId="0948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55892A5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0A2973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73406B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095EBB0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123AF5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AE571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4F32748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DAD420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5ACAB7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2E0186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0BA420C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328950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58D778D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D42C92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662BFE9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0D1BD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96EBD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856904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BE9F2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911718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7D3C5B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0F7CC4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078378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EF5FAD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DA620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163D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439CDD6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73E5F9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88F68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109A3A5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07BDD81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91840E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27DAC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3A54CC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622A71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1637F8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3120339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3B68D2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3F52B38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2BF07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558DE8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010C39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E2B548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F5600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1576F1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24D46E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9A6EB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339931E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71D58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BE15B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F8D2E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2F6B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634CF32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W2双牌县污水处理厂排放口下游500m 断面</w:t>
            </w:r>
          </w:p>
        </w:tc>
        <w:tc>
          <w:tcPr>
            <w:tcW w:w="1048" w:type="dxa"/>
            <w:vMerge w:val="continue"/>
            <w:vAlign w:val="center"/>
          </w:tcPr>
          <w:p w14:paraId="1A1984E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600C41F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514ACB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852" w:type="dxa"/>
            <w:vAlign w:val="center"/>
          </w:tcPr>
          <w:p w14:paraId="3D66933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7.36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7.74</w:t>
            </w:r>
          </w:p>
        </w:tc>
        <w:tc>
          <w:tcPr>
            <w:tcW w:w="556" w:type="dxa"/>
            <w:vAlign w:val="center"/>
          </w:tcPr>
          <w:p w14:paraId="232A15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16</w:t>
            </w:r>
          </w:p>
        </w:tc>
        <w:tc>
          <w:tcPr>
            <w:tcW w:w="556" w:type="dxa"/>
            <w:vAlign w:val="center"/>
          </w:tcPr>
          <w:p w14:paraId="207DE6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15</w:t>
            </w:r>
          </w:p>
        </w:tc>
        <w:tc>
          <w:tcPr>
            <w:tcW w:w="655" w:type="dxa"/>
            <w:vAlign w:val="center"/>
          </w:tcPr>
          <w:p w14:paraId="18F459D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2.2</w:t>
            </w:r>
          </w:p>
        </w:tc>
        <w:tc>
          <w:tcPr>
            <w:tcW w:w="655" w:type="dxa"/>
            <w:vAlign w:val="center"/>
          </w:tcPr>
          <w:p w14:paraId="7126580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3.2</w:t>
            </w:r>
          </w:p>
        </w:tc>
        <w:tc>
          <w:tcPr>
            <w:tcW w:w="1048" w:type="dxa"/>
            <w:vAlign w:val="center"/>
          </w:tcPr>
          <w:p w14:paraId="670AF7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0.133~0.142</w:t>
            </w:r>
          </w:p>
        </w:tc>
        <w:tc>
          <w:tcPr>
            <w:tcW w:w="972" w:type="dxa"/>
            <w:vAlign w:val="center"/>
          </w:tcPr>
          <w:p w14:paraId="2ABB56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1442" w:type="dxa"/>
            <w:vAlign w:val="center"/>
          </w:tcPr>
          <w:p w14:paraId="6FEE30D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008</w:t>
            </w:r>
            <w:r>
              <w:rPr>
                <w:rFonts w:ascii="Times New Roman" w:hAnsi="Times New Roman" w:eastAsia="宋体" w:cs="Times New Roman"/>
                <w:color w:val="000000" w:themeColor="text1"/>
                <w:sz w:val="21"/>
                <w:szCs w:val="21"/>
                <w14:textFill>
                  <w14:solidFill>
                    <w14:schemeClr w14:val="tx1"/>
                  </w14:solidFill>
                </w14:textFill>
              </w:rPr>
              <w:t>L</w:t>
            </w:r>
          </w:p>
        </w:tc>
        <w:tc>
          <w:tcPr>
            <w:tcW w:w="1245" w:type="dxa"/>
            <w:vAlign w:val="center"/>
          </w:tcPr>
          <w:p w14:paraId="1FD575C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5B138DD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0.247~0.296</w:t>
            </w:r>
          </w:p>
        </w:tc>
        <w:tc>
          <w:tcPr>
            <w:tcW w:w="1562" w:type="dxa"/>
            <w:vAlign w:val="center"/>
          </w:tcPr>
          <w:p w14:paraId="183515F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4798B3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14~0.0016</w:t>
            </w:r>
          </w:p>
        </w:tc>
        <w:tc>
          <w:tcPr>
            <w:tcW w:w="816" w:type="dxa"/>
            <w:vAlign w:val="center"/>
          </w:tcPr>
          <w:p w14:paraId="48189E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737942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0E0B12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59CD48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33574CA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372570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325E738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6C83E8B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1B83EEC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493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3D63EE4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3DB91BF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171D9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07C2FA4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5E071AD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19E0B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73E51D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CD634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70A1DC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C90E7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2E1E7C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28F18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26A7EE8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37672F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4225DB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1507F3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82C91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0D040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04721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3CCC7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21FFB55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9DCEB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B3CC0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4BB20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9EBE1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4EF8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28C3280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61E3C9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7AB5DA0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2D798C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2B1DEA2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5ACBB4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E9955D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1B7F7B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04BEB3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22F1AD2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2C8B6CC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BD90B6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509815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756EBC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3434C3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74229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0313D9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C15B3B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79B1F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525DC9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488D28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A44BE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A56A6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93B021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7CC983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3AE8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3CFA81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W3五里牌水电站陶家渡大坝下游断面</w:t>
            </w:r>
          </w:p>
        </w:tc>
        <w:tc>
          <w:tcPr>
            <w:tcW w:w="1048" w:type="dxa"/>
            <w:vMerge w:val="continue"/>
            <w:vAlign w:val="center"/>
          </w:tcPr>
          <w:p w14:paraId="713505C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A2B25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0451C9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852" w:type="dxa"/>
            <w:vAlign w:val="center"/>
          </w:tcPr>
          <w:p w14:paraId="50BD302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7.31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7.84</w:t>
            </w:r>
          </w:p>
        </w:tc>
        <w:tc>
          <w:tcPr>
            <w:tcW w:w="556" w:type="dxa"/>
            <w:vAlign w:val="center"/>
          </w:tcPr>
          <w:p w14:paraId="04EDA0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18</w:t>
            </w:r>
          </w:p>
        </w:tc>
        <w:tc>
          <w:tcPr>
            <w:tcW w:w="556" w:type="dxa"/>
            <w:vAlign w:val="center"/>
          </w:tcPr>
          <w:p w14:paraId="2B385D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19</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22</w:t>
            </w:r>
          </w:p>
        </w:tc>
        <w:tc>
          <w:tcPr>
            <w:tcW w:w="655" w:type="dxa"/>
            <w:vAlign w:val="center"/>
          </w:tcPr>
          <w:p w14:paraId="2C74C5A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2.3</w:t>
            </w:r>
          </w:p>
        </w:tc>
        <w:tc>
          <w:tcPr>
            <w:tcW w:w="655" w:type="dxa"/>
            <w:vAlign w:val="center"/>
          </w:tcPr>
          <w:p w14:paraId="16CFEC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3.5</w:t>
            </w:r>
          </w:p>
        </w:tc>
        <w:tc>
          <w:tcPr>
            <w:tcW w:w="1048" w:type="dxa"/>
            <w:vAlign w:val="center"/>
          </w:tcPr>
          <w:p w14:paraId="41A9A5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0.132~0.151</w:t>
            </w:r>
          </w:p>
        </w:tc>
        <w:tc>
          <w:tcPr>
            <w:tcW w:w="972" w:type="dxa"/>
            <w:vAlign w:val="center"/>
          </w:tcPr>
          <w:p w14:paraId="244F98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1442" w:type="dxa"/>
            <w:vAlign w:val="center"/>
          </w:tcPr>
          <w:p w14:paraId="1CA37F7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008</w:t>
            </w:r>
            <w:r>
              <w:rPr>
                <w:rFonts w:ascii="Times New Roman" w:hAnsi="Times New Roman" w:eastAsia="宋体" w:cs="Times New Roman"/>
                <w:color w:val="000000" w:themeColor="text1"/>
                <w:sz w:val="21"/>
                <w:szCs w:val="21"/>
                <w14:textFill>
                  <w14:solidFill>
                    <w14:schemeClr w14:val="tx1"/>
                  </w14:solidFill>
                </w14:textFill>
              </w:rPr>
              <w:t>L</w:t>
            </w:r>
          </w:p>
        </w:tc>
        <w:tc>
          <w:tcPr>
            <w:tcW w:w="1245" w:type="dxa"/>
            <w:vAlign w:val="center"/>
          </w:tcPr>
          <w:p w14:paraId="475E259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01D5DE0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0.524~0.584</w:t>
            </w:r>
          </w:p>
        </w:tc>
        <w:tc>
          <w:tcPr>
            <w:tcW w:w="1562" w:type="dxa"/>
            <w:vAlign w:val="center"/>
          </w:tcPr>
          <w:p w14:paraId="04B2FB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6157B8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15~0.0017</w:t>
            </w:r>
          </w:p>
        </w:tc>
        <w:tc>
          <w:tcPr>
            <w:tcW w:w="816" w:type="dxa"/>
            <w:vAlign w:val="center"/>
          </w:tcPr>
          <w:p w14:paraId="7D3C2C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08902C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1E0D337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7B7C5CA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6CFB7F9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075B50C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5536925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29983E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50968E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632D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0A60248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256742B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576316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22512F1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1F88E29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616AAF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4EEB95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549AB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563AC1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2727383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26A3830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9E735A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66014C4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AD779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176EA11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0A27D21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4B2ABA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570A2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D1BB6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B2F9F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D16D28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1F98B03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FACCF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3A5F5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0D980C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5CC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62C6388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697426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27EF4BB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2237A3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4B9051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AA14F7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97293A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B9808A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72918A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47B061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0EA4DB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596B2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615CCF0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4080025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09E6643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69ED2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60D50E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7E603E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4E30F8D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7C7C31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59472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3AEF9E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59C7BC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2F45817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885B6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742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3F60FB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W1 双牌工业集中区</w:t>
            </w:r>
          </w:p>
          <w:p w14:paraId="068D206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入园上游1000m 断面</w:t>
            </w:r>
          </w:p>
        </w:tc>
        <w:tc>
          <w:tcPr>
            <w:tcW w:w="1048" w:type="dxa"/>
            <w:vMerge w:val="restart"/>
            <w:vAlign w:val="center"/>
          </w:tcPr>
          <w:p w14:paraId="6F201B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19</w:t>
            </w:r>
            <w:r>
              <w:rPr>
                <w:rFonts w:ascii="Times New Roman" w:hAnsi="Times New Roman" w:eastAsia="宋体" w:cs="Times New Roman"/>
                <w:color w:val="000000" w:themeColor="text1"/>
                <w:sz w:val="21"/>
                <w:szCs w:val="21"/>
                <w14:textFill>
                  <w14:solidFill>
                    <w14:schemeClr w14:val="tx1"/>
                  </w14:solidFill>
                </w14:textFill>
              </w:rPr>
              <w:t>~</w:t>
            </w:r>
          </w:p>
          <w:p w14:paraId="3DCEDDA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21</w:t>
            </w:r>
          </w:p>
        </w:tc>
        <w:tc>
          <w:tcPr>
            <w:tcW w:w="614" w:type="dxa"/>
            <w:vAlign w:val="center"/>
          </w:tcPr>
          <w:p w14:paraId="4419FDE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342E3D2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6.9</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852" w:type="dxa"/>
            <w:vAlign w:val="center"/>
          </w:tcPr>
          <w:p w14:paraId="6CED61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8.12</w:t>
            </w:r>
          </w:p>
        </w:tc>
        <w:tc>
          <w:tcPr>
            <w:tcW w:w="556" w:type="dxa"/>
            <w:vAlign w:val="center"/>
          </w:tcPr>
          <w:p w14:paraId="69C5452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14</w:t>
            </w:r>
          </w:p>
        </w:tc>
        <w:tc>
          <w:tcPr>
            <w:tcW w:w="556" w:type="dxa"/>
            <w:vAlign w:val="center"/>
          </w:tcPr>
          <w:p w14:paraId="4FF9DF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12</w:t>
            </w:r>
          </w:p>
        </w:tc>
        <w:tc>
          <w:tcPr>
            <w:tcW w:w="655" w:type="dxa"/>
            <w:vAlign w:val="center"/>
          </w:tcPr>
          <w:p w14:paraId="3FF57E8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0.9</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1.2</w:t>
            </w:r>
          </w:p>
        </w:tc>
        <w:tc>
          <w:tcPr>
            <w:tcW w:w="655" w:type="dxa"/>
            <w:vAlign w:val="center"/>
          </w:tcPr>
          <w:p w14:paraId="4804AFD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1048" w:type="dxa"/>
            <w:vAlign w:val="center"/>
          </w:tcPr>
          <w:p w14:paraId="76DA32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0.046~0.052</w:t>
            </w:r>
          </w:p>
        </w:tc>
        <w:tc>
          <w:tcPr>
            <w:tcW w:w="972" w:type="dxa"/>
            <w:vAlign w:val="center"/>
          </w:tcPr>
          <w:p w14:paraId="2BC5CF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0.01L</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1442" w:type="dxa"/>
            <w:vAlign w:val="center"/>
          </w:tcPr>
          <w:p w14:paraId="5EB9725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081~0.00084</w:t>
            </w:r>
          </w:p>
        </w:tc>
        <w:tc>
          <w:tcPr>
            <w:tcW w:w="1245" w:type="dxa"/>
            <w:vAlign w:val="center"/>
          </w:tcPr>
          <w:p w14:paraId="0B64BDC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32D0BE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0.064~0.074</w:t>
            </w:r>
          </w:p>
        </w:tc>
        <w:tc>
          <w:tcPr>
            <w:tcW w:w="1562" w:type="dxa"/>
            <w:vAlign w:val="center"/>
          </w:tcPr>
          <w:p w14:paraId="0D1E8F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68736E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816" w:type="dxa"/>
            <w:vAlign w:val="center"/>
          </w:tcPr>
          <w:p w14:paraId="2F6D7C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165D244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0E465F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3CDA41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1C0F3C1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0F8021F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41A470C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5C8841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72424A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32B5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590144C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20B9698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4123F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4B2C3A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7AC55A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02C4D7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EA3A32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26B78E8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6AE394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7B5991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4CBED3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FCCA4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78C0D2C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8644D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5AEDD81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1881D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DD28A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1117E6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772BE12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9689E6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D91D98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0F527F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AFA2C2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A7DA9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1EF41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0FDA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76429F5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74E70AA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E9121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00D073C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57F616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6BC718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65BC5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19BD0BD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047C3BC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2D0F1B9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37A31E5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07CFD45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4B10B9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BA2DB8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11CCA8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35E9F4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01110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9C52AD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C09B3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B3737D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066423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7E0735A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5A179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EB14C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2D065B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7149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46F103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W2双牌县污水处理厂排放口下游500m 断面</w:t>
            </w:r>
          </w:p>
        </w:tc>
        <w:tc>
          <w:tcPr>
            <w:tcW w:w="1048" w:type="dxa"/>
            <w:vMerge w:val="continue"/>
            <w:vAlign w:val="center"/>
          </w:tcPr>
          <w:p w14:paraId="272396C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B5CA28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4BD47C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w:t>
            </w:r>
          </w:p>
        </w:tc>
        <w:tc>
          <w:tcPr>
            <w:tcW w:w="852" w:type="dxa"/>
            <w:vAlign w:val="center"/>
          </w:tcPr>
          <w:p w14:paraId="31AD71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6.97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7.66</w:t>
            </w:r>
          </w:p>
        </w:tc>
        <w:tc>
          <w:tcPr>
            <w:tcW w:w="556" w:type="dxa"/>
            <w:vAlign w:val="center"/>
          </w:tcPr>
          <w:p w14:paraId="65F614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18</w:t>
            </w:r>
          </w:p>
        </w:tc>
        <w:tc>
          <w:tcPr>
            <w:tcW w:w="556" w:type="dxa"/>
            <w:vAlign w:val="center"/>
          </w:tcPr>
          <w:p w14:paraId="2C6E54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13</w:t>
            </w:r>
          </w:p>
        </w:tc>
        <w:tc>
          <w:tcPr>
            <w:tcW w:w="655" w:type="dxa"/>
            <w:vAlign w:val="center"/>
          </w:tcPr>
          <w:p w14:paraId="1FA9ED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1.6</w:t>
            </w:r>
          </w:p>
        </w:tc>
        <w:tc>
          <w:tcPr>
            <w:tcW w:w="655" w:type="dxa"/>
            <w:vAlign w:val="center"/>
          </w:tcPr>
          <w:p w14:paraId="54FAFDC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3.2</w:t>
            </w:r>
          </w:p>
        </w:tc>
        <w:tc>
          <w:tcPr>
            <w:tcW w:w="1048" w:type="dxa"/>
            <w:vAlign w:val="center"/>
          </w:tcPr>
          <w:p w14:paraId="3BE69F9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0.222~0.234</w:t>
            </w:r>
          </w:p>
        </w:tc>
        <w:tc>
          <w:tcPr>
            <w:tcW w:w="972" w:type="dxa"/>
            <w:vAlign w:val="center"/>
          </w:tcPr>
          <w:p w14:paraId="198678E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0.04</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1442" w:type="dxa"/>
            <w:vAlign w:val="center"/>
          </w:tcPr>
          <w:p w14:paraId="56D9A74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1245" w:type="dxa"/>
            <w:vAlign w:val="center"/>
          </w:tcPr>
          <w:p w14:paraId="76F291A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52CA85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0.110~0.127</w:t>
            </w:r>
          </w:p>
        </w:tc>
        <w:tc>
          <w:tcPr>
            <w:tcW w:w="1562" w:type="dxa"/>
            <w:vAlign w:val="center"/>
          </w:tcPr>
          <w:p w14:paraId="3E61947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40892E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816" w:type="dxa"/>
            <w:vAlign w:val="center"/>
          </w:tcPr>
          <w:p w14:paraId="69B8E2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74CF3AB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D0C003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6070AB9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5D74DF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67B700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72A05DE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0D3F6E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5577D59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77C8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3E6BF49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4E920B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3D7FE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205D05E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2BB81CE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13A77C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4B12ED2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3020F0C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7AC19C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7092E45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4E4EA8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3AB2BB4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75C660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66F83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0F100B7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59484E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DBCA13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8816D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84392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35835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A11283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4F416A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BA26F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1895E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E0A2F6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2076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6D395B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4C6E65B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4240F1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5082604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34B4D69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89850C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2660469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68147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388EC38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7EF6E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1781465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575139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077D25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701641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3B69A0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5E336FD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6563E2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59A6C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7044358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3C5FB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D464D4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D0F7F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69187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80DDD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6FA03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1AEF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7D241F6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W3五里牌水电站陶家渡大坝下游断面</w:t>
            </w:r>
          </w:p>
        </w:tc>
        <w:tc>
          <w:tcPr>
            <w:tcW w:w="1048" w:type="dxa"/>
            <w:vMerge w:val="continue"/>
            <w:vAlign w:val="center"/>
          </w:tcPr>
          <w:p w14:paraId="6DD667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541D7D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5A01EB2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6.9~7.1</w:t>
            </w:r>
          </w:p>
        </w:tc>
        <w:tc>
          <w:tcPr>
            <w:tcW w:w="852" w:type="dxa"/>
            <w:vAlign w:val="center"/>
          </w:tcPr>
          <w:p w14:paraId="16A7432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8.11</w:t>
            </w:r>
          </w:p>
        </w:tc>
        <w:tc>
          <w:tcPr>
            <w:tcW w:w="556" w:type="dxa"/>
            <w:vAlign w:val="center"/>
          </w:tcPr>
          <w:p w14:paraId="29C754E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18</w:t>
            </w:r>
          </w:p>
        </w:tc>
        <w:tc>
          <w:tcPr>
            <w:tcW w:w="556" w:type="dxa"/>
            <w:vAlign w:val="center"/>
          </w:tcPr>
          <w:p w14:paraId="5F101A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13</w:t>
            </w:r>
          </w:p>
        </w:tc>
        <w:tc>
          <w:tcPr>
            <w:tcW w:w="655" w:type="dxa"/>
            <w:vAlign w:val="center"/>
          </w:tcPr>
          <w:p w14:paraId="07CDB84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1.6</w:t>
            </w:r>
          </w:p>
        </w:tc>
        <w:tc>
          <w:tcPr>
            <w:tcW w:w="655" w:type="dxa"/>
            <w:vAlign w:val="center"/>
          </w:tcPr>
          <w:p w14:paraId="7A23D1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3.2</w:t>
            </w:r>
          </w:p>
        </w:tc>
        <w:tc>
          <w:tcPr>
            <w:tcW w:w="1048" w:type="dxa"/>
            <w:vAlign w:val="center"/>
          </w:tcPr>
          <w:p w14:paraId="4B1D04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0.065~0.069</w:t>
            </w:r>
          </w:p>
        </w:tc>
        <w:tc>
          <w:tcPr>
            <w:tcW w:w="972" w:type="dxa"/>
            <w:vAlign w:val="center"/>
          </w:tcPr>
          <w:p w14:paraId="333978D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6</w:t>
            </w:r>
          </w:p>
        </w:tc>
        <w:tc>
          <w:tcPr>
            <w:tcW w:w="1442" w:type="dxa"/>
            <w:vAlign w:val="center"/>
          </w:tcPr>
          <w:p w14:paraId="3EDDF5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0.00081~0.00084</w:t>
            </w:r>
          </w:p>
        </w:tc>
        <w:tc>
          <w:tcPr>
            <w:tcW w:w="1245" w:type="dxa"/>
            <w:vAlign w:val="center"/>
          </w:tcPr>
          <w:p w14:paraId="643317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17127C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0.064~0.074</w:t>
            </w:r>
          </w:p>
        </w:tc>
        <w:tc>
          <w:tcPr>
            <w:tcW w:w="1562" w:type="dxa"/>
            <w:vAlign w:val="center"/>
          </w:tcPr>
          <w:p w14:paraId="3B4E9B2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51A252C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816" w:type="dxa"/>
            <w:vAlign w:val="center"/>
          </w:tcPr>
          <w:p w14:paraId="5B4F481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0B8D1D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3FB7693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7A4BF26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E9FB66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60249A6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7744423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10AD78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69F945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2EE0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02D4E4C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3C59E79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601717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70EA93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722C6C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2D4E657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397A89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C2BE70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1B4AAB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A9570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71FF58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BF61B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5B7A9FA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A4C3A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2963FFB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C5523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95155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03AC4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987A4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3AFD6D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BD2861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266F2E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24C081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9DEF84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9E69B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4B2B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770BAE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162D02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7BEEA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522C25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02A4EAE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BD4F9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4805C2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4B5B5E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0B3EB33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7F6EB4E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551ECCE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19A84CD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68984B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59D78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7516833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BB4F77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887C2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B40F3A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45CFE4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3704C2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626B0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543EAD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9958D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9530B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1EBB92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2307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51899AB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W1 双牌工业集中区</w:t>
            </w:r>
          </w:p>
          <w:p w14:paraId="270090D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入园上游1000m 断面</w:t>
            </w:r>
          </w:p>
        </w:tc>
        <w:tc>
          <w:tcPr>
            <w:tcW w:w="1048" w:type="dxa"/>
            <w:vMerge w:val="restart"/>
            <w:vAlign w:val="center"/>
          </w:tcPr>
          <w:p w14:paraId="5BC1F4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w:t>
            </w:r>
          </w:p>
          <w:p w14:paraId="3ACDD5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614" w:type="dxa"/>
            <w:vAlign w:val="center"/>
          </w:tcPr>
          <w:p w14:paraId="0589300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7B0401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7.2~7.6</w:t>
            </w:r>
          </w:p>
        </w:tc>
        <w:tc>
          <w:tcPr>
            <w:tcW w:w="852" w:type="dxa"/>
            <w:vAlign w:val="center"/>
          </w:tcPr>
          <w:p w14:paraId="63CB310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7.02</w:t>
            </w:r>
          </w:p>
        </w:tc>
        <w:tc>
          <w:tcPr>
            <w:tcW w:w="556" w:type="dxa"/>
            <w:vAlign w:val="center"/>
          </w:tcPr>
          <w:p w14:paraId="05248F1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14</w:t>
            </w:r>
          </w:p>
        </w:tc>
        <w:tc>
          <w:tcPr>
            <w:tcW w:w="556" w:type="dxa"/>
            <w:vAlign w:val="center"/>
          </w:tcPr>
          <w:p w14:paraId="669346D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655" w:type="dxa"/>
            <w:vAlign w:val="center"/>
          </w:tcPr>
          <w:p w14:paraId="3B128BB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4.7</w:t>
            </w:r>
          </w:p>
        </w:tc>
        <w:tc>
          <w:tcPr>
            <w:tcW w:w="655" w:type="dxa"/>
            <w:vAlign w:val="center"/>
          </w:tcPr>
          <w:p w14:paraId="5187AA6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3.2</w:t>
            </w:r>
          </w:p>
        </w:tc>
        <w:tc>
          <w:tcPr>
            <w:tcW w:w="1048" w:type="dxa"/>
            <w:vAlign w:val="center"/>
          </w:tcPr>
          <w:p w14:paraId="5CA001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0.053~0.059</w:t>
            </w:r>
          </w:p>
        </w:tc>
        <w:tc>
          <w:tcPr>
            <w:tcW w:w="972" w:type="dxa"/>
            <w:vAlign w:val="center"/>
          </w:tcPr>
          <w:p w14:paraId="015780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0.04</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1442" w:type="dxa"/>
            <w:vAlign w:val="center"/>
          </w:tcPr>
          <w:p w14:paraId="14D6E2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1245" w:type="dxa"/>
            <w:vAlign w:val="center"/>
          </w:tcPr>
          <w:p w14:paraId="12AB33A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4CE9DA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0.324~0.359</w:t>
            </w:r>
          </w:p>
        </w:tc>
        <w:tc>
          <w:tcPr>
            <w:tcW w:w="1562" w:type="dxa"/>
            <w:vAlign w:val="center"/>
          </w:tcPr>
          <w:p w14:paraId="426CC1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0.00041L~0.00138</w:t>
            </w:r>
          </w:p>
        </w:tc>
        <w:tc>
          <w:tcPr>
            <w:tcW w:w="1442" w:type="dxa"/>
            <w:vAlign w:val="center"/>
          </w:tcPr>
          <w:p w14:paraId="614B1B3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0.00121~0.00138</w:t>
            </w:r>
          </w:p>
        </w:tc>
        <w:tc>
          <w:tcPr>
            <w:tcW w:w="816" w:type="dxa"/>
            <w:vAlign w:val="center"/>
          </w:tcPr>
          <w:p w14:paraId="1960D02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321E05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4BBE14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76BE65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013A013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294CB82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7F41739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0CFCD29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5A26F1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6062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766CF2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4CB1A74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566B157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6522C1A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016B2A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073962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F924A7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A40AE6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4E70B4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4CEA2A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1643183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2705DD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27006C2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56425DC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4B1553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0C2F0B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3D1E0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5919EE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5E88B5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D9ECC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02722D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48706E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C3A70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90C8CD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1832D0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4EF4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3860ED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7981373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6D2FA0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571DF9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340B17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2886E3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59C4921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525C7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757129A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1157A04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69AC3E5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0FDFC6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16BCC62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30A5DD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1FBF109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FEC6AF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2BD148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6DAE39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659A85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89BE9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306AC8A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0BA14D9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629A0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609916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781B6B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2F5E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1A2929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bookmarkStart w:id="27" w:name="_Hlk221180018"/>
            <w:r>
              <w:rPr>
                <w:rFonts w:ascii="Times New Roman" w:hAnsi="Times New Roman" w:eastAsia="宋体" w:cs="Times New Roman"/>
                <w:color w:val="000000" w:themeColor="text1"/>
                <w:sz w:val="21"/>
                <w:szCs w:val="21"/>
                <w14:textFill>
                  <w14:solidFill>
                    <w14:schemeClr w14:val="tx1"/>
                  </w14:solidFill>
                </w14:textFill>
              </w:rPr>
              <w:t>W2双牌县污水处理厂排放口下游500m 断面</w:t>
            </w:r>
          </w:p>
        </w:tc>
        <w:tc>
          <w:tcPr>
            <w:tcW w:w="1048" w:type="dxa"/>
            <w:vMerge w:val="continue"/>
            <w:vAlign w:val="center"/>
          </w:tcPr>
          <w:p w14:paraId="3824F3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7C8C6B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320D6EA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7.3~7.5</w:t>
            </w:r>
          </w:p>
        </w:tc>
        <w:tc>
          <w:tcPr>
            <w:tcW w:w="852" w:type="dxa"/>
            <w:vAlign w:val="center"/>
          </w:tcPr>
          <w:p w14:paraId="485BAE0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7.16</w:t>
            </w:r>
          </w:p>
        </w:tc>
        <w:tc>
          <w:tcPr>
            <w:tcW w:w="556" w:type="dxa"/>
            <w:vAlign w:val="center"/>
          </w:tcPr>
          <w:p w14:paraId="002F16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17</w:t>
            </w:r>
          </w:p>
        </w:tc>
        <w:tc>
          <w:tcPr>
            <w:tcW w:w="556" w:type="dxa"/>
            <w:vAlign w:val="center"/>
          </w:tcPr>
          <w:p w14:paraId="2990907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8</w:t>
            </w:r>
          </w:p>
        </w:tc>
        <w:tc>
          <w:tcPr>
            <w:tcW w:w="655" w:type="dxa"/>
            <w:vAlign w:val="center"/>
          </w:tcPr>
          <w:p w14:paraId="2A0403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4.8</w:t>
            </w:r>
          </w:p>
        </w:tc>
        <w:tc>
          <w:tcPr>
            <w:tcW w:w="655" w:type="dxa"/>
            <w:vAlign w:val="center"/>
          </w:tcPr>
          <w:p w14:paraId="76FF54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3.4</w:t>
            </w:r>
          </w:p>
        </w:tc>
        <w:tc>
          <w:tcPr>
            <w:tcW w:w="1048" w:type="dxa"/>
            <w:vAlign w:val="center"/>
          </w:tcPr>
          <w:p w14:paraId="3C57917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0.059~0.062</w:t>
            </w:r>
          </w:p>
        </w:tc>
        <w:tc>
          <w:tcPr>
            <w:tcW w:w="972" w:type="dxa"/>
            <w:vAlign w:val="center"/>
          </w:tcPr>
          <w:p w14:paraId="0673C25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0.03</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1442" w:type="dxa"/>
            <w:vAlign w:val="center"/>
          </w:tcPr>
          <w:p w14:paraId="21F279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1245" w:type="dxa"/>
            <w:vAlign w:val="center"/>
          </w:tcPr>
          <w:p w14:paraId="6E2F595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298437E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0.623~0.633</w:t>
            </w:r>
          </w:p>
        </w:tc>
        <w:tc>
          <w:tcPr>
            <w:tcW w:w="1562" w:type="dxa"/>
            <w:vAlign w:val="center"/>
          </w:tcPr>
          <w:p w14:paraId="506066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1D3E1D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0.00116~0.00133</w:t>
            </w:r>
          </w:p>
        </w:tc>
        <w:tc>
          <w:tcPr>
            <w:tcW w:w="816" w:type="dxa"/>
            <w:vAlign w:val="center"/>
          </w:tcPr>
          <w:p w14:paraId="7304690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0B3F32A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1287E29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020CF9E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6DCB39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1BE388E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03088C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79F05DD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154C68D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bookmarkEnd w:id="27"/>
      <w:tr w14:paraId="5693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57EC7F9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26E6D3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0059A3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09EB72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28885DD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12844D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89720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58B4E84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2F3FB65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A4343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4190F16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088BE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48FD36A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352793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4A44B56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48F0FF4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607DF0C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5A89EB2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780F75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42C3D3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30348C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6AF501A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44C9F4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A8687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35FA18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540D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7CBE58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2D5E3B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316A6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6706598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79A464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2C2D71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7C242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726BFA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3388538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FF8AAD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51BE192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04D79F0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5EFB6E7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6EC965D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3F54625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234E567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F56D99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1E518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1CF30A0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2D4F3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2E89B0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7348A7A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4555D71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9286F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F4F662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0D1B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restart"/>
            <w:vAlign w:val="center"/>
          </w:tcPr>
          <w:p w14:paraId="31E631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W3五里牌水电站陶家渡大坝下游断面</w:t>
            </w:r>
          </w:p>
        </w:tc>
        <w:tc>
          <w:tcPr>
            <w:tcW w:w="1048" w:type="dxa"/>
            <w:vMerge w:val="continue"/>
            <w:vAlign w:val="center"/>
          </w:tcPr>
          <w:p w14:paraId="670DF1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CEC1D4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655" w:type="dxa"/>
            <w:vAlign w:val="center"/>
          </w:tcPr>
          <w:p w14:paraId="292D0E0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7.2~7.5</w:t>
            </w:r>
          </w:p>
        </w:tc>
        <w:tc>
          <w:tcPr>
            <w:tcW w:w="852" w:type="dxa"/>
            <w:vAlign w:val="center"/>
          </w:tcPr>
          <w:p w14:paraId="407F1FF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7.09</w:t>
            </w:r>
          </w:p>
        </w:tc>
        <w:tc>
          <w:tcPr>
            <w:tcW w:w="556" w:type="dxa"/>
            <w:vAlign w:val="center"/>
          </w:tcPr>
          <w:p w14:paraId="67F949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17</w:t>
            </w:r>
          </w:p>
        </w:tc>
        <w:tc>
          <w:tcPr>
            <w:tcW w:w="556" w:type="dxa"/>
            <w:vAlign w:val="center"/>
          </w:tcPr>
          <w:p w14:paraId="618F25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655" w:type="dxa"/>
            <w:vAlign w:val="center"/>
          </w:tcPr>
          <w:p w14:paraId="4B9E04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4.8</w:t>
            </w:r>
          </w:p>
        </w:tc>
        <w:tc>
          <w:tcPr>
            <w:tcW w:w="655" w:type="dxa"/>
            <w:vAlign w:val="center"/>
          </w:tcPr>
          <w:p w14:paraId="0831B92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3.6</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3.7</w:t>
            </w:r>
          </w:p>
        </w:tc>
        <w:tc>
          <w:tcPr>
            <w:tcW w:w="1048" w:type="dxa"/>
            <w:vAlign w:val="center"/>
          </w:tcPr>
          <w:p w14:paraId="7697AC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0.072~0.074</w:t>
            </w:r>
          </w:p>
        </w:tc>
        <w:tc>
          <w:tcPr>
            <w:tcW w:w="972" w:type="dxa"/>
            <w:vAlign w:val="center"/>
          </w:tcPr>
          <w:p w14:paraId="33D4076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7</w:t>
            </w:r>
          </w:p>
        </w:tc>
        <w:tc>
          <w:tcPr>
            <w:tcW w:w="1442" w:type="dxa"/>
            <w:vAlign w:val="center"/>
          </w:tcPr>
          <w:p w14:paraId="682CDB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1245" w:type="dxa"/>
            <w:vAlign w:val="center"/>
          </w:tcPr>
          <w:p w14:paraId="1BF72C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067</w:t>
            </w:r>
            <w:r>
              <w:rPr>
                <w:rFonts w:ascii="Times New Roman" w:hAnsi="Times New Roman" w:eastAsia="宋体" w:cs="Times New Roman"/>
                <w:color w:val="000000" w:themeColor="text1"/>
                <w:sz w:val="21"/>
                <w:szCs w:val="21"/>
                <w14:textFill>
                  <w14:solidFill>
                    <w14:schemeClr w14:val="tx1"/>
                  </w14:solidFill>
                </w14:textFill>
              </w:rPr>
              <w:t>L</w:t>
            </w:r>
          </w:p>
        </w:tc>
        <w:tc>
          <w:tcPr>
            <w:tcW w:w="1048" w:type="dxa"/>
            <w:vAlign w:val="center"/>
          </w:tcPr>
          <w:p w14:paraId="747B4BC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0.565~0.577</w:t>
            </w:r>
          </w:p>
        </w:tc>
        <w:tc>
          <w:tcPr>
            <w:tcW w:w="1562" w:type="dxa"/>
            <w:vAlign w:val="center"/>
          </w:tcPr>
          <w:p w14:paraId="3916452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0.00041L</w:t>
            </w:r>
          </w:p>
        </w:tc>
        <w:tc>
          <w:tcPr>
            <w:tcW w:w="1442" w:type="dxa"/>
            <w:vAlign w:val="center"/>
          </w:tcPr>
          <w:p w14:paraId="266847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0.00020~0.00023</w:t>
            </w:r>
          </w:p>
        </w:tc>
        <w:tc>
          <w:tcPr>
            <w:tcW w:w="816" w:type="dxa"/>
            <w:vAlign w:val="center"/>
          </w:tcPr>
          <w:p w14:paraId="098B10C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0.00004L</w:t>
            </w:r>
          </w:p>
        </w:tc>
        <w:tc>
          <w:tcPr>
            <w:tcW w:w="816" w:type="dxa"/>
            <w:vAlign w:val="center"/>
          </w:tcPr>
          <w:p w14:paraId="370E722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05</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403D812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0.004L</w:t>
            </w:r>
          </w:p>
        </w:tc>
        <w:tc>
          <w:tcPr>
            <w:tcW w:w="816" w:type="dxa"/>
            <w:vAlign w:val="center"/>
          </w:tcPr>
          <w:p w14:paraId="128FB5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009</w:t>
            </w:r>
            <w:r>
              <w:rPr>
                <w:rFonts w:ascii="Times New Roman" w:hAnsi="Times New Roman" w:eastAsia="宋体" w:cs="Times New Roman"/>
                <w:color w:val="000000" w:themeColor="text1"/>
                <w:sz w:val="21"/>
                <w:szCs w:val="21"/>
                <w14:textFill>
                  <w14:solidFill>
                    <w14:schemeClr w14:val="tx1"/>
                  </w14:solidFill>
                </w14:textFill>
              </w:rPr>
              <w:t>L</w:t>
            </w:r>
          </w:p>
        </w:tc>
        <w:tc>
          <w:tcPr>
            <w:tcW w:w="619" w:type="dxa"/>
            <w:vAlign w:val="center"/>
          </w:tcPr>
          <w:p w14:paraId="2E3B08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L</w:t>
            </w:r>
          </w:p>
        </w:tc>
        <w:tc>
          <w:tcPr>
            <w:tcW w:w="718" w:type="dxa"/>
            <w:vAlign w:val="center"/>
          </w:tcPr>
          <w:p w14:paraId="29BFC48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0.0003L</w:t>
            </w:r>
          </w:p>
        </w:tc>
        <w:tc>
          <w:tcPr>
            <w:tcW w:w="521" w:type="dxa"/>
            <w:vAlign w:val="center"/>
          </w:tcPr>
          <w:p w14:paraId="3CE30A9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c>
          <w:tcPr>
            <w:tcW w:w="521" w:type="dxa"/>
            <w:vAlign w:val="center"/>
          </w:tcPr>
          <w:p w14:paraId="6D1B23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0.05L</w:t>
            </w:r>
          </w:p>
        </w:tc>
        <w:tc>
          <w:tcPr>
            <w:tcW w:w="521" w:type="dxa"/>
            <w:vAlign w:val="center"/>
          </w:tcPr>
          <w:p w14:paraId="4523E5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0.01L</w:t>
            </w:r>
          </w:p>
        </w:tc>
      </w:tr>
      <w:tr w14:paraId="7564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0160615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69820AC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3CE3A6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655" w:type="dxa"/>
            <w:vAlign w:val="center"/>
          </w:tcPr>
          <w:p w14:paraId="04724D0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3002AA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7157258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74812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2F2CE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17E88C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4F5AEEE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6E8B6BE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75B77D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1B4D9FC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BF660F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05F1CF6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28AD56D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1CE93C1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3AB30A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1B45E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FA7D5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64BA007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4EB184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B44E6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6D3CCFF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5102D9A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3486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4" w:type="dxa"/>
            <w:vMerge w:val="continue"/>
            <w:vAlign w:val="center"/>
          </w:tcPr>
          <w:p w14:paraId="2BCEE7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048" w:type="dxa"/>
            <w:vMerge w:val="continue"/>
            <w:vAlign w:val="center"/>
          </w:tcPr>
          <w:p w14:paraId="3B8FCDC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614" w:type="dxa"/>
            <w:vAlign w:val="center"/>
          </w:tcPr>
          <w:p w14:paraId="16D54A9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655" w:type="dxa"/>
            <w:vAlign w:val="center"/>
          </w:tcPr>
          <w:p w14:paraId="0F9A744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52" w:type="dxa"/>
            <w:vAlign w:val="center"/>
          </w:tcPr>
          <w:p w14:paraId="336B3B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33D6A5C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56" w:type="dxa"/>
            <w:vAlign w:val="center"/>
          </w:tcPr>
          <w:p w14:paraId="4CA3461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2EC4EF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55" w:type="dxa"/>
            <w:vAlign w:val="center"/>
          </w:tcPr>
          <w:p w14:paraId="5420C60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85956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972" w:type="dxa"/>
            <w:vAlign w:val="center"/>
          </w:tcPr>
          <w:p w14:paraId="66585E8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672FBF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245" w:type="dxa"/>
            <w:vAlign w:val="center"/>
          </w:tcPr>
          <w:p w14:paraId="2DD29C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048" w:type="dxa"/>
            <w:vAlign w:val="center"/>
          </w:tcPr>
          <w:p w14:paraId="03D8C4C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562" w:type="dxa"/>
            <w:vAlign w:val="center"/>
          </w:tcPr>
          <w:p w14:paraId="2E0278E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442" w:type="dxa"/>
            <w:vAlign w:val="center"/>
          </w:tcPr>
          <w:p w14:paraId="2FE562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0DFA08A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4C29F9B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15D59D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816" w:type="dxa"/>
            <w:vAlign w:val="center"/>
          </w:tcPr>
          <w:p w14:paraId="754C52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619" w:type="dxa"/>
            <w:vAlign w:val="center"/>
          </w:tcPr>
          <w:p w14:paraId="0C0E06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718" w:type="dxa"/>
            <w:vAlign w:val="center"/>
          </w:tcPr>
          <w:p w14:paraId="111C67F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9CC63A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011845C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521" w:type="dxa"/>
            <w:vAlign w:val="center"/>
          </w:tcPr>
          <w:p w14:paraId="1B3AA98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r>
      <w:tr w14:paraId="2997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66" w:type="dxa"/>
            <w:gridSpan w:val="3"/>
            <w:vAlign w:val="center"/>
          </w:tcPr>
          <w:p w14:paraId="2AF5371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III类标准</w:t>
            </w:r>
          </w:p>
        </w:tc>
        <w:tc>
          <w:tcPr>
            <w:tcW w:w="655" w:type="dxa"/>
            <w:vAlign w:val="center"/>
          </w:tcPr>
          <w:p w14:paraId="1C5029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6~9</w:t>
            </w:r>
          </w:p>
        </w:tc>
        <w:tc>
          <w:tcPr>
            <w:tcW w:w="852" w:type="dxa"/>
            <w:vAlign w:val="center"/>
          </w:tcPr>
          <w:p w14:paraId="4A4724D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556" w:type="dxa"/>
            <w:vAlign w:val="center"/>
          </w:tcPr>
          <w:p w14:paraId="265DAE6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w:t>
            </w:r>
          </w:p>
        </w:tc>
        <w:tc>
          <w:tcPr>
            <w:tcW w:w="556" w:type="dxa"/>
            <w:vAlign w:val="center"/>
          </w:tcPr>
          <w:p w14:paraId="72F96B0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655" w:type="dxa"/>
            <w:vAlign w:val="center"/>
          </w:tcPr>
          <w:p w14:paraId="658CE1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w:t>
            </w:r>
          </w:p>
        </w:tc>
        <w:tc>
          <w:tcPr>
            <w:tcW w:w="655" w:type="dxa"/>
            <w:vAlign w:val="center"/>
          </w:tcPr>
          <w:p w14:paraId="68B9E7A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1048" w:type="dxa"/>
            <w:vAlign w:val="center"/>
          </w:tcPr>
          <w:p w14:paraId="3EFA15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972" w:type="dxa"/>
            <w:vAlign w:val="center"/>
          </w:tcPr>
          <w:p w14:paraId="1B25B1B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w:t>
            </w:r>
          </w:p>
        </w:tc>
        <w:tc>
          <w:tcPr>
            <w:tcW w:w="1442" w:type="dxa"/>
            <w:vAlign w:val="center"/>
          </w:tcPr>
          <w:p w14:paraId="101F07E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w:t>
            </w:r>
          </w:p>
        </w:tc>
        <w:tc>
          <w:tcPr>
            <w:tcW w:w="1245" w:type="dxa"/>
            <w:vAlign w:val="center"/>
          </w:tcPr>
          <w:p w14:paraId="117E13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w:t>
            </w:r>
          </w:p>
        </w:tc>
        <w:tc>
          <w:tcPr>
            <w:tcW w:w="1048" w:type="dxa"/>
            <w:vAlign w:val="center"/>
          </w:tcPr>
          <w:p w14:paraId="2CB0FBB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w:t>
            </w:r>
          </w:p>
        </w:tc>
        <w:tc>
          <w:tcPr>
            <w:tcW w:w="1562" w:type="dxa"/>
            <w:vAlign w:val="center"/>
          </w:tcPr>
          <w:p w14:paraId="1CB622D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w:t>
            </w:r>
          </w:p>
        </w:tc>
        <w:tc>
          <w:tcPr>
            <w:tcW w:w="1442" w:type="dxa"/>
            <w:vAlign w:val="center"/>
          </w:tcPr>
          <w:p w14:paraId="1263F0F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w:t>
            </w:r>
          </w:p>
        </w:tc>
        <w:tc>
          <w:tcPr>
            <w:tcW w:w="816" w:type="dxa"/>
            <w:vAlign w:val="center"/>
          </w:tcPr>
          <w:p w14:paraId="1F1F2F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0.0001</w:t>
            </w:r>
          </w:p>
        </w:tc>
        <w:tc>
          <w:tcPr>
            <w:tcW w:w="816" w:type="dxa"/>
            <w:vAlign w:val="center"/>
          </w:tcPr>
          <w:p w14:paraId="0A5C2B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0.005</w:t>
            </w:r>
          </w:p>
        </w:tc>
        <w:tc>
          <w:tcPr>
            <w:tcW w:w="619" w:type="dxa"/>
            <w:vAlign w:val="center"/>
          </w:tcPr>
          <w:p w14:paraId="0D097F3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w:t>
            </w:r>
          </w:p>
        </w:tc>
        <w:tc>
          <w:tcPr>
            <w:tcW w:w="816" w:type="dxa"/>
            <w:vAlign w:val="center"/>
          </w:tcPr>
          <w:p w14:paraId="4063153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w:t>
            </w:r>
          </w:p>
        </w:tc>
        <w:tc>
          <w:tcPr>
            <w:tcW w:w="619" w:type="dxa"/>
            <w:vAlign w:val="center"/>
          </w:tcPr>
          <w:p w14:paraId="343282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w:t>
            </w:r>
          </w:p>
        </w:tc>
        <w:tc>
          <w:tcPr>
            <w:tcW w:w="718" w:type="dxa"/>
            <w:vAlign w:val="center"/>
          </w:tcPr>
          <w:p w14:paraId="10D785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0.005</w:t>
            </w:r>
          </w:p>
        </w:tc>
        <w:tc>
          <w:tcPr>
            <w:tcW w:w="521" w:type="dxa"/>
            <w:vAlign w:val="center"/>
          </w:tcPr>
          <w:p w14:paraId="3717B0C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0.05</w:t>
            </w:r>
          </w:p>
        </w:tc>
        <w:tc>
          <w:tcPr>
            <w:tcW w:w="521" w:type="dxa"/>
            <w:vAlign w:val="center"/>
          </w:tcPr>
          <w:p w14:paraId="22E52A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w:t>
            </w:r>
          </w:p>
        </w:tc>
        <w:tc>
          <w:tcPr>
            <w:tcW w:w="521" w:type="dxa"/>
            <w:vAlign w:val="center"/>
          </w:tcPr>
          <w:p w14:paraId="4CA679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w:t>
            </w:r>
          </w:p>
        </w:tc>
      </w:tr>
    </w:tbl>
    <w:p w14:paraId="30A3D57B">
      <w:pPr>
        <w:pStyle w:val="2"/>
        <w:snapToGrid w:val="0"/>
        <w:ind w:firstLine="560"/>
        <w:jc w:val="center"/>
        <w:rPr>
          <w:rFonts w:hint="eastAsia" w:ascii="楷体_GB2312" w:hAnsi="楷体_GB2312" w:eastAsia="楷体_GB2312" w:cs="楷体_GB2312"/>
          <w:color w:val="000000" w:themeColor="text1"/>
          <w:szCs w:val="32"/>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表</w:t>
      </w:r>
      <w:r>
        <w:rPr>
          <w:rFonts w:hint="eastAsia" w:ascii="黑体" w:hAnsi="黑体" w:eastAsia="黑体"/>
          <w:color w:val="000000" w:themeColor="text1"/>
          <w:sz w:val="28"/>
          <w:szCs w:val="28"/>
          <w14:textFill>
            <w14:solidFill>
              <w14:schemeClr w14:val="tx1"/>
            </w14:solidFill>
          </w14:textFill>
        </w:rPr>
        <w:t>8</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地下水环境监测结果一览表    单位：mg/L（pH值无量纲、总大肠菌群为</w:t>
      </w:r>
      <w:r>
        <w:rPr>
          <w:rFonts w:ascii="黑体" w:hAnsi="黑体" w:eastAsia="黑体"/>
          <w:color w:val="000000" w:themeColor="text1"/>
          <w:sz w:val="28"/>
          <w:szCs w:val="28"/>
          <w14:textFill>
            <w14:solidFill>
              <w14:schemeClr w14:val="tx1"/>
            </w14:solidFill>
          </w14:textFill>
        </w:rPr>
        <w:t>MPNb/100mL</w:t>
      </w:r>
      <w:r>
        <w:rPr>
          <w:rFonts w:hint="eastAsia" w:ascii="黑体" w:hAnsi="黑体" w:eastAsia="黑体"/>
          <w:color w:val="000000" w:themeColor="text1"/>
          <w:sz w:val="28"/>
          <w:szCs w:val="28"/>
          <w14:textFill>
            <w14:solidFill>
              <w14:schemeClr w14:val="tx1"/>
            </w14:solidFill>
          </w14:textFill>
        </w:rPr>
        <w:t>、菌落总数</w:t>
      </w:r>
      <w:r>
        <w:rPr>
          <w:rFonts w:ascii="黑体" w:hAnsi="黑体" w:eastAsia="黑体"/>
          <w:color w:val="000000" w:themeColor="text1"/>
          <w:sz w:val="28"/>
          <w:szCs w:val="28"/>
          <w14:textFill>
            <w14:solidFill>
              <w14:schemeClr w14:val="tx1"/>
            </w14:solidFill>
          </w14:textFill>
        </w:rPr>
        <w:t>CFU/mL</w:t>
      </w:r>
      <w:r>
        <w:rPr>
          <w:rFonts w:hint="eastAsia" w:ascii="黑体" w:hAnsi="黑体" w:eastAsia="黑体"/>
          <w:color w:val="000000" w:themeColor="text1"/>
          <w:sz w:val="28"/>
          <w:szCs w:val="28"/>
          <w14:textFill>
            <w14:solidFill>
              <w14:schemeClr w14:val="tx1"/>
            </w14:solidFill>
          </w14:textFill>
        </w:rP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13"/>
        <w:gridCol w:w="1115"/>
        <w:gridCol w:w="651"/>
        <w:gridCol w:w="695"/>
        <w:gridCol w:w="800"/>
        <w:gridCol w:w="905"/>
        <w:gridCol w:w="1115"/>
        <w:gridCol w:w="1115"/>
        <w:gridCol w:w="657"/>
        <w:gridCol w:w="1326"/>
        <w:gridCol w:w="1115"/>
        <w:gridCol w:w="762"/>
        <w:gridCol w:w="867"/>
        <w:gridCol w:w="867"/>
        <w:gridCol w:w="859"/>
        <w:gridCol w:w="928"/>
        <w:gridCol w:w="1326"/>
        <w:gridCol w:w="1536"/>
        <w:gridCol w:w="1536"/>
        <w:gridCol w:w="867"/>
        <w:gridCol w:w="319"/>
        <w:gridCol w:w="590"/>
        <w:gridCol w:w="657"/>
      </w:tblGrid>
      <w:tr w14:paraId="4F1D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Align w:val="center"/>
          </w:tcPr>
          <w:p w14:paraId="1841972B">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采样点位</w:t>
            </w:r>
          </w:p>
        </w:tc>
        <w:tc>
          <w:tcPr>
            <w:tcW w:w="266" w:type="pct"/>
            <w:vAlign w:val="center"/>
          </w:tcPr>
          <w:p w14:paraId="27510B0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检测时间</w:t>
            </w:r>
          </w:p>
        </w:tc>
        <w:tc>
          <w:tcPr>
            <w:tcW w:w="156" w:type="pct"/>
            <w:vAlign w:val="center"/>
          </w:tcPr>
          <w:p w14:paraId="6B213DDF">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项目</w:t>
            </w:r>
          </w:p>
        </w:tc>
        <w:tc>
          <w:tcPr>
            <w:tcW w:w="166" w:type="pct"/>
            <w:vAlign w:val="center"/>
          </w:tcPr>
          <w:p w14:paraId="754F7989">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pH</w:t>
            </w:r>
          </w:p>
        </w:tc>
        <w:tc>
          <w:tcPr>
            <w:tcW w:w="191" w:type="pct"/>
            <w:vAlign w:val="center"/>
          </w:tcPr>
          <w:p w14:paraId="04F681C5">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总硬度</w:t>
            </w:r>
          </w:p>
        </w:tc>
        <w:tc>
          <w:tcPr>
            <w:tcW w:w="216" w:type="pct"/>
            <w:vAlign w:val="center"/>
          </w:tcPr>
          <w:p w14:paraId="7FDD25EC">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耗氧量</w:t>
            </w:r>
          </w:p>
        </w:tc>
        <w:tc>
          <w:tcPr>
            <w:tcW w:w="266" w:type="pct"/>
            <w:vAlign w:val="center"/>
          </w:tcPr>
          <w:p w14:paraId="6204DA40">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氨氮</w:t>
            </w:r>
          </w:p>
        </w:tc>
        <w:tc>
          <w:tcPr>
            <w:tcW w:w="266" w:type="pct"/>
            <w:vAlign w:val="center"/>
          </w:tcPr>
          <w:p w14:paraId="6F35AB7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硝酸盐（以N 计）</w:t>
            </w:r>
          </w:p>
        </w:tc>
        <w:tc>
          <w:tcPr>
            <w:tcW w:w="157" w:type="pct"/>
            <w:vAlign w:val="center"/>
          </w:tcPr>
          <w:p w14:paraId="79006C8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亚硝酸盐（以N 计）</w:t>
            </w:r>
          </w:p>
        </w:tc>
        <w:tc>
          <w:tcPr>
            <w:tcW w:w="317" w:type="pct"/>
            <w:vAlign w:val="center"/>
          </w:tcPr>
          <w:p w14:paraId="2050E8D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锰</w:t>
            </w:r>
          </w:p>
        </w:tc>
        <w:tc>
          <w:tcPr>
            <w:tcW w:w="266" w:type="pct"/>
            <w:vAlign w:val="center"/>
          </w:tcPr>
          <w:p w14:paraId="5B013993">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氟化物</w:t>
            </w:r>
          </w:p>
        </w:tc>
        <w:tc>
          <w:tcPr>
            <w:tcW w:w="182" w:type="pct"/>
            <w:vAlign w:val="center"/>
          </w:tcPr>
          <w:p w14:paraId="590AA274">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挥发酚</w:t>
            </w:r>
          </w:p>
        </w:tc>
        <w:tc>
          <w:tcPr>
            <w:tcW w:w="207" w:type="pct"/>
            <w:vAlign w:val="center"/>
          </w:tcPr>
          <w:p w14:paraId="0807251E">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铅</w:t>
            </w:r>
          </w:p>
        </w:tc>
        <w:tc>
          <w:tcPr>
            <w:tcW w:w="207" w:type="pct"/>
            <w:vAlign w:val="center"/>
          </w:tcPr>
          <w:p w14:paraId="1527B5BC">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汞</w:t>
            </w:r>
          </w:p>
        </w:tc>
        <w:tc>
          <w:tcPr>
            <w:tcW w:w="205" w:type="pct"/>
            <w:vAlign w:val="center"/>
          </w:tcPr>
          <w:p w14:paraId="2F73ABDD">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总铬</w:t>
            </w:r>
          </w:p>
        </w:tc>
        <w:tc>
          <w:tcPr>
            <w:tcW w:w="222" w:type="pct"/>
            <w:vAlign w:val="center"/>
          </w:tcPr>
          <w:p w14:paraId="03950A7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镉</w:t>
            </w:r>
          </w:p>
        </w:tc>
        <w:tc>
          <w:tcPr>
            <w:tcW w:w="317" w:type="pct"/>
            <w:vAlign w:val="center"/>
          </w:tcPr>
          <w:p w14:paraId="07BF2E28">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砷</w:t>
            </w:r>
          </w:p>
        </w:tc>
        <w:tc>
          <w:tcPr>
            <w:tcW w:w="367" w:type="pct"/>
            <w:vAlign w:val="center"/>
          </w:tcPr>
          <w:p w14:paraId="4C5A6D7A">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铜</w:t>
            </w:r>
          </w:p>
        </w:tc>
        <w:tc>
          <w:tcPr>
            <w:tcW w:w="367" w:type="pct"/>
            <w:vAlign w:val="center"/>
          </w:tcPr>
          <w:p w14:paraId="4426BCF5">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锌</w:t>
            </w:r>
          </w:p>
        </w:tc>
        <w:tc>
          <w:tcPr>
            <w:tcW w:w="207" w:type="pct"/>
            <w:vAlign w:val="center"/>
          </w:tcPr>
          <w:p w14:paraId="1D2BE27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镍</w:t>
            </w:r>
          </w:p>
        </w:tc>
        <w:tc>
          <w:tcPr>
            <w:tcW w:w="76" w:type="pct"/>
            <w:vAlign w:val="center"/>
          </w:tcPr>
          <w:p w14:paraId="379BB271">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总大肠菌群</w:t>
            </w:r>
          </w:p>
        </w:tc>
        <w:tc>
          <w:tcPr>
            <w:tcW w:w="141" w:type="pct"/>
            <w:vAlign w:val="center"/>
          </w:tcPr>
          <w:p w14:paraId="6B197044">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菌落总数</w:t>
            </w:r>
          </w:p>
        </w:tc>
        <w:tc>
          <w:tcPr>
            <w:tcW w:w="157" w:type="pct"/>
            <w:vAlign w:val="center"/>
          </w:tcPr>
          <w:p w14:paraId="49F4CB07">
            <w:pPr>
              <w:tabs>
                <w:tab w:val="left" w:pos="1021"/>
              </w:tabs>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硫化物</w:t>
            </w:r>
          </w:p>
        </w:tc>
      </w:tr>
      <w:tr w14:paraId="0F5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restart"/>
            <w:vAlign w:val="center"/>
          </w:tcPr>
          <w:p w14:paraId="3DEE82D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U</w:t>
            </w: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金宝涟旁地下水环境监测井</w:t>
            </w:r>
          </w:p>
        </w:tc>
        <w:tc>
          <w:tcPr>
            <w:tcW w:w="266" w:type="pct"/>
            <w:vMerge w:val="restart"/>
            <w:vAlign w:val="center"/>
          </w:tcPr>
          <w:p w14:paraId="021DCE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2025.5.24~</w:t>
            </w:r>
          </w:p>
          <w:p w14:paraId="4C93EC8F">
            <w:pPr>
              <w:tabs>
                <w:tab w:val="left" w:pos="1021"/>
              </w:tabs>
              <w:jc w:val="center"/>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5</w:t>
            </w:r>
          </w:p>
        </w:tc>
        <w:tc>
          <w:tcPr>
            <w:tcW w:w="156" w:type="pct"/>
            <w:vAlign w:val="center"/>
          </w:tcPr>
          <w:p w14:paraId="61E7127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166" w:type="pct"/>
            <w:vAlign w:val="center"/>
          </w:tcPr>
          <w:p w14:paraId="78BCAB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7.2~</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191" w:type="pct"/>
            <w:vAlign w:val="center"/>
          </w:tcPr>
          <w:p w14:paraId="7914335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392~435</w:t>
            </w:r>
          </w:p>
        </w:tc>
        <w:tc>
          <w:tcPr>
            <w:tcW w:w="216" w:type="pct"/>
            <w:vAlign w:val="center"/>
          </w:tcPr>
          <w:p w14:paraId="170282B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1.91~2.09</w:t>
            </w:r>
          </w:p>
        </w:tc>
        <w:tc>
          <w:tcPr>
            <w:tcW w:w="266" w:type="pct"/>
            <w:vAlign w:val="center"/>
          </w:tcPr>
          <w:p w14:paraId="565DBF4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0.273~0.288</w:t>
            </w:r>
          </w:p>
        </w:tc>
        <w:tc>
          <w:tcPr>
            <w:tcW w:w="266" w:type="pct"/>
            <w:vAlign w:val="center"/>
          </w:tcPr>
          <w:p w14:paraId="657F2ED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0.134~0.136</w:t>
            </w:r>
          </w:p>
        </w:tc>
        <w:tc>
          <w:tcPr>
            <w:tcW w:w="157" w:type="pct"/>
            <w:vAlign w:val="center"/>
          </w:tcPr>
          <w:p w14:paraId="5B344B6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0.016L</w:t>
            </w:r>
          </w:p>
        </w:tc>
        <w:tc>
          <w:tcPr>
            <w:tcW w:w="317" w:type="pct"/>
            <w:vAlign w:val="center"/>
          </w:tcPr>
          <w:p w14:paraId="003DF78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0.0930~0.10</w:t>
            </w:r>
          </w:p>
        </w:tc>
        <w:tc>
          <w:tcPr>
            <w:tcW w:w="266" w:type="pct"/>
            <w:vAlign w:val="center"/>
          </w:tcPr>
          <w:p w14:paraId="644DBD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0.364</w:t>
            </w:r>
          </w:p>
        </w:tc>
        <w:tc>
          <w:tcPr>
            <w:tcW w:w="182" w:type="pct"/>
            <w:vAlign w:val="center"/>
          </w:tcPr>
          <w:p w14:paraId="156F82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207" w:type="pct"/>
            <w:vAlign w:val="center"/>
          </w:tcPr>
          <w:p w14:paraId="71E7C06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0.00009L</w:t>
            </w:r>
          </w:p>
        </w:tc>
        <w:tc>
          <w:tcPr>
            <w:tcW w:w="207" w:type="pct"/>
            <w:vAlign w:val="center"/>
          </w:tcPr>
          <w:p w14:paraId="62CC50B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0.00004L</w:t>
            </w:r>
          </w:p>
        </w:tc>
        <w:tc>
          <w:tcPr>
            <w:tcW w:w="205" w:type="pct"/>
            <w:vAlign w:val="center"/>
          </w:tcPr>
          <w:p w14:paraId="5341192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0.00011L</w:t>
            </w:r>
          </w:p>
        </w:tc>
        <w:tc>
          <w:tcPr>
            <w:tcW w:w="222" w:type="pct"/>
            <w:vAlign w:val="center"/>
          </w:tcPr>
          <w:p w14:paraId="036FC2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0.00005L</w:t>
            </w:r>
          </w:p>
        </w:tc>
        <w:tc>
          <w:tcPr>
            <w:tcW w:w="317" w:type="pct"/>
            <w:vAlign w:val="center"/>
          </w:tcPr>
          <w:p w14:paraId="7198567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9~0.001</w:t>
            </w:r>
          </w:p>
        </w:tc>
        <w:tc>
          <w:tcPr>
            <w:tcW w:w="367" w:type="pct"/>
            <w:vAlign w:val="center"/>
          </w:tcPr>
          <w:p w14:paraId="7C3A55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367" w:type="pct"/>
            <w:vAlign w:val="center"/>
          </w:tcPr>
          <w:p w14:paraId="64F8488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0.00328~0.0035</w:t>
            </w:r>
          </w:p>
        </w:tc>
        <w:tc>
          <w:tcPr>
            <w:tcW w:w="207" w:type="pct"/>
            <w:vAlign w:val="center"/>
          </w:tcPr>
          <w:p w14:paraId="2403D35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0.00006L</w:t>
            </w:r>
          </w:p>
        </w:tc>
        <w:tc>
          <w:tcPr>
            <w:tcW w:w="76" w:type="pct"/>
            <w:vAlign w:val="center"/>
          </w:tcPr>
          <w:p w14:paraId="41CF781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未检出</w:t>
            </w:r>
          </w:p>
        </w:tc>
        <w:tc>
          <w:tcPr>
            <w:tcW w:w="141" w:type="pct"/>
            <w:vAlign w:val="center"/>
          </w:tcPr>
          <w:p w14:paraId="4F3EC8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15~20</w:t>
            </w:r>
          </w:p>
        </w:tc>
        <w:tc>
          <w:tcPr>
            <w:tcW w:w="157" w:type="pct"/>
            <w:vAlign w:val="center"/>
          </w:tcPr>
          <w:p w14:paraId="36A913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L</w:t>
            </w:r>
          </w:p>
        </w:tc>
      </w:tr>
      <w:tr w14:paraId="742B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3ACA165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75C8D07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33F2478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166" w:type="pct"/>
            <w:vAlign w:val="center"/>
          </w:tcPr>
          <w:p w14:paraId="70AF389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0D1B19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63B3EE0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08BEDAD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1CDDECE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08D542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7872EAE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6BAB93B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304E92A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515CA2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69D5CB0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49DB8F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072C9D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55A26E9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5379A1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C28FAA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B2511E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682C32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02913DC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18FB1A4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145C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3C4B7A4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369E140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69728F5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166" w:type="pct"/>
            <w:vAlign w:val="center"/>
          </w:tcPr>
          <w:p w14:paraId="6AF26ED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71935E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3D8B6B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28BAB8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1E3E4C2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56FD36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4B12A3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2520B7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7334E5C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F6119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5B1B511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420284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75AE3F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38BCBD8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3BC0EB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32A4F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3932447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5879B2A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4FC731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27D0E7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220A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restart"/>
            <w:vAlign w:val="center"/>
          </w:tcPr>
          <w:p w14:paraId="4CC7E0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U</w:t>
            </w: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德普瑞旁地下水环境监测井</w:t>
            </w:r>
          </w:p>
        </w:tc>
        <w:tc>
          <w:tcPr>
            <w:tcW w:w="266" w:type="pct"/>
            <w:vMerge w:val="continue"/>
            <w:vAlign w:val="center"/>
          </w:tcPr>
          <w:p w14:paraId="2AF3734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589B79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166" w:type="pct"/>
            <w:vAlign w:val="center"/>
          </w:tcPr>
          <w:p w14:paraId="5F7F383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7.4</w:t>
            </w:r>
          </w:p>
        </w:tc>
        <w:tc>
          <w:tcPr>
            <w:tcW w:w="191" w:type="pct"/>
            <w:vAlign w:val="center"/>
          </w:tcPr>
          <w:p w14:paraId="2E9C900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204~252</w:t>
            </w:r>
          </w:p>
        </w:tc>
        <w:tc>
          <w:tcPr>
            <w:tcW w:w="216" w:type="pct"/>
            <w:vAlign w:val="center"/>
          </w:tcPr>
          <w:p w14:paraId="474EA55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2.24~2.48</w:t>
            </w:r>
          </w:p>
        </w:tc>
        <w:tc>
          <w:tcPr>
            <w:tcW w:w="266" w:type="pct"/>
            <w:vAlign w:val="center"/>
          </w:tcPr>
          <w:p w14:paraId="2F2A3F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0.196~0.210</w:t>
            </w:r>
          </w:p>
        </w:tc>
        <w:tc>
          <w:tcPr>
            <w:tcW w:w="266" w:type="pct"/>
            <w:vAlign w:val="center"/>
          </w:tcPr>
          <w:p w14:paraId="02DC31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0.251~0.273</w:t>
            </w:r>
          </w:p>
        </w:tc>
        <w:tc>
          <w:tcPr>
            <w:tcW w:w="157" w:type="pct"/>
            <w:vAlign w:val="center"/>
          </w:tcPr>
          <w:p w14:paraId="5472D7C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0.016L</w:t>
            </w:r>
          </w:p>
        </w:tc>
        <w:tc>
          <w:tcPr>
            <w:tcW w:w="317" w:type="pct"/>
            <w:vAlign w:val="center"/>
          </w:tcPr>
          <w:p w14:paraId="54CE143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0.0604~0.0657</w:t>
            </w:r>
          </w:p>
        </w:tc>
        <w:tc>
          <w:tcPr>
            <w:tcW w:w="266" w:type="pct"/>
            <w:vAlign w:val="center"/>
          </w:tcPr>
          <w:p w14:paraId="00E96D2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0.479~0.513</w:t>
            </w:r>
          </w:p>
        </w:tc>
        <w:tc>
          <w:tcPr>
            <w:tcW w:w="182" w:type="pct"/>
            <w:vAlign w:val="center"/>
          </w:tcPr>
          <w:p w14:paraId="160E14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207" w:type="pct"/>
            <w:vAlign w:val="center"/>
          </w:tcPr>
          <w:p w14:paraId="354340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0.00009L</w:t>
            </w:r>
          </w:p>
        </w:tc>
        <w:tc>
          <w:tcPr>
            <w:tcW w:w="207" w:type="pct"/>
            <w:vAlign w:val="center"/>
          </w:tcPr>
          <w:p w14:paraId="70214C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0.00004L</w:t>
            </w:r>
          </w:p>
        </w:tc>
        <w:tc>
          <w:tcPr>
            <w:tcW w:w="205" w:type="pct"/>
            <w:vAlign w:val="center"/>
          </w:tcPr>
          <w:p w14:paraId="487C810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0.00011L</w:t>
            </w:r>
          </w:p>
        </w:tc>
        <w:tc>
          <w:tcPr>
            <w:tcW w:w="222" w:type="pct"/>
            <w:vAlign w:val="center"/>
          </w:tcPr>
          <w:p w14:paraId="6B6F43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0.00005L</w:t>
            </w:r>
          </w:p>
        </w:tc>
        <w:tc>
          <w:tcPr>
            <w:tcW w:w="317" w:type="pct"/>
            <w:vAlign w:val="center"/>
          </w:tcPr>
          <w:p w14:paraId="26837AD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0.000</w:t>
            </w:r>
            <w:r>
              <w:rPr>
                <w:rFonts w:hint="eastAsia" w:ascii="Times New Roman" w:hAnsi="Times New Roman" w:eastAsia="宋体" w:cs="Times New Roman"/>
                <w:color w:val="000000" w:themeColor="text1"/>
                <w:sz w:val="21"/>
                <w:szCs w:val="21"/>
                <w14:textFill>
                  <w14:solidFill>
                    <w14:schemeClr w14:val="tx1"/>
                  </w14:solidFill>
                </w14:textFill>
              </w:rPr>
              <w:t>8~0.0009</w:t>
            </w:r>
          </w:p>
        </w:tc>
        <w:tc>
          <w:tcPr>
            <w:tcW w:w="367" w:type="pct"/>
            <w:vAlign w:val="center"/>
          </w:tcPr>
          <w:p w14:paraId="1D0D73C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0.00008L</w:t>
            </w:r>
          </w:p>
        </w:tc>
        <w:tc>
          <w:tcPr>
            <w:tcW w:w="367" w:type="pct"/>
            <w:vAlign w:val="center"/>
          </w:tcPr>
          <w:p w14:paraId="281FB7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0.00083~0.00084</w:t>
            </w:r>
          </w:p>
        </w:tc>
        <w:tc>
          <w:tcPr>
            <w:tcW w:w="207" w:type="pct"/>
            <w:vAlign w:val="center"/>
          </w:tcPr>
          <w:p w14:paraId="63CB5B3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0.00006L</w:t>
            </w:r>
          </w:p>
        </w:tc>
        <w:tc>
          <w:tcPr>
            <w:tcW w:w="76" w:type="pct"/>
            <w:vAlign w:val="center"/>
          </w:tcPr>
          <w:p w14:paraId="0B76DE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未检出</w:t>
            </w:r>
          </w:p>
        </w:tc>
        <w:tc>
          <w:tcPr>
            <w:tcW w:w="141" w:type="pct"/>
            <w:vAlign w:val="center"/>
          </w:tcPr>
          <w:p w14:paraId="6A5473F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21~27</w:t>
            </w:r>
          </w:p>
        </w:tc>
        <w:tc>
          <w:tcPr>
            <w:tcW w:w="157" w:type="pct"/>
            <w:vAlign w:val="center"/>
          </w:tcPr>
          <w:p w14:paraId="44F2649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L</w:t>
            </w:r>
          </w:p>
        </w:tc>
      </w:tr>
      <w:tr w14:paraId="6F41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0BF2B34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78D47A2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0A5E9EA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166" w:type="pct"/>
            <w:vAlign w:val="center"/>
          </w:tcPr>
          <w:p w14:paraId="6AF8618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55C246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1908D1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024F803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3EF708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261FA1A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268A78A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2943CD2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292312C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1938D6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54A42B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391CA5C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1B1151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02759B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4DA79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C6795B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2CE804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5BFC777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7F8010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6F17631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1B45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371A57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088D8F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39D01E1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166" w:type="pct"/>
            <w:vAlign w:val="center"/>
          </w:tcPr>
          <w:p w14:paraId="001EA5A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32C4EC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47AFE54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41FA989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45BC0E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5A8343D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78CD944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01BF0C9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1953B7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3BA738E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193DE0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75C994D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5160AD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04FEA1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3795746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B9F85A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31D8647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5593E80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263A0F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1C8451E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3EEB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restart"/>
            <w:vAlign w:val="center"/>
          </w:tcPr>
          <w:p w14:paraId="5EE106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U1金宝涟旁地下水</w:t>
            </w:r>
          </w:p>
          <w:p w14:paraId="79B1B6C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环境监测井</w:t>
            </w:r>
          </w:p>
        </w:tc>
        <w:tc>
          <w:tcPr>
            <w:tcW w:w="266" w:type="pct"/>
            <w:vMerge w:val="restart"/>
            <w:vAlign w:val="center"/>
          </w:tcPr>
          <w:p w14:paraId="31BCCD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19</w:t>
            </w:r>
            <w:r>
              <w:rPr>
                <w:rFonts w:ascii="Times New Roman" w:hAnsi="Times New Roman" w:eastAsia="宋体" w:cs="Times New Roman"/>
                <w:color w:val="000000" w:themeColor="text1"/>
                <w:sz w:val="21"/>
                <w:szCs w:val="21"/>
                <w14:textFill>
                  <w14:solidFill>
                    <w14:schemeClr w14:val="tx1"/>
                  </w14:solidFill>
                </w14:textFill>
              </w:rPr>
              <w:t>~</w:t>
            </w:r>
          </w:p>
          <w:p w14:paraId="331240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07</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20</w:t>
            </w:r>
          </w:p>
        </w:tc>
        <w:tc>
          <w:tcPr>
            <w:tcW w:w="156" w:type="pct"/>
            <w:vAlign w:val="center"/>
          </w:tcPr>
          <w:p w14:paraId="5E52F8C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166" w:type="pct"/>
            <w:vAlign w:val="center"/>
          </w:tcPr>
          <w:p w14:paraId="301EDB3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6.8~7.1</w:t>
            </w:r>
          </w:p>
        </w:tc>
        <w:tc>
          <w:tcPr>
            <w:tcW w:w="191" w:type="pct"/>
            <w:vAlign w:val="center"/>
          </w:tcPr>
          <w:p w14:paraId="2ACC763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88~94</w:t>
            </w:r>
          </w:p>
        </w:tc>
        <w:tc>
          <w:tcPr>
            <w:tcW w:w="216" w:type="pct"/>
            <w:vAlign w:val="center"/>
          </w:tcPr>
          <w:p w14:paraId="00DF0BE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1.00~1.08</w:t>
            </w:r>
          </w:p>
        </w:tc>
        <w:tc>
          <w:tcPr>
            <w:tcW w:w="266" w:type="pct"/>
            <w:vAlign w:val="center"/>
          </w:tcPr>
          <w:p w14:paraId="07D81EB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0.025L</w:t>
            </w:r>
          </w:p>
        </w:tc>
        <w:tc>
          <w:tcPr>
            <w:tcW w:w="266" w:type="pct"/>
            <w:vAlign w:val="center"/>
          </w:tcPr>
          <w:p w14:paraId="091F3A1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0.346~0.350</w:t>
            </w:r>
          </w:p>
        </w:tc>
        <w:tc>
          <w:tcPr>
            <w:tcW w:w="157" w:type="pct"/>
            <w:vAlign w:val="center"/>
          </w:tcPr>
          <w:p w14:paraId="0E050B2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0.016L</w:t>
            </w:r>
          </w:p>
        </w:tc>
        <w:tc>
          <w:tcPr>
            <w:tcW w:w="317" w:type="pct"/>
            <w:vAlign w:val="center"/>
          </w:tcPr>
          <w:p w14:paraId="728A3B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0.01L</w:t>
            </w:r>
          </w:p>
        </w:tc>
        <w:tc>
          <w:tcPr>
            <w:tcW w:w="266" w:type="pct"/>
            <w:vAlign w:val="center"/>
          </w:tcPr>
          <w:p w14:paraId="3C114CB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0.24~0.310</w:t>
            </w:r>
          </w:p>
        </w:tc>
        <w:tc>
          <w:tcPr>
            <w:tcW w:w="182" w:type="pct"/>
            <w:vAlign w:val="center"/>
          </w:tcPr>
          <w:p w14:paraId="7EB95EB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207" w:type="pct"/>
            <w:vAlign w:val="center"/>
          </w:tcPr>
          <w:p w14:paraId="2872DEC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0.00009L</w:t>
            </w:r>
          </w:p>
        </w:tc>
        <w:tc>
          <w:tcPr>
            <w:tcW w:w="207" w:type="pct"/>
            <w:vAlign w:val="center"/>
          </w:tcPr>
          <w:p w14:paraId="59D96B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0.00004L</w:t>
            </w:r>
          </w:p>
        </w:tc>
        <w:tc>
          <w:tcPr>
            <w:tcW w:w="205" w:type="pct"/>
            <w:vAlign w:val="center"/>
          </w:tcPr>
          <w:p w14:paraId="050D878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0.00011L</w:t>
            </w:r>
          </w:p>
        </w:tc>
        <w:tc>
          <w:tcPr>
            <w:tcW w:w="222" w:type="pct"/>
            <w:vAlign w:val="center"/>
          </w:tcPr>
          <w:p w14:paraId="73156D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0.00005L</w:t>
            </w:r>
          </w:p>
        </w:tc>
        <w:tc>
          <w:tcPr>
            <w:tcW w:w="317" w:type="pct"/>
            <w:vAlign w:val="center"/>
          </w:tcPr>
          <w:p w14:paraId="18282C0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16~0.0018</w:t>
            </w:r>
          </w:p>
        </w:tc>
        <w:tc>
          <w:tcPr>
            <w:tcW w:w="367" w:type="pct"/>
            <w:vAlign w:val="center"/>
          </w:tcPr>
          <w:p w14:paraId="582D71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0.00209~0.00225</w:t>
            </w:r>
          </w:p>
        </w:tc>
        <w:tc>
          <w:tcPr>
            <w:tcW w:w="367" w:type="pct"/>
            <w:vAlign w:val="center"/>
          </w:tcPr>
          <w:p w14:paraId="6263DE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0.0194~0.0215</w:t>
            </w:r>
          </w:p>
        </w:tc>
        <w:tc>
          <w:tcPr>
            <w:tcW w:w="207" w:type="pct"/>
            <w:vAlign w:val="center"/>
          </w:tcPr>
          <w:p w14:paraId="2C53E2B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0.00006L</w:t>
            </w:r>
          </w:p>
        </w:tc>
        <w:tc>
          <w:tcPr>
            <w:tcW w:w="76" w:type="pct"/>
            <w:vAlign w:val="center"/>
          </w:tcPr>
          <w:p w14:paraId="292CC5B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未检出</w:t>
            </w:r>
          </w:p>
        </w:tc>
        <w:tc>
          <w:tcPr>
            <w:tcW w:w="141" w:type="pct"/>
            <w:vAlign w:val="center"/>
          </w:tcPr>
          <w:p w14:paraId="35AAE64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34~39</w:t>
            </w:r>
          </w:p>
        </w:tc>
        <w:tc>
          <w:tcPr>
            <w:tcW w:w="157" w:type="pct"/>
            <w:vAlign w:val="center"/>
          </w:tcPr>
          <w:p w14:paraId="785062D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L</w:t>
            </w:r>
          </w:p>
        </w:tc>
      </w:tr>
      <w:tr w14:paraId="5E4A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79395D7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28C40CC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042BFB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166" w:type="pct"/>
            <w:vAlign w:val="center"/>
          </w:tcPr>
          <w:p w14:paraId="265C2D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395C867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2D9E86D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35A81EF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0DB8549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7392693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52DC4C6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686D212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3D9DC56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68AB2AB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09931CC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6BC2E34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2E9588A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39A8970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13B6ED5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6BBCF25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AAA8AA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0B95798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0064734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28A85ED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7EF3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5D8CD8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7F61E58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69B037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166" w:type="pct"/>
            <w:vAlign w:val="center"/>
          </w:tcPr>
          <w:p w14:paraId="2851DFA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67FD887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0469410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54F096C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2CD596C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190630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1D7F810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3F85E44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0E933F8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1F7E4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5E12258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793692B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3DA68AA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392240B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7218DB8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3EABD03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605EE0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32D7CCF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1BDF159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584C375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5B9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restart"/>
            <w:vAlign w:val="center"/>
          </w:tcPr>
          <w:p w14:paraId="7155574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U2德普瑞旁地下水环境监测井</w:t>
            </w:r>
          </w:p>
        </w:tc>
        <w:tc>
          <w:tcPr>
            <w:tcW w:w="266" w:type="pct"/>
            <w:vMerge w:val="continue"/>
            <w:vAlign w:val="center"/>
          </w:tcPr>
          <w:p w14:paraId="7202710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62B7B7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166" w:type="pct"/>
            <w:vAlign w:val="center"/>
          </w:tcPr>
          <w:p w14:paraId="3D1A74F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6.8~</w:t>
            </w:r>
            <w:r>
              <w:rPr>
                <w:rFonts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191" w:type="pct"/>
            <w:vAlign w:val="center"/>
          </w:tcPr>
          <w:p w14:paraId="3B073FC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88~94</w:t>
            </w:r>
          </w:p>
        </w:tc>
        <w:tc>
          <w:tcPr>
            <w:tcW w:w="216" w:type="pct"/>
            <w:vAlign w:val="center"/>
          </w:tcPr>
          <w:p w14:paraId="20270A7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1.0~1.08</w:t>
            </w:r>
          </w:p>
        </w:tc>
        <w:tc>
          <w:tcPr>
            <w:tcW w:w="266" w:type="pct"/>
            <w:vAlign w:val="center"/>
          </w:tcPr>
          <w:p w14:paraId="14C9482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0.025L</w:t>
            </w:r>
          </w:p>
        </w:tc>
        <w:tc>
          <w:tcPr>
            <w:tcW w:w="266" w:type="pct"/>
            <w:vAlign w:val="center"/>
          </w:tcPr>
          <w:p w14:paraId="08E1E09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0.346~0.350</w:t>
            </w:r>
          </w:p>
        </w:tc>
        <w:tc>
          <w:tcPr>
            <w:tcW w:w="157" w:type="pct"/>
            <w:vAlign w:val="center"/>
          </w:tcPr>
          <w:p w14:paraId="5C72450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0.016L</w:t>
            </w:r>
          </w:p>
        </w:tc>
        <w:tc>
          <w:tcPr>
            <w:tcW w:w="317" w:type="pct"/>
            <w:vAlign w:val="center"/>
          </w:tcPr>
          <w:p w14:paraId="26CE98D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0.01L</w:t>
            </w:r>
          </w:p>
        </w:tc>
        <w:tc>
          <w:tcPr>
            <w:tcW w:w="266" w:type="pct"/>
            <w:vAlign w:val="center"/>
          </w:tcPr>
          <w:p w14:paraId="5EC99F7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0.24~0.310</w:t>
            </w:r>
          </w:p>
        </w:tc>
        <w:tc>
          <w:tcPr>
            <w:tcW w:w="182" w:type="pct"/>
            <w:vAlign w:val="center"/>
          </w:tcPr>
          <w:p w14:paraId="77F820C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0.0003L</w:t>
            </w:r>
          </w:p>
        </w:tc>
        <w:tc>
          <w:tcPr>
            <w:tcW w:w="207" w:type="pct"/>
            <w:vAlign w:val="center"/>
          </w:tcPr>
          <w:p w14:paraId="050F40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0.00009L</w:t>
            </w:r>
          </w:p>
        </w:tc>
        <w:tc>
          <w:tcPr>
            <w:tcW w:w="207" w:type="pct"/>
            <w:vAlign w:val="center"/>
          </w:tcPr>
          <w:p w14:paraId="352F002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0.00004L</w:t>
            </w:r>
          </w:p>
        </w:tc>
        <w:tc>
          <w:tcPr>
            <w:tcW w:w="205" w:type="pct"/>
            <w:vAlign w:val="center"/>
          </w:tcPr>
          <w:p w14:paraId="6726DE8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0.00011L</w:t>
            </w:r>
          </w:p>
        </w:tc>
        <w:tc>
          <w:tcPr>
            <w:tcW w:w="222" w:type="pct"/>
            <w:vAlign w:val="center"/>
          </w:tcPr>
          <w:p w14:paraId="593461A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0.00005L</w:t>
            </w:r>
          </w:p>
        </w:tc>
        <w:tc>
          <w:tcPr>
            <w:tcW w:w="317" w:type="pct"/>
            <w:vAlign w:val="center"/>
          </w:tcPr>
          <w:p w14:paraId="4993E1E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ascii="Times New Roman" w:hAnsi="Times New Roman" w:eastAsia="宋体" w:cs="Times New Roman"/>
                <w:color w:val="000000" w:themeColor="text1"/>
                <w:sz w:val="21"/>
                <w:szCs w:val="21"/>
                <w14:textFill>
                  <w14:solidFill>
                    <w14:schemeClr w14:val="tx1"/>
                  </w14:solidFill>
                </w14:textFill>
              </w:rPr>
              <w:t>16~0.0018</w:t>
            </w:r>
          </w:p>
        </w:tc>
        <w:tc>
          <w:tcPr>
            <w:tcW w:w="367" w:type="pct"/>
            <w:vAlign w:val="center"/>
          </w:tcPr>
          <w:p w14:paraId="494DE2E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0.00209~0.00225</w:t>
            </w:r>
          </w:p>
        </w:tc>
        <w:tc>
          <w:tcPr>
            <w:tcW w:w="367" w:type="pct"/>
            <w:vAlign w:val="center"/>
          </w:tcPr>
          <w:p w14:paraId="4C07D5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0.0194~0.0215</w:t>
            </w:r>
          </w:p>
        </w:tc>
        <w:tc>
          <w:tcPr>
            <w:tcW w:w="207" w:type="pct"/>
            <w:vAlign w:val="center"/>
          </w:tcPr>
          <w:p w14:paraId="639182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0.00006L</w:t>
            </w:r>
          </w:p>
        </w:tc>
        <w:tc>
          <w:tcPr>
            <w:tcW w:w="76" w:type="pct"/>
            <w:vAlign w:val="center"/>
          </w:tcPr>
          <w:p w14:paraId="604BB5F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未检出</w:t>
            </w:r>
          </w:p>
        </w:tc>
        <w:tc>
          <w:tcPr>
            <w:tcW w:w="141" w:type="pct"/>
            <w:vAlign w:val="center"/>
          </w:tcPr>
          <w:p w14:paraId="5390C02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34~39</w:t>
            </w:r>
          </w:p>
        </w:tc>
        <w:tc>
          <w:tcPr>
            <w:tcW w:w="157" w:type="pct"/>
            <w:vAlign w:val="center"/>
          </w:tcPr>
          <w:p w14:paraId="7327DEC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03</w:t>
            </w:r>
            <w:r>
              <w:rPr>
                <w:rFonts w:ascii="Times New Roman" w:hAnsi="Times New Roman" w:eastAsia="宋体" w:cs="Times New Roman"/>
                <w:color w:val="000000" w:themeColor="text1"/>
                <w:sz w:val="21"/>
                <w:szCs w:val="21"/>
                <w14:textFill>
                  <w14:solidFill>
                    <w14:schemeClr w14:val="tx1"/>
                  </w14:solidFill>
                </w14:textFill>
              </w:rPr>
              <w:t>L</w:t>
            </w:r>
          </w:p>
        </w:tc>
      </w:tr>
      <w:tr w14:paraId="5F52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43C4BF5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6DEE471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69297A2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超标率（%）</w:t>
            </w:r>
          </w:p>
        </w:tc>
        <w:tc>
          <w:tcPr>
            <w:tcW w:w="166" w:type="pct"/>
            <w:vAlign w:val="center"/>
          </w:tcPr>
          <w:p w14:paraId="773FB9F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62CE922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29CA809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58B5170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3642058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1DDB8BB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0A8B229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16BA45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030399B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3C2DADC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3F711F3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71C6482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5ECA161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09BD829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46478A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4193CB6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5DEF226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3A07D08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58D71E8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4FBB4BA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6B2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 w:type="pct"/>
            <w:vMerge w:val="continue"/>
            <w:vAlign w:val="center"/>
          </w:tcPr>
          <w:p w14:paraId="6FFC48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266" w:type="pct"/>
            <w:vMerge w:val="continue"/>
            <w:vAlign w:val="center"/>
          </w:tcPr>
          <w:p w14:paraId="3C746C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p>
        </w:tc>
        <w:tc>
          <w:tcPr>
            <w:tcW w:w="156" w:type="pct"/>
            <w:vAlign w:val="center"/>
          </w:tcPr>
          <w:p w14:paraId="5976F72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166" w:type="pct"/>
            <w:vAlign w:val="center"/>
          </w:tcPr>
          <w:p w14:paraId="43F3AD1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91" w:type="pct"/>
            <w:vAlign w:val="center"/>
          </w:tcPr>
          <w:p w14:paraId="7645229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16" w:type="pct"/>
            <w:vAlign w:val="center"/>
          </w:tcPr>
          <w:p w14:paraId="554D4B7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1154955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74F2935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190B047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56B701F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66" w:type="pct"/>
            <w:vAlign w:val="center"/>
          </w:tcPr>
          <w:p w14:paraId="45D2B45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82" w:type="pct"/>
            <w:vAlign w:val="center"/>
          </w:tcPr>
          <w:p w14:paraId="3F5E8C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293A815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4480554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5" w:type="pct"/>
            <w:vAlign w:val="center"/>
          </w:tcPr>
          <w:p w14:paraId="0A55200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7EBA50B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17" w:type="pct"/>
            <w:vAlign w:val="center"/>
          </w:tcPr>
          <w:p w14:paraId="4CB80BD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4BAC4041">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367" w:type="pct"/>
            <w:vAlign w:val="center"/>
          </w:tcPr>
          <w:p w14:paraId="2A29DA1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207" w:type="pct"/>
            <w:vAlign w:val="center"/>
          </w:tcPr>
          <w:p w14:paraId="229FEA4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76" w:type="pct"/>
            <w:vAlign w:val="center"/>
          </w:tcPr>
          <w:p w14:paraId="6BEBD51F">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41" w:type="pct"/>
            <w:vAlign w:val="center"/>
          </w:tcPr>
          <w:p w14:paraId="515C07F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c>
          <w:tcPr>
            <w:tcW w:w="157" w:type="pct"/>
            <w:vAlign w:val="center"/>
          </w:tcPr>
          <w:p w14:paraId="52AA526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4314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7" w:type="pct"/>
            <w:gridSpan w:val="3"/>
            <w:vAlign w:val="center"/>
          </w:tcPr>
          <w:p w14:paraId="6A5801D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III类标准</w:t>
            </w:r>
          </w:p>
        </w:tc>
        <w:tc>
          <w:tcPr>
            <w:tcW w:w="166" w:type="pct"/>
            <w:vAlign w:val="center"/>
          </w:tcPr>
          <w:p w14:paraId="4D4C9A8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6.5~8.5</w:t>
            </w:r>
          </w:p>
        </w:tc>
        <w:tc>
          <w:tcPr>
            <w:tcW w:w="191" w:type="pct"/>
            <w:vAlign w:val="center"/>
          </w:tcPr>
          <w:p w14:paraId="0ED0468B">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450</w:t>
            </w:r>
          </w:p>
        </w:tc>
        <w:tc>
          <w:tcPr>
            <w:tcW w:w="216" w:type="pct"/>
            <w:vAlign w:val="center"/>
          </w:tcPr>
          <w:p w14:paraId="672F09C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3.0</w:t>
            </w:r>
          </w:p>
        </w:tc>
        <w:tc>
          <w:tcPr>
            <w:tcW w:w="266" w:type="pct"/>
            <w:vAlign w:val="center"/>
          </w:tcPr>
          <w:p w14:paraId="129600FD">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0.5</w:t>
            </w:r>
          </w:p>
        </w:tc>
        <w:tc>
          <w:tcPr>
            <w:tcW w:w="266" w:type="pct"/>
            <w:vAlign w:val="center"/>
          </w:tcPr>
          <w:p w14:paraId="1FB0B584">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20.0</w:t>
            </w:r>
          </w:p>
        </w:tc>
        <w:tc>
          <w:tcPr>
            <w:tcW w:w="157" w:type="pct"/>
            <w:vAlign w:val="center"/>
          </w:tcPr>
          <w:p w14:paraId="593046FE">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317" w:type="pct"/>
            <w:vAlign w:val="center"/>
          </w:tcPr>
          <w:p w14:paraId="2C206766">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0.10</w:t>
            </w:r>
          </w:p>
        </w:tc>
        <w:tc>
          <w:tcPr>
            <w:tcW w:w="266" w:type="pct"/>
            <w:vAlign w:val="center"/>
          </w:tcPr>
          <w:p w14:paraId="722B87D2">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182" w:type="pct"/>
            <w:vAlign w:val="center"/>
          </w:tcPr>
          <w:p w14:paraId="0B06865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0.002</w:t>
            </w:r>
          </w:p>
        </w:tc>
        <w:tc>
          <w:tcPr>
            <w:tcW w:w="207" w:type="pct"/>
            <w:vAlign w:val="center"/>
          </w:tcPr>
          <w:p w14:paraId="145C859C">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w:t>
            </w:r>
          </w:p>
        </w:tc>
        <w:tc>
          <w:tcPr>
            <w:tcW w:w="207" w:type="pct"/>
            <w:vAlign w:val="center"/>
          </w:tcPr>
          <w:p w14:paraId="3C7E6885">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0.001</w:t>
            </w:r>
          </w:p>
        </w:tc>
        <w:tc>
          <w:tcPr>
            <w:tcW w:w="205" w:type="pct"/>
            <w:vAlign w:val="center"/>
          </w:tcPr>
          <w:p w14:paraId="587C8EA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22" w:type="pct"/>
            <w:vAlign w:val="center"/>
          </w:tcPr>
          <w:p w14:paraId="3D79A2C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0.005</w:t>
            </w:r>
          </w:p>
        </w:tc>
        <w:tc>
          <w:tcPr>
            <w:tcW w:w="317" w:type="pct"/>
            <w:vAlign w:val="center"/>
          </w:tcPr>
          <w:p w14:paraId="7E66FE77">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0.01</w:t>
            </w:r>
          </w:p>
        </w:tc>
        <w:tc>
          <w:tcPr>
            <w:tcW w:w="367" w:type="pct"/>
            <w:vAlign w:val="center"/>
          </w:tcPr>
          <w:p w14:paraId="503D0853">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367" w:type="pct"/>
            <w:vAlign w:val="center"/>
          </w:tcPr>
          <w:p w14:paraId="507543F9">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w:t>
            </w:r>
          </w:p>
        </w:tc>
        <w:tc>
          <w:tcPr>
            <w:tcW w:w="207" w:type="pct"/>
            <w:vAlign w:val="center"/>
          </w:tcPr>
          <w:p w14:paraId="3DBD8FE8">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0.10</w:t>
            </w:r>
          </w:p>
        </w:tc>
        <w:tc>
          <w:tcPr>
            <w:tcW w:w="76" w:type="pct"/>
            <w:vAlign w:val="center"/>
          </w:tcPr>
          <w:p w14:paraId="2C46991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3.0</w:t>
            </w:r>
          </w:p>
        </w:tc>
        <w:tc>
          <w:tcPr>
            <w:tcW w:w="141" w:type="pct"/>
            <w:vAlign w:val="center"/>
          </w:tcPr>
          <w:p w14:paraId="2B6AD63A">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100</w:t>
            </w:r>
          </w:p>
        </w:tc>
        <w:tc>
          <w:tcPr>
            <w:tcW w:w="157" w:type="pct"/>
            <w:vAlign w:val="center"/>
          </w:tcPr>
          <w:p w14:paraId="3CA939A0">
            <w:pPr>
              <w:tabs>
                <w:tab w:val="left" w:pos="1021"/>
              </w:tabs>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0.02</w:t>
            </w:r>
          </w:p>
        </w:tc>
      </w:tr>
    </w:tbl>
    <w:p w14:paraId="044D6F20">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29ACC6CA">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6452F4A5">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5D803FCC">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1C1C577E">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06554336">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10001835">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6EAD5576">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0AB47027">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473F4B61">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623B9F74">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24610F77">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p>
    <w:p w14:paraId="3A9B1868">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sectPr>
          <w:pgSz w:w="23811" w:h="16838" w:orient="landscape"/>
          <w:pgMar w:top="1800" w:right="1440" w:bottom="1800" w:left="1440" w:header="851" w:footer="992" w:gutter="0"/>
          <w:cols w:space="720" w:num="1"/>
          <w:docGrid w:type="lines" w:linePitch="381" w:charSpace="0"/>
        </w:sectPr>
      </w:pPr>
    </w:p>
    <w:p w14:paraId="6B040EE4">
      <w:pPr>
        <w:pStyle w:val="2"/>
        <w:snapToGrid w:val="0"/>
        <w:ind w:firstLine="640"/>
        <w:rPr>
          <w:b/>
          <w:bCs/>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w:t>
      </w:r>
      <w:r>
        <w:rPr>
          <w:rFonts w:ascii="楷体_GB2312" w:hAnsi="楷体_GB2312" w:eastAsia="楷体_GB2312" w:cs="楷体_GB2312"/>
          <w:color w:val="000000" w:themeColor="text1"/>
          <w:szCs w:val="32"/>
          <w14:textFill>
            <w14:solidFill>
              <w14:schemeClr w14:val="tx1"/>
            </w14:solidFill>
          </w14:textFill>
        </w:rPr>
        <w:t>“三线一单”落地应用情况</w:t>
      </w:r>
    </w:p>
    <w:p w14:paraId="15BC3B1D">
      <w:pPr>
        <w:pStyle w:val="2"/>
        <w:ind w:firstLine="640"/>
        <w:rPr>
          <w:rFonts w:hint="eastAsia" w:ascii="仿宋_GB2312" w:hAnsi="仿宋_GB2312" w:cs="仿宋_GB2312"/>
          <w:color w:val="000000" w:themeColor="text1"/>
          <w:szCs w:val="32"/>
          <w14:textFill>
            <w14:solidFill>
              <w14:schemeClr w14:val="tx1"/>
            </w14:solidFill>
          </w14:textFill>
        </w:rPr>
      </w:pPr>
      <w:bookmarkStart w:id="28" w:name="_Hlk127979519"/>
      <w:r>
        <w:rPr>
          <w:rFonts w:hint="eastAsia" w:ascii="仿宋_GB2312" w:hAnsi="仿宋_GB2312" w:cs="仿宋_GB2312"/>
          <w:color w:val="000000" w:themeColor="text1"/>
          <w:szCs w:val="32"/>
          <w14:textFill>
            <w14:solidFill>
              <w14:schemeClr w14:val="tx1"/>
            </w14:solidFill>
          </w14:textFill>
        </w:rPr>
        <w:t>园区主要从招商和环评审批入手，认真执行《湖南省“三线一单”生态环境总体管控要求既省级以上产业园区生态环境准入清单》要求。</w:t>
      </w:r>
    </w:p>
    <w:p w14:paraId="71348BCB">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在项目环评审批环节，要求在每个新（改、扩）建项目的环境影响报告书（表）文本中，均有与“三线一单的符合性分析”章节内容，就该项目与园区生态保护红线、环境质量底线、资源利用上线、环境准入清单进行符合性评估，凡不符合“三线一单”相关要求的新（改、扩）建项目不予审批。</w:t>
      </w:r>
    </w:p>
    <w:p w14:paraId="07E3D6CC">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目前</w:t>
      </w:r>
      <w:bookmarkStart w:id="29" w:name="_Hlk126598019"/>
      <w:r>
        <w:rPr>
          <w:rFonts w:hint="eastAsia" w:ascii="仿宋_GB2312" w:hAnsi="仿宋_GB2312" w:cs="仿宋_GB2312"/>
          <w:color w:val="000000" w:themeColor="text1"/>
          <w:szCs w:val="32"/>
          <w14:textFill>
            <w14:solidFill>
              <w14:schemeClr w14:val="tx1"/>
            </w14:solidFill>
          </w14:textFill>
        </w:rPr>
        <w:t>园区与双牌工业集中区生态环境准入清单落实情况</w:t>
      </w:r>
      <w:bookmarkEnd w:id="29"/>
      <w:r>
        <w:rPr>
          <w:rFonts w:hint="eastAsia" w:ascii="仿宋_GB2312" w:hAnsi="仿宋_GB2312" w:cs="仿宋_GB2312"/>
          <w:color w:val="000000" w:themeColor="text1"/>
          <w:szCs w:val="32"/>
          <w14:textFill>
            <w14:solidFill>
              <w14:schemeClr w14:val="tx1"/>
            </w14:solidFill>
          </w14:textFill>
        </w:rPr>
        <w:t>详见下表。</w:t>
      </w:r>
    </w:p>
    <w:bookmarkEnd w:id="28"/>
    <w:p w14:paraId="4AB400E3">
      <w:pPr>
        <w:pStyle w:val="2"/>
        <w:snapToGrid w:val="0"/>
        <w:spacing w:line="560" w:lineRule="exact"/>
        <w:ind w:firstLine="560"/>
        <w:rPr>
          <w:color w:val="000000" w:themeColor="text1"/>
          <w:sz w:val="28"/>
          <w:szCs w:val="28"/>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7692E7D1">
      <w:pPr>
        <w:pStyle w:val="2"/>
        <w:snapToGrid w:val="0"/>
        <w:spacing w:line="560" w:lineRule="exact"/>
        <w:ind w:firstLine="560"/>
        <w:jc w:val="center"/>
        <w:rPr>
          <w:rFonts w:hint="eastAsia" w:ascii="黑体" w:hAnsi="黑体" w:eastAsia="黑体"/>
          <w:color w:val="000000" w:themeColor="text1"/>
          <w:sz w:val="28"/>
          <w:szCs w:val="28"/>
          <w14:textFill>
            <w14:solidFill>
              <w14:schemeClr w14:val="tx1"/>
            </w14:solidFill>
          </w14:textFill>
        </w:rPr>
      </w:pPr>
      <w:bookmarkStart w:id="30" w:name="_Hlk127979601"/>
      <w:r>
        <w:rPr>
          <w:rFonts w:ascii="黑体" w:hAnsi="黑体" w:eastAsia="黑体"/>
          <w:color w:val="000000" w:themeColor="text1"/>
          <w:sz w:val="28"/>
          <w:szCs w:val="28"/>
          <w14:textFill>
            <w14:solidFill>
              <w14:schemeClr w14:val="tx1"/>
            </w14:solidFill>
          </w14:textFill>
        </w:rPr>
        <w:t>表</w:t>
      </w:r>
      <w:r>
        <w:rPr>
          <w:rFonts w:hint="eastAsia" w:ascii="黑体" w:hAnsi="黑体" w:eastAsia="黑体"/>
          <w:color w:val="000000" w:themeColor="text1"/>
          <w:sz w:val="28"/>
          <w:szCs w:val="28"/>
          <w14:textFill>
            <w14:solidFill>
              <w14:schemeClr w14:val="tx1"/>
            </w14:solidFill>
          </w14:textFill>
        </w:rPr>
        <w:t>9</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s="宋体"/>
          <w:color w:val="000000" w:themeColor="text1"/>
          <w:sz w:val="28"/>
          <w:szCs w:val="28"/>
          <w14:textFill>
            <w14:solidFill>
              <w14:schemeClr w14:val="tx1"/>
            </w14:solidFill>
          </w14:textFill>
        </w:rPr>
        <w:t>园区与双牌工业集中区生态环境准入清单落实情况表</w:t>
      </w:r>
    </w:p>
    <w:bookmarkEnd w:id="30"/>
    <w:tbl>
      <w:tblPr>
        <w:tblStyle w:val="2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0"/>
        <w:gridCol w:w="7518"/>
        <w:gridCol w:w="4960"/>
        <w:gridCol w:w="770"/>
      </w:tblGrid>
      <w:tr w14:paraId="41E9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7CD43794">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bookmarkStart w:id="31" w:name="_Hlk127979631"/>
            <w:r>
              <w:rPr>
                <w:rFonts w:ascii="Times New Roman" w:hAnsi="Times New Roman" w:eastAsia="宋体" w:cs="Times New Roman"/>
                <w:b/>
                <w:color w:val="000000" w:themeColor="text1"/>
                <w:kern w:val="0"/>
                <w:sz w:val="22"/>
                <w:lang w:val="zh-CN" w:bidi="zh-CN"/>
                <w14:textFill>
                  <w14:solidFill>
                    <w14:schemeClr w14:val="tx1"/>
                  </w14:solidFill>
                </w14:textFill>
              </w:rPr>
              <w:t>管控维度</w:t>
            </w:r>
          </w:p>
        </w:tc>
        <w:tc>
          <w:tcPr>
            <w:tcW w:w="2695" w:type="pct"/>
            <w:vAlign w:val="center"/>
          </w:tcPr>
          <w:p w14:paraId="7465364D">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ascii="Times New Roman" w:hAnsi="Times New Roman" w:eastAsia="宋体" w:cs="Times New Roman"/>
                <w:b/>
                <w:color w:val="000000" w:themeColor="text1"/>
                <w:kern w:val="0"/>
                <w:sz w:val="22"/>
                <w:lang w:val="zh-CN" w:bidi="zh-CN"/>
                <w14:textFill>
                  <w14:solidFill>
                    <w14:schemeClr w14:val="tx1"/>
                  </w14:solidFill>
                </w14:textFill>
              </w:rPr>
              <w:t>管控要求</w:t>
            </w:r>
          </w:p>
        </w:tc>
        <w:tc>
          <w:tcPr>
            <w:tcW w:w="1778" w:type="pct"/>
            <w:vAlign w:val="center"/>
          </w:tcPr>
          <w:p w14:paraId="69E12CD1">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hint="eastAsia" w:ascii="Times New Roman" w:hAnsi="Times New Roman" w:eastAsia="宋体" w:cs="Times New Roman"/>
                <w:b/>
                <w:color w:val="000000" w:themeColor="text1"/>
                <w:kern w:val="0"/>
                <w:sz w:val="22"/>
                <w:lang w:val="zh-CN" w:bidi="zh-CN"/>
                <w14:textFill>
                  <w14:solidFill>
                    <w14:schemeClr w14:val="tx1"/>
                  </w14:solidFill>
                </w14:textFill>
              </w:rPr>
              <w:t>开发区</w:t>
            </w:r>
            <w:r>
              <w:rPr>
                <w:rFonts w:ascii="Times New Roman" w:hAnsi="Times New Roman" w:eastAsia="宋体" w:cs="Times New Roman"/>
                <w:b/>
                <w:color w:val="000000" w:themeColor="text1"/>
                <w:kern w:val="0"/>
                <w:sz w:val="22"/>
                <w:lang w:val="zh-CN" w:bidi="zh-CN"/>
                <w14:textFill>
                  <w14:solidFill>
                    <w14:schemeClr w14:val="tx1"/>
                  </w14:solidFill>
                </w14:textFill>
              </w:rPr>
              <w:t>相关情况</w:t>
            </w:r>
          </w:p>
        </w:tc>
        <w:tc>
          <w:tcPr>
            <w:tcW w:w="276" w:type="pct"/>
            <w:vAlign w:val="center"/>
          </w:tcPr>
          <w:p w14:paraId="7E815013">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hint="eastAsia" w:ascii="Times New Roman" w:hAnsi="Times New Roman" w:eastAsia="宋体" w:cs="Times New Roman"/>
                <w:b/>
                <w:color w:val="000000" w:themeColor="text1"/>
                <w:kern w:val="0"/>
                <w:sz w:val="22"/>
                <w:lang w:val="zh-CN" w:bidi="zh-CN"/>
                <w14:textFill>
                  <w14:solidFill>
                    <w14:schemeClr w14:val="tx1"/>
                  </w14:solidFill>
                </w14:textFill>
              </w:rPr>
              <w:t>落实情况</w:t>
            </w:r>
          </w:p>
        </w:tc>
      </w:tr>
      <w:tr w14:paraId="2B289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42CF02F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空间布局约束</w:t>
            </w:r>
          </w:p>
        </w:tc>
        <w:tc>
          <w:tcPr>
            <w:tcW w:w="2695" w:type="pct"/>
            <w:vAlign w:val="center"/>
          </w:tcPr>
          <w:p w14:paraId="1AB0AF85">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（1.1）</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开发区引入项目应符合</w:t>
            </w:r>
            <w:bookmarkStart w:id="32" w:name="OLE_LINK5"/>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国家生态功能区产业准入负面清单</w:t>
            </w:r>
            <w:bookmarkEnd w:id="32"/>
            <w:r>
              <w:rPr>
                <w:rFonts w:hint="eastAsia" w:ascii="Times New Roman" w:hAnsi="Times New Roman" w:eastAsia="宋体" w:cs="Times New Roman"/>
                <w:bCs/>
                <w:color w:val="000000" w:themeColor="text1"/>
                <w:kern w:val="0"/>
                <w:sz w:val="22"/>
                <w:lang w:val="zh-CN" w:bidi="zh-CN"/>
                <w14:textFill>
                  <w14:solidFill>
                    <w14:schemeClr w14:val="tx1"/>
                  </w14:solidFill>
                </w14:textFill>
              </w:rPr>
              <w:t>的有关规定。</w:t>
            </w:r>
          </w:p>
          <w:p w14:paraId="074A3E3D">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（1.2）禁止排放重金属企业入园，不得发展三类工业企业及项目。</w:t>
            </w:r>
          </w:p>
          <w:p w14:paraId="4642511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（1.3）严格限制高能耗、高水耗、高污染的企业入园，优先引进技术工艺先进，低消耗、少污染、可循环、清洁生产水平高的企业。</w:t>
            </w:r>
          </w:p>
          <w:p w14:paraId="792EFD7B">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（1.4）集中区靠近城北新区边界应布置噪声和大气污染较小的企业。</w:t>
            </w:r>
          </w:p>
        </w:tc>
        <w:tc>
          <w:tcPr>
            <w:tcW w:w="1778" w:type="pct"/>
            <w:vAlign w:val="center"/>
          </w:tcPr>
          <w:p w14:paraId="1ABF551E">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w:t>
            </w:r>
            <w:r>
              <w:rPr>
                <w:rFonts w:ascii="Times New Roman" w:hAnsi="Times New Roman" w:eastAsia="宋体" w:cs="Times New Roman"/>
                <w:bCs/>
                <w:color w:val="000000" w:themeColor="text1"/>
                <w:kern w:val="0"/>
                <w:sz w:val="22"/>
                <w:lang w:val="zh-CN" w:bidi="zh-CN"/>
                <w14:textFill>
                  <w14:solidFill>
                    <w14:schemeClr w14:val="tx1"/>
                  </w14:solidFill>
                </w14:textFill>
              </w:rPr>
              <w:t>严格按照“</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国家生态功能区产业准入负面清单</w:t>
            </w:r>
            <w:r>
              <w:rPr>
                <w:rFonts w:ascii="Times New Roman" w:hAnsi="Times New Roman" w:eastAsia="宋体" w:cs="Times New Roman"/>
                <w:bCs/>
                <w:color w:val="000000" w:themeColor="text1"/>
                <w:kern w:val="0"/>
                <w:sz w:val="22"/>
                <w:lang w:val="zh-CN" w:bidi="zh-CN"/>
                <w14:textFill>
                  <w14:solidFill>
                    <w14:schemeClr w14:val="tx1"/>
                  </w14:solidFill>
                </w14:textFill>
              </w:rPr>
              <w:t>”要求引进项目；禁止排放重金属企业入园，未发展三类工业企业及项目；严格限制高能耗、高水耗、高污染的企业入园，优先引进技术工艺先进，低消耗、少污染、可循环、清洁生产水平高的企业；</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开发区</w:t>
            </w:r>
            <w:r>
              <w:rPr>
                <w:rFonts w:ascii="Times New Roman" w:hAnsi="Times New Roman" w:eastAsia="宋体" w:cs="Times New Roman"/>
                <w:bCs/>
                <w:color w:val="000000" w:themeColor="text1"/>
                <w:kern w:val="0"/>
                <w:sz w:val="22"/>
                <w:lang w:val="zh-CN" w:bidi="zh-CN"/>
                <w14:textFill>
                  <w14:solidFill>
                    <w14:schemeClr w14:val="tx1"/>
                  </w14:solidFill>
                </w14:textFill>
              </w:rPr>
              <w:t>靠近城北新区边界安排布置噪声和大气污染较小的企业。</w:t>
            </w:r>
          </w:p>
        </w:tc>
        <w:tc>
          <w:tcPr>
            <w:tcW w:w="276" w:type="pct"/>
            <w:vAlign w:val="center"/>
          </w:tcPr>
          <w:p w14:paraId="39311613">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5751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4F318750">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污染物排放管控</w:t>
            </w:r>
          </w:p>
        </w:tc>
        <w:tc>
          <w:tcPr>
            <w:tcW w:w="2695" w:type="pct"/>
            <w:vAlign w:val="center"/>
          </w:tcPr>
          <w:p w14:paraId="3A20E3C7">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（2.1）废水：</w:t>
            </w:r>
            <w:bookmarkStart w:id="33" w:name="OLE_LINK14"/>
            <w:bookmarkStart w:id="34" w:name="OLE_LINK3"/>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园区废污水</w:t>
            </w:r>
            <w:r>
              <w:rPr>
                <w:rFonts w:hint="eastAsia" w:ascii="Times New Roman" w:hAnsi="Times New Roman" w:eastAsia="宋体" w:cs="Times New Roman"/>
                <w:bCs/>
                <w:color w:val="000000" w:themeColor="text1"/>
                <w:kern w:val="0"/>
                <w:sz w:val="22"/>
                <w:lang w:val="en-US" w:bidi="zh-CN"/>
                <w14:textFill>
                  <w14:solidFill>
                    <w14:schemeClr w14:val="tx1"/>
                  </w14:solidFill>
                </w14:textFill>
              </w:rPr>
              <w:t>经</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双牌县污水处理厂处理达标后排入潇水。园区实现了雨污分流，同步建设了雨水和污水管网。雨水收集排入农灌渠，最终排入潇水。污水由企业预处理后进入园区内污表水管网,汇集后通过污水管网输送到双牌县污水处理厂处理。达到《城镇污水处理厂污染物排放标准》(GB18918-2002)修改单一级B标准后排入水</w:t>
            </w:r>
            <w:bookmarkEnd w:id="33"/>
            <w:r>
              <w:rPr>
                <w:rFonts w:ascii="Times New Roman" w:hAnsi="Times New Roman" w:eastAsia="宋体" w:cs="Times New Roman"/>
                <w:bCs/>
                <w:color w:val="000000" w:themeColor="text1"/>
                <w:kern w:val="0"/>
                <w:sz w:val="22"/>
                <w:lang w:val="zh-CN" w:bidi="zh-CN"/>
                <w14:textFill>
                  <w14:solidFill>
                    <w14:schemeClr w14:val="tx1"/>
                  </w14:solidFill>
                </w14:textFill>
              </w:rPr>
              <w:t>。</w:t>
            </w:r>
            <w:bookmarkEnd w:id="34"/>
          </w:p>
          <w:p w14:paraId="1ACF095C">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（2.2）废气：</w:t>
            </w:r>
          </w:p>
          <w:p w14:paraId="13A6CD84">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bookmarkStart w:id="35" w:name="OLE_LINK13"/>
            <w:r>
              <w:rPr>
                <w:rFonts w:ascii="Times New Roman" w:hAnsi="Times New Roman" w:eastAsia="宋体" w:cs="Times New Roman"/>
                <w:bCs/>
                <w:color w:val="000000" w:themeColor="text1"/>
                <w:kern w:val="0"/>
                <w:sz w:val="22"/>
                <w:lang w:val="zh-CN" w:bidi="zh-CN"/>
                <w14:textFill>
                  <w14:solidFill>
                    <w14:schemeClr w14:val="tx1"/>
                  </w14:solidFill>
                </w14:textFill>
              </w:rPr>
              <w:t>（2.2.1）加强企业管理，对各企业有工艺废气产出的生产节点，应配置废气收集与处理净化装置，做到达标排放；加强生产工艺研究与技术改进，采取有效措施，减少工艺废气的无组织排放。</w:t>
            </w:r>
          </w:p>
          <w:p w14:paraId="0126F22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（2.2.2）全面推进生物医药、</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新能源新材料</w:t>
            </w:r>
            <w:r>
              <w:rPr>
                <w:rFonts w:ascii="Times New Roman" w:hAnsi="Times New Roman" w:eastAsia="宋体" w:cs="Times New Roman"/>
                <w:bCs/>
                <w:color w:val="000000" w:themeColor="text1"/>
                <w:kern w:val="0"/>
                <w:sz w:val="22"/>
                <w:lang w:val="zh-CN" w:bidi="zh-CN"/>
                <w14:textFill>
                  <w14:solidFill>
                    <w14:schemeClr w14:val="tx1"/>
                  </w14:solidFill>
                </w14:textFill>
              </w:rPr>
              <w:t>等工业 VOCs 综合治理，建立 VOCs 排放清单信息库，完善企业一企一档制度。</w:t>
            </w:r>
          </w:p>
          <w:p w14:paraId="4E25B583">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bookmarkStart w:id="36" w:name="OLE_LINK6"/>
            <w:r>
              <w:rPr>
                <w:rFonts w:ascii="Times New Roman" w:hAnsi="Times New Roman" w:eastAsia="宋体" w:cs="Times New Roman"/>
                <w:bCs/>
                <w:color w:val="000000" w:themeColor="text1"/>
                <w:kern w:val="0"/>
                <w:sz w:val="22"/>
                <w:lang w:val="zh-CN" w:bidi="zh-CN"/>
                <w14:textFill>
                  <w14:solidFill>
                    <w14:schemeClr w14:val="tx1"/>
                  </w14:solidFill>
                </w14:textFill>
              </w:rPr>
              <w:t>（2.2.3）</w:t>
            </w:r>
            <w:bookmarkEnd w:id="36"/>
            <w:r>
              <w:rPr>
                <w:rFonts w:ascii="Times New Roman" w:hAnsi="Times New Roman" w:eastAsia="宋体" w:cs="Times New Roman"/>
                <w:bCs/>
                <w:color w:val="000000" w:themeColor="text1"/>
                <w:kern w:val="0"/>
                <w:sz w:val="22"/>
                <w:lang w:val="zh-CN" w:bidi="zh-CN"/>
                <w14:textFill>
                  <w14:solidFill>
                    <w14:schemeClr w14:val="tx1"/>
                  </w14:solidFill>
                </w14:textFill>
              </w:rPr>
              <w:t>深化木材加工行业污染治理。</w:t>
            </w:r>
          </w:p>
          <w:p w14:paraId="17B14486">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（2.2.4）</w:t>
            </w:r>
            <w:r>
              <w:rPr>
                <w:rFonts w:ascii="Times New Roman" w:hAnsi="Times New Roman" w:eastAsia="宋体" w:cs="Times New Roman"/>
                <w:bCs/>
                <w:color w:val="000000" w:themeColor="text1"/>
                <w:kern w:val="0"/>
                <w:sz w:val="22"/>
                <w:lang w:val="zh-CN" w:bidi="zh-CN"/>
                <w14:textFill>
                  <w14:solidFill>
                    <w14:schemeClr w14:val="tx1"/>
                  </w14:solidFill>
                </w14:textFill>
              </w:rPr>
              <w:t>园区内医药制造等行业及涉锅炉大气污染物排放应满足《湖南省生态环境厅关于执行污染物特别排放限值（第一批）的公告》中的要求。</w:t>
            </w:r>
            <w:bookmarkEnd w:id="35"/>
          </w:p>
          <w:p w14:paraId="069E9722">
            <w:pPr>
              <w:autoSpaceDE w:val="0"/>
              <w:autoSpaceDN w:val="0"/>
              <w:adjustRightInd w:val="0"/>
              <w:snapToGrid w:val="0"/>
              <w:ind w:left="176"/>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（2.3）</w:t>
            </w:r>
            <w:bookmarkStart w:id="37" w:name="OLE_LINK12"/>
            <w:r>
              <w:rPr>
                <w:rFonts w:ascii="Times New Roman" w:hAnsi="Times New Roman" w:eastAsia="宋体" w:cs="Times New Roman"/>
                <w:bCs/>
                <w:color w:val="000000" w:themeColor="text1"/>
                <w:kern w:val="0"/>
                <w:sz w:val="22"/>
                <w:lang w:val="zh-CN" w:bidi="zh-CN"/>
                <w14:textFill>
                  <w14:solidFill>
                    <w14:schemeClr w14:val="tx1"/>
                  </w14:solidFill>
                </w14:textFill>
              </w:rPr>
              <w:t>固废：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固废应按国家有关规定综合利用或妥善处置，严防二次污染。</w:t>
            </w:r>
            <w:bookmarkEnd w:id="37"/>
          </w:p>
        </w:tc>
        <w:tc>
          <w:tcPr>
            <w:tcW w:w="1778" w:type="pct"/>
            <w:vAlign w:val="center"/>
          </w:tcPr>
          <w:p w14:paraId="0D18ADA6">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园区已开发区域均已铺设管网，并实行雨污分流制，污水汇入双牌县污水处理厂处理达标后外排至潇水；</w:t>
            </w:r>
          </w:p>
          <w:p w14:paraId="06CA78EC">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入园企业各工艺废气均按环评要求配套建设废气净化装置，做到达标排放。并加强生产工艺研究与技术改进，采取密闭、负压收集等有效措施，减少工艺废气的无组织排放；</w:t>
            </w:r>
          </w:p>
          <w:p w14:paraId="208DB16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已推进生物医药、</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新能源新材料</w:t>
            </w:r>
            <w:r>
              <w:rPr>
                <w:rFonts w:ascii="Times New Roman" w:hAnsi="Times New Roman" w:eastAsia="宋体" w:cs="Times New Roman"/>
                <w:bCs/>
                <w:color w:val="000000" w:themeColor="text1"/>
                <w:kern w:val="0"/>
                <w:sz w:val="22"/>
                <w:lang w:val="zh-CN" w:bidi="zh-CN"/>
                <w14:textFill>
                  <w14:solidFill>
                    <w14:schemeClr w14:val="tx1"/>
                  </w14:solidFill>
                </w14:textFill>
              </w:rPr>
              <w:t>等工业 VOCs 综合治理，建立 VOCs 排放清单信息库，完善企业一企一档制度；</w:t>
            </w:r>
          </w:p>
          <w:p w14:paraId="76DAA03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木材加工行业企业均按要求进行污染治理。园区内医药制造等行业即涉锅炉大气污染物排放满足《湖南省生态环境厅关于执行污染物特别排放限值（第一批）的公告》中的要求。</w:t>
            </w:r>
          </w:p>
          <w:p w14:paraId="3C405C5B">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固废按要求进行分类收集、转运、综合利用和无害化处理。下一步将建立统一的固废收集、贮存、运输、综合利用和安全处置的运营管理体系。园区内危废均委托有资质单位处置。</w:t>
            </w:r>
          </w:p>
        </w:tc>
        <w:tc>
          <w:tcPr>
            <w:tcW w:w="276" w:type="pct"/>
            <w:vAlign w:val="center"/>
          </w:tcPr>
          <w:p w14:paraId="0C23DFE9">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388A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71909494">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环境风险防控</w:t>
            </w:r>
          </w:p>
        </w:tc>
        <w:tc>
          <w:tcPr>
            <w:tcW w:w="2695" w:type="pct"/>
            <w:tcBorders>
              <w:top w:val="single" w:color="000000" w:sz="4" w:space="0"/>
              <w:left w:val="single" w:color="000000" w:sz="4" w:space="0"/>
              <w:bottom w:val="single" w:color="000000" w:sz="4" w:space="0"/>
              <w:right w:val="single" w:color="000000" w:sz="4" w:space="0"/>
            </w:tcBorders>
            <w:vAlign w:val="center"/>
          </w:tcPr>
          <w:p w14:paraId="52A0DFC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（3.1）</w:t>
            </w:r>
            <w:bookmarkStart w:id="38" w:name="OLE_LINK9"/>
            <w:r>
              <w:rPr>
                <w:rFonts w:hint="eastAsia" w:ascii="Times New Roman" w:hAnsi="Times New Roman" w:eastAsia="宋体" w:cs="Times New Roman"/>
                <w:bCs/>
                <w:color w:val="000000" w:themeColor="text1"/>
                <w:kern w:val="0"/>
                <w:sz w:val="22"/>
                <w:lang w:val="zh-CN" w:bidi="zh-CN"/>
                <w14:textFill>
                  <w14:solidFill>
                    <w14:schemeClr w14:val="tx1"/>
                  </w14:solidFill>
                </w14:textFill>
              </w:rPr>
              <w:t>按照工业开发区突发环境事件应急预案的相关要求</w:t>
            </w:r>
            <w:r>
              <w:rPr>
                <w:rFonts w:ascii="Times New Roman" w:hAnsi="Times New Roman" w:eastAsia="宋体" w:cs="Times New Roman"/>
                <w:bCs/>
                <w:color w:val="000000" w:themeColor="text1"/>
                <w:kern w:val="0"/>
                <w:sz w:val="22"/>
                <w:lang w:val="zh-CN" w:bidi="zh-CN"/>
                <w14:textFill>
                  <w14:solidFill>
                    <w14:schemeClr w14:val="tx1"/>
                  </w14:solidFill>
                </w14:textFill>
              </w:rPr>
              <w:t>，建立健全环境风险防控体系，加强区内重要风险源管控。加强危险化学品储运的环境风险管理，严格落实应急响应联动机制，确保区域水环境安全。</w:t>
            </w:r>
            <w:bookmarkEnd w:id="38"/>
          </w:p>
          <w:p w14:paraId="00B5083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（3.2）</w:t>
            </w:r>
            <w:bookmarkStart w:id="39" w:name="OLE_LINK10"/>
            <w:r>
              <w:rPr>
                <w:rFonts w:ascii="Times New Roman" w:hAnsi="Times New Roman" w:eastAsia="宋体" w:cs="Times New Roman"/>
                <w:bCs/>
                <w:color w:val="000000" w:themeColor="text1"/>
                <w:kern w:val="0"/>
                <w:sz w:val="22"/>
                <w:lang w:val="zh-CN" w:bidi="zh-CN"/>
                <w14:textFill>
                  <w14:solidFill>
                    <w14:schemeClr w14:val="tx1"/>
                  </w14:solidFill>
                </w14:textFill>
              </w:rPr>
              <w:t>园区可能发生突发环境事件的污染物排放企业，生产、储存、运输、使用危险化学品的企业，产生、收集、贮存、运输危险废物的企业等应当编制和实施环境应急预案；鼓励其他企业制定单独的环境应急预案，或在突发事件应急预案中制定环境应急预案专章，并备案。</w:t>
            </w:r>
            <w:bookmarkEnd w:id="39"/>
          </w:p>
          <w:p w14:paraId="3C081D29">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（3.3）</w:t>
            </w:r>
            <w:bookmarkStart w:id="40" w:name="OLE_LINK11"/>
            <w:r>
              <w:rPr>
                <w:rFonts w:hint="eastAsia" w:ascii="Times New Roman" w:hAnsi="Times New Roman" w:eastAsia="宋体" w:cs="Times New Roman"/>
                <w:bCs/>
                <w:color w:val="000000" w:themeColor="text1"/>
                <w:kern w:val="0"/>
                <w:sz w:val="22"/>
                <w:lang w:val="zh-CN" w:bidi="zh-CN"/>
                <w14:textFill>
                  <w14:solidFill>
                    <w14:schemeClr w14:val="tx1"/>
                  </w14:solidFill>
                </w14:textFill>
              </w:rPr>
              <w:t>对各类涉及可能造成土壤污染的新(改、扩)建项目，依法进行环境影响评价，严格落实对土壤环境影响的评价内容,并提出可行的土壤污染防治具体措施，与主体工程同时设计、同时施工、同时投产使用</w:t>
            </w:r>
            <w:bookmarkEnd w:id="40"/>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1778" w:type="pct"/>
            <w:tcBorders>
              <w:top w:val="single" w:color="000000" w:sz="4" w:space="0"/>
              <w:left w:val="single" w:color="000000" w:sz="4" w:space="0"/>
              <w:bottom w:val="single" w:color="000000" w:sz="4" w:space="0"/>
              <w:right w:val="single" w:color="000000" w:sz="4" w:space="0"/>
            </w:tcBorders>
            <w:vAlign w:val="center"/>
          </w:tcPr>
          <w:p w14:paraId="1E53942D">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已建设有完善的风险防控体系，加强区内重要风险源管控，加强危险化学品储运的环境风险管理，定期进行应急演练，检验应急响应联动机制，确保区域水环境安全。</w:t>
            </w:r>
          </w:p>
          <w:p w14:paraId="07683EF8">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园区内可能发生突发环境事件的污染物排放企业，生产、储存、运输、使用危险化学品的企业，产生、收集、贮存、运输危险废物的企业按要求编制应急预案并备案；</w:t>
            </w:r>
          </w:p>
          <w:p w14:paraId="4544618C">
            <w:pPr>
              <w:autoSpaceDE w:val="0"/>
              <w:autoSpaceDN w:val="0"/>
              <w:adjustRightInd w:val="0"/>
              <w:snapToGrid w:val="0"/>
              <w:ind w:left="176"/>
              <w:jc w:val="left"/>
              <w:rPr>
                <w:rFonts w:ascii="Times New Roman" w:hAnsi="Times New Roman" w:eastAsia="宋体" w:cs="Times New Roman"/>
                <w:color w:val="000000" w:themeColor="text1"/>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园区内无排放重金属行业企业，园区企业均能做到达标排放</w:t>
            </w:r>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vAlign w:val="center"/>
          </w:tcPr>
          <w:p w14:paraId="6B5F0D33">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78F71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2E96C82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资源开发效率要求</w:t>
            </w:r>
          </w:p>
        </w:tc>
        <w:tc>
          <w:tcPr>
            <w:tcW w:w="2695" w:type="pct"/>
            <w:tcBorders>
              <w:top w:val="single" w:color="000000" w:sz="4" w:space="0"/>
              <w:left w:val="single" w:color="000000" w:sz="4" w:space="0"/>
              <w:bottom w:val="single" w:color="000000" w:sz="4" w:space="0"/>
              <w:right w:val="single" w:color="000000" w:sz="4" w:space="0"/>
            </w:tcBorders>
            <w:vAlign w:val="center"/>
          </w:tcPr>
          <w:p w14:paraId="69885FAB">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（4.1）</w:t>
            </w:r>
            <w:bookmarkStart w:id="41" w:name="OLE_LINK7"/>
            <w:r>
              <w:rPr>
                <w:rFonts w:ascii="Times New Roman" w:hAnsi="Times New Roman" w:eastAsia="宋体" w:cs="Times New Roman"/>
                <w:bCs/>
                <w:color w:val="000000" w:themeColor="text1"/>
                <w:kern w:val="0"/>
                <w:sz w:val="22"/>
                <w:lang w:val="zh-CN" w:bidi="zh-CN"/>
                <w14:textFill>
                  <w14:solidFill>
                    <w14:schemeClr w14:val="tx1"/>
                  </w14:solidFill>
                </w14:textFill>
              </w:rPr>
              <w:t>能源：进一步优化园区能源消费结构，完善园区燃气及电力供应设施，扩大再生能源利用，严格控制新增煤炭消费量。预测到202</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5</w:t>
            </w:r>
            <w:r>
              <w:rPr>
                <w:rFonts w:ascii="Times New Roman" w:hAnsi="Times New Roman" w:eastAsia="宋体" w:cs="Times New Roman"/>
                <w:bCs/>
                <w:color w:val="000000" w:themeColor="text1"/>
                <w:kern w:val="0"/>
                <w:sz w:val="22"/>
                <w:lang w:val="zh-CN" w:bidi="zh-CN"/>
                <w14:textFill>
                  <w14:solidFill>
                    <w14:schemeClr w14:val="tx1"/>
                  </w14:solidFill>
                </w14:textFill>
              </w:rPr>
              <w:t>年末，园区能源消耗总量约为</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8826.08</w:t>
            </w:r>
            <w:r>
              <w:rPr>
                <w:rFonts w:ascii="Times New Roman" w:hAnsi="Times New Roman" w:eastAsia="宋体" w:cs="Times New Roman"/>
                <w:bCs/>
                <w:color w:val="000000" w:themeColor="text1"/>
                <w:kern w:val="0"/>
                <w:sz w:val="22"/>
                <w:lang w:val="zh-CN" w:bidi="zh-CN"/>
                <w14:textFill>
                  <w14:solidFill>
                    <w14:schemeClr w14:val="tx1"/>
                  </w14:solidFill>
                </w14:textFill>
              </w:rPr>
              <w:t>吨标煤（当量值），单位 GDP 能耗约为</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0.0167</w:t>
            </w:r>
            <w:r>
              <w:rPr>
                <w:rFonts w:ascii="Times New Roman" w:hAnsi="Times New Roman" w:eastAsia="宋体" w:cs="Times New Roman"/>
                <w:bCs/>
                <w:color w:val="000000" w:themeColor="text1"/>
                <w:kern w:val="0"/>
                <w:sz w:val="22"/>
                <w:lang w:val="zh-CN" w:bidi="zh-CN"/>
                <w14:textFill>
                  <w14:solidFill>
                    <w14:schemeClr w14:val="tx1"/>
                  </w14:solidFill>
                </w14:textFill>
              </w:rPr>
              <w:t>吨标煤/万元</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w:t>
            </w:r>
            <w:r>
              <w:rPr>
                <w:rFonts w:ascii="Times New Roman" w:hAnsi="Times New Roman" w:eastAsia="宋体" w:cs="Times New Roman"/>
                <w:bCs/>
                <w:color w:val="000000" w:themeColor="text1"/>
                <w:kern w:val="0"/>
                <w:sz w:val="22"/>
                <w:lang w:val="zh-CN" w:bidi="zh-CN"/>
                <w14:textFill>
                  <w14:solidFill>
                    <w14:schemeClr w14:val="tx1"/>
                  </w14:solidFill>
                </w14:textFill>
              </w:rPr>
              <w:t>单位增加值能耗为 0.0518 吨标煤/万元。</w:t>
            </w:r>
            <w:bookmarkEnd w:id="41"/>
          </w:p>
          <w:p w14:paraId="2FCB207A">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（4.2）</w:t>
            </w:r>
            <w:bookmarkStart w:id="42" w:name="OLE_LINK4"/>
            <w:r>
              <w:rPr>
                <w:rFonts w:ascii="Times New Roman" w:hAnsi="Times New Roman" w:eastAsia="宋体" w:cs="Times New Roman"/>
                <w:bCs/>
                <w:color w:val="000000" w:themeColor="text1"/>
                <w:kern w:val="0"/>
                <w:sz w:val="22"/>
                <w:lang w:val="zh-CN" w:bidi="zh-CN"/>
                <w14:textFill>
                  <w14:solidFill>
                    <w14:schemeClr w14:val="tx1"/>
                  </w14:solidFill>
                </w14:textFill>
              </w:rPr>
              <w:t>水资源：强化用水定额管理，新建、改建、扩建工业项目必须满足用水定额标准要求。到 202</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5</w:t>
            </w:r>
            <w:r>
              <w:rPr>
                <w:rFonts w:ascii="Times New Roman" w:hAnsi="Times New Roman" w:eastAsia="宋体" w:cs="Times New Roman"/>
                <w:bCs/>
                <w:color w:val="000000" w:themeColor="text1"/>
                <w:kern w:val="0"/>
                <w:sz w:val="22"/>
                <w:lang w:val="zh-CN" w:bidi="zh-CN"/>
                <w14:textFill>
                  <w14:solidFill>
                    <w14:schemeClr w14:val="tx1"/>
                  </w14:solidFill>
                </w14:textFill>
              </w:rPr>
              <w:t xml:space="preserve"> 年，</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园区指标应符合相应行政区域的管控要求，双牌县用水总量为6600万立方米以内，万元地区生产总值用水量、万元工业增加值用水量分别比2020年降低18.06%、8.87%</w:t>
            </w:r>
            <w:r>
              <w:rPr>
                <w:rFonts w:ascii="Times New Roman" w:hAnsi="Times New Roman" w:eastAsia="宋体" w:cs="Times New Roman"/>
                <w:bCs/>
                <w:color w:val="000000" w:themeColor="text1"/>
                <w:kern w:val="0"/>
                <w:sz w:val="22"/>
                <w:lang w:val="zh-CN" w:bidi="zh-CN"/>
                <w14:textFill>
                  <w14:solidFill>
                    <w14:schemeClr w14:val="tx1"/>
                  </w14:solidFill>
                </w14:textFill>
              </w:rPr>
              <w:t>。</w:t>
            </w:r>
            <w:bookmarkEnd w:id="42"/>
          </w:p>
          <w:p w14:paraId="1EA9BDBE">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（4.3）</w:t>
            </w:r>
            <w:bookmarkStart w:id="43" w:name="OLE_LINK8"/>
            <w:r>
              <w:rPr>
                <w:rFonts w:ascii="Times New Roman" w:hAnsi="Times New Roman" w:eastAsia="宋体" w:cs="Times New Roman"/>
                <w:bCs/>
                <w:color w:val="000000" w:themeColor="text1"/>
                <w:kern w:val="0"/>
                <w:sz w:val="22"/>
                <w:lang w:val="zh-CN" w:bidi="zh-CN"/>
                <w14:textFill>
                  <w14:solidFill>
                    <w14:schemeClr w14:val="tx1"/>
                  </w14:solidFill>
                </w14:textFill>
              </w:rPr>
              <w:t>土地资源：</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bookmarkEnd w:id="43"/>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1778" w:type="pct"/>
            <w:tcBorders>
              <w:top w:val="single" w:color="000000" w:sz="4" w:space="0"/>
              <w:left w:val="single" w:color="000000" w:sz="4" w:space="0"/>
              <w:bottom w:val="single" w:color="000000" w:sz="4" w:space="0"/>
              <w:right w:val="single" w:color="000000" w:sz="4" w:space="0"/>
            </w:tcBorders>
            <w:vAlign w:val="center"/>
          </w:tcPr>
          <w:p w14:paraId="70E0D83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园区电力设施完善。园区内企业目前采用再生能源（生物质</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燃料</w:t>
            </w:r>
            <w:r>
              <w:rPr>
                <w:rFonts w:ascii="Times New Roman" w:hAnsi="Times New Roman" w:eastAsia="宋体" w:cs="Times New Roman"/>
                <w:bCs/>
                <w:color w:val="000000" w:themeColor="text1"/>
                <w:kern w:val="0"/>
                <w:sz w:val="22"/>
                <w:lang w:val="zh-CN" w:bidi="zh-CN"/>
                <w14:textFill>
                  <w14:solidFill>
                    <w14:schemeClr w14:val="tx1"/>
                  </w14:solidFill>
                </w14:textFill>
              </w:rPr>
              <w:t>）为主，无使用煤炭企业。</w:t>
            </w:r>
          </w:p>
          <w:p w14:paraId="7CD2DC83">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入园企业均满足用水定额要求；</w:t>
            </w:r>
          </w:p>
          <w:p w14:paraId="40629296">
            <w:pPr>
              <w:autoSpaceDE w:val="0"/>
              <w:autoSpaceDN w:val="0"/>
              <w:adjustRightInd w:val="0"/>
              <w:snapToGrid w:val="0"/>
              <w:ind w:left="176"/>
              <w:jc w:val="left"/>
              <w:rPr>
                <w:rFonts w:hint="eastAsia"/>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入园企业用地严格按照土地资源相关规定进行。</w:t>
            </w:r>
          </w:p>
        </w:tc>
        <w:tc>
          <w:tcPr>
            <w:tcW w:w="276" w:type="pct"/>
            <w:tcBorders>
              <w:top w:val="single" w:color="000000" w:sz="4" w:space="0"/>
              <w:left w:val="single" w:color="000000" w:sz="4" w:space="0"/>
              <w:bottom w:val="single" w:color="000000" w:sz="4" w:space="0"/>
              <w:right w:val="single" w:color="000000" w:sz="4" w:space="0"/>
            </w:tcBorders>
            <w:vAlign w:val="center"/>
          </w:tcPr>
          <w:p w14:paraId="209E6E38">
            <w:pPr>
              <w:pStyle w:val="2"/>
              <w:ind w:firstLine="0" w:firstLineChars="0"/>
              <w:jc w:val="center"/>
              <w:rPr>
                <w:bCs/>
                <w:color w:val="000000" w:themeColor="text1"/>
                <w:kern w:val="0"/>
                <w:sz w:val="22"/>
                <w:lang w:val="zh-CN" w:bidi="zh-CN"/>
                <w14:textFill>
                  <w14:solidFill>
                    <w14:schemeClr w14:val="tx1"/>
                  </w14:solidFill>
                </w14:textFill>
              </w:rPr>
            </w:pPr>
            <w:r>
              <w:rPr>
                <w:rFonts w:hint="eastAsia" w:ascii="宋体" w:hAnsi="宋体" w:eastAsia="宋体" w:cs="宋体"/>
                <w:bCs/>
                <w:color w:val="000000" w:themeColor="text1"/>
                <w:kern w:val="0"/>
                <w:sz w:val="22"/>
                <w:lang w:val="zh-CN" w:bidi="zh-CN"/>
                <w14:textFill>
                  <w14:solidFill>
                    <w14:schemeClr w14:val="tx1"/>
                  </w14:solidFill>
                </w14:textFill>
              </w:rPr>
              <w:t>落实</w:t>
            </w:r>
          </w:p>
        </w:tc>
      </w:tr>
      <w:bookmarkEnd w:id="31"/>
    </w:tbl>
    <w:p w14:paraId="3A8C0F6F">
      <w:pPr>
        <w:pStyle w:val="2"/>
        <w:snapToGrid w:val="0"/>
        <w:spacing w:line="560" w:lineRule="exact"/>
        <w:ind w:firstLine="640"/>
        <w:rPr>
          <w:color w:val="000000" w:themeColor="text1"/>
          <w:szCs w:val="32"/>
          <w14:textFill>
            <w14:solidFill>
              <w14:schemeClr w14:val="tx1"/>
            </w14:solidFill>
          </w14:textFill>
        </w:rPr>
        <w:sectPr>
          <w:pgSz w:w="16838" w:h="11906" w:orient="landscape"/>
          <w:pgMar w:top="1797" w:right="1440" w:bottom="1797" w:left="1440" w:header="851" w:footer="992" w:gutter="0"/>
          <w:cols w:space="720" w:num="1"/>
          <w:docGrid w:type="linesAndChars" w:linePitch="312" w:charSpace="0"/>
        </w:sectPr>
      </w:pPr>
    </w:p>
    <w:p w14:paraId="2A38E653">
      <w:pPr>
        <w:snapToGrid w:val="0"/>
        <w:spacing w:line="600"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（三）水环境管理</w:t>
      </w:r>
    </w:p>
    <w:p w14:paraId="63E8BF30">
      <w:pPr>
        <w:pStyle w:val="2"/>
        <w:snapToGrid w:val="0"/>
        <w:ind w:firstLine="640"/>
        <w:rPr>
          <w:rFonts w:hint="eastAsia" w:ascii="宋体" w:hAnsi="宋体" w:eastAsia="宋体"/>
          <w:color w:val="000000" w:themeColor="text1"/>
          <w:szCs w:val="32"/>
          <w14:textFill>
            <w14:solidFill>
              <w14:schemeClr w14:val="tx1"/>
            </w14:solidFill>
          </w14:textFill>
        </w:rPr>
      </w:pPr>
      <w:bookmarkStart w:id="44" w:name="_Hlk67420434"/>
      <w:r>
        <w:rPr>
          <w:rFonts w:hint="eastAsia" w:ascii="仿宋_GB2312" w:hAnsi="仿宋_GB2312" w:cs="仿宋_GB2312"/>
          <w:color w:val="000000" w:themeColor="text1"/>
          <w:szCs w:val="32"/>
          <w14:textFill>
            <w14:solidFill>
              <w14:schemeClr w14:val="tx1"/>
            </w14:solidFill>
          </w14:textFill>
        </w:rPr>
        <w:t>园区配套集中污水处理设施1个，园区污水管网覆盖率为100%，集中污水处理设施名称为</w:t>
      </w:r>
      <w:bookmarkStart w:id="45" w:name="_Hlk127980892"/>
      <w:r>
        <w:rPr>
          <w:rFonts w:hint="eastAsia" w:ascii="仿宋_GB2312" w:hAnsi="仿宋_GB2312" w:cs="仿宋_GB2312"/>
          <w:color w:val="000000" w:themeColor="text1"/>
          <w:szCs w:val="32"/>
          <w14:textFill>
            <w14:solidFill>
              <w14:schemeClr w14:val="tx1"/>
            </w14:solidFill>
          </w14:textFill>
        </w:rPr>
        <w:t>双牌县污水处理厂</w:t>
      </w:r>
      <w:bookmarkEnd w:id="45"/>
      <w:r>
        <w:rPr>
          <w:rFonts w:hint="eastAsia" w:ascii="仿宋_GB2312" w:hAnsi="仿宋_GB2312" w:cs="仿宋_GB2312"/>
          <w:color w:val="000000" w:themeColor="text1"/>
          <w:szCs w:val="32"/>
          <w14:textFill>
            <w14:solidFill>
              <w14:schemeClr w14:val="tx1"/>
            </w14:solidFill>
          </w14:textFill>
        </w:rPr>
        <w:t>，双牌县污水处理厂一期工程设计规模为1.0</w:t>
      </w:r>
      <w:bookmarkStart w:id="46" w:name="_Hlk159850217"/>
      <w:r>
        <w:rPr>
          <w:rFonts w:hint="eastAsia" w:ascii="仿宋_GB2312" w:hAnsi="仿宋_GB2312" w:cs="仿宋_GB2312"/>
          <w:color w:val="000000" w:themeColor="text1"/>
          <w:szCs w:val="32"/>
          <w14:textFill>
            <w14:solidFill>
              <w14:schemeClr w14:val="tx1"/>
            </w14:solidFill>
          </w14:textFill>
        </w:rPr>
        <w:t>万</w:t>
      </w:r>
      <w:bookmarkEnd w:id="46"/>
      <w:r>
        <w:rPr>
          <w:rFonts w:hint="eastAsia" w:ascii="仿宋_GB2312" w:hAnsi="仿宋_GB2312" w:cs="仿宋_GB2312"/>
          <w:color w:val="000000" w:themeColor="text1"/>
          <w:szCs w:val="32"/>
          <w14:textFill>
            <w14:solidFill>
              <w14:schemeClr w14:val="tx1"/>
            </w14:solidFill>
          </w14:textFill>
        </w:rPr>
        <w:t>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/d，实际处理规模1.0万 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/d，污水处理工艺为 “粗格栅+提升泵房+细格栅+旋流沉砂池+CASS池+高效沉淀池（含中间提升）+深床滤池+紫外线消毒”的处理工艺。</w:t>
      </w:r>
      <w:r>
        <w:rPr>
          <w:rFonts w:ascii="宋体" w:hAnsi="宋体" w:eastAsia="宋体"/>
          <w:color w:val="000000" w:themeColor="text1"/>
          <w:szCs w:val="32"/>
          <w14:textFill>
            <w14:solidFill>
              <w14:schemeClr w14:val="tx1"/>
            </w14:solidFill>
          </w14:textFill>
        </w:rPr>
        <w:t xml:space="preserve"> </w:t>
      </w:r>
    </w:p>
    <w:p w14:paraId="72FB87C0">
      <w:pPr>
        <w:pStyle w:val="2"/>
        <w:ind w:firstLine="640"/>
        <w:rPr>
          <w:rFonts w:hint="eastAsia" w:ascii="仿宋_GB2312" w:hAnsi="仿宋_GB2312" w:cs="仿宋_GB2312"/>
          <w:color w:val="000000" w:themeColor="text1"/>
          <w:szCs w:val="32"/>
          <w14:textFill>
            <w14:solidFill>
              <w14:schemeClr w14:val="tx1"/>
            </w14:solidFill>
          </w14:textFill>
        </w:rPr>
      </w:pPr>
      <w:bookmarkStart w:id="47" w:name="_Hlk127980846"/>
      <w:r>
        <w:rPr>
          <w:rFonts w:hint="eastAsia" w:ascii="仿宋_GB2312" w:hAnsi="仿宋_GB2312" w:cs="仿宋_GB2312"/>
          <w:color w:val="000000" w:themeColor="text1"/>
          <w:szCs w:val="32"/>
          <w14:textFill>
            <w14:solidFill>
              <w14:schemeClr w14:val="tx1"/>
            </w14:solidFill>
          </w14:textFill>
        </w:rPr>
        <w:t>二期提标改造工程（工业集中区污水处理）</w:t>
      </w:r>
      <w:bookmarkEnd w:id="47"/>
      <w:r>
        <w:rPr>
          <w:rFonts w:hint="eastAsia" w:ascii="仿宋_GB2312" w:hAnsi="仿宋_GB2312" w:cs="仿宋_GB2312"/>
          <w:color w:val="000000" w:themeColor="text1"/>
          <w:szCs w:val="32"/>
          <w14:textFill>
            <w14:solidFill>
              <w14:schemeClr w14:val="tx1"/>
            </w14:solidFill>
          </w14:textFill>
        </w:rPr>
        <w:t>已建成并投入运营，</w:t>
      </w:r>
      <w:bookmarkStart w:id="48" w:name="_Hlk127981032"/>
      <w:r>
        <w:rPr>
          <w:rFonts w:hint="eastAsia" w:ascii="仿宋_GB2312" w:hAnsi="仿宋_GB2312" w:cs="仿宋_GB2312"/>
          <w:color w:val="000000" w:themeColor="text1"/>
          <w:szCs w:val="32"/>
          <w14:textFill>
            <w14:solidFill>
              <w14:schemeClr w14:val="tx1"/>
            </w14:solidFill>
          </w14:textFill>
        </w:rPr>
        <w:t>二期设计处理规模为1.0万m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w:t>
      </w:r>
      <w:bookmarkEnd w:id="48"/>
      <w:r>
        <w:rPr>
          <w:rFonts w:hint="eastAsia" w:ascii="仿宋_GB2312" w:hAnsi="仿宋_GB2312" w:cs="仿宋_GB2312"/>
          <w:color w:val="000000" w:themeColor="text1"/>
          <w:szCs w:val="32"/>
          <w14:textFill>
            <w14:solidFill>
              <w14:schemeClr w14:val="tx1"/>
            </w14:solidFill>
          </w14:textFill>
        </w:rPr>
        <w:t>提标改造后污水厂设计废水总处理规模2.0万m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w:t>
      </w:r>
      <w:bookmarkStart w:id="49" w:name="_Hlk127981313"/>
      <w:r>
        <w:rPr>
          <w:rFonts w:hint="eastAsia" w:ascii="仿宋_GB2312" w:hAnsi="仿宋_GB2312" w:cs="仿宋_GB2312"/>
          <w:color w:val="000000" w:themeColor="text1"/>
          <w:szCs w:val="32"/>
          <w14:textFill>
            <w14:solidFill>
              <w14:schemeClr w14:val="tx1"/>
            </w14:solidFill>
          </w14:textFill>
        </w:rPr>
        <w:t>二期实际处理规模为0.1707万m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w:t>
      </w:r>
      <w:bookmarkEnd w:id="49"/>
      <w:r>
        <w:rPr>
          <w:rFonts w:hint="eastAsia" w:ascii="仿宋_GB2312" w:hAnsi="仿宋_GB2312" w:cs="仿宋_GB2312"/>
          <w:color w:val="000000" w:themeColor="text1"/>
          <w:szCs w:val="32"/>
          <w14:textFill>
            <w14:solidFill>
              <w14:schemeClr w14:val="tx1"/>
            </w14:solidFill>
          </w14:textFill>
        </w:rPr>
        <w:t>，污水厂提标改造后实际处理规模现阶段共计约1.1707万m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/d。采用“粗格栅+提升泵房+细格栅+旋流沉砂池+水解酸化池+A</w:t>
      </w:r>
      <w:r>
        <w:rPr>
          <w:rFonts w:hint="eastAsia" w:ascii="仿宋_GB2312" w:hAnsi="仿宋_GB2312" w:cs="仿宋_GB2312"/>
          <w:color w:val="000000" w:themeColor="text1"/>
          <w:szCs w:val="32"/>
          <w:vertAlign w:val="superscript"/>
          <w14:textFill>
            <w14:solidFill>
              <w14:schemeClr w14:val="tx1"/>
            </w14:solidFill>
          </w14:textFill>
        </w:rPr>
        <w:t>2</w:t>
      </w:r>
      <w:r>
        <w:rPr>
          <w:rFonts w:hint="eastAsia" w:ascii="仿宋_GB2312" w:hAnsi="仿宋_GB2312" w:cs="仿宋_GB2312"/>
          <w:color w:val="000000" w:themeColor="text1"/>
          <w:szCs w:val="32"/>
          <w14:textFill>
            <w14:solidFill>
              <w14:schemeClr w14:val="tx1"/>
            </w14:solidFill>
          </w14:textFill>
        </w:rPr>
        <w:t>/O 生物池+高效沉淀池（含中间提升）+紫外线消毒”的处理工艺，其中“高效沉淀池（含中间提升）+砂滤池”按扩建后总规模2.0万m</w:t>
      </w:r>
      <w:r>
        <w:rPr>
          <w:rFonts w:hint="eastAsia" w:ascii="仿宋_GB2312" w:hAnsi="仿宋_GB2312" w:cs="仿宋_GB2312"/>
          <w:color w:val="000000" w:themeColor="text1"/>
          <w:szCs w:val="32"/>
          <w:vertAlign w:val="superscript"/>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/d设计，一、二期共用，提标改造后污水厂出水水质提高到《城镇污水处理厂污染物排放标准》（GB18918-2002）一级A标准，排入潇水。</w:t>
      </w:r>
    </w:p>
    <w:p w14:paraId="3693BF7F">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废水在线监测达标率 100 %，园区雨水管网覆盖率 100 %。</w:t>
      </w:r>
    </w:p>
    <w:bookmarkEnd w:id="44"/>
    <w:p w14:paraId="5D263098">
      <w:pPr>
        <w:pStyle w:val="2"/>
        <w:ind w:firstLine="640"/>
        <w:rPr>
          <w:rFonts w:hint="eastAsia" w:ascii="仿宋_GB2312" w:hAnsi="仿宋_GB2312" w:cs="仿宋_GB2312"/>
          <w:color w:val="000000" w:themeColor="text1"/>
          <w:szCs w:val="32"/>
          <w14:textFill>
            <w14:solidFill>
              <w14:schemeClr w14:val="tx1"/>
            </w14:solidFill>
          </w14:textFill>
        </w:rPr>
      </w:pPr>
      <w:bookmarkStart w:id="50" w:name="_Hlk131063497"/>
      <w:bookmarkStart w:id="51" w:name="_Hlk67420540"/>
      <w:r>
        <w:rPr>
          <w:rFonts w:hint="eastAsia" w:ascii="仿宋_GB2312" w:hAnsi="仿宋_GB2312" w:cs="仿宋_GB2312"/>
          <w:color w:val="000000" w:themeColor="text1"/>
          <w:szCs w:val="32"/>
          <w14:textFill>
            <w14:solidFill>
              <w14:schemeClr w14:val="tx1"/>
            </w14:solidFill>
          </w14:textFill>
        </w:rPr>
        <w:t>园区内涉及工业废水外排企业数量8个，工业废水总排放量约1700m³/d，外排污水纳管企业数量7个，污水集中处理比例99.58%（按外排水量计），无涉一类污染物排放企业。</w:t>
      </w:r>
    </w:p>
    <w:bookmarkEnd w:id="50"/>
    <w:p w14:paraId="1D231FAC">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园区年度水污染物总排放量：化学需氧量7.799t/a，氨氮0.94t/a，其他因子（重金属等）0t/a。</w:t>
      </w:r>
    </w:p>
    <w:p w14:paraId="6782C4E7">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园区双牌县污水处理厂排污口下游最近的地表水水质管控断面名称五里牌，水功能区划III类，监测达标率100%，无超标因子。</w:t>
      </w:r>
    </w:p>
    <w:p w14:paraId="1EC8AD55">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目前，园区无“双源”地下水监测。</w:t>
      </w:r>
    </w:p>
    <w:p w14:paraId="13AE6070">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园区内涉及黑臭水体数量0个，已完成整治/个，未开工的/个，修复中的/个。</w:t>
      </w:r>
    </w:p>
    <w:bookmarkEnd w:id="51"/>
    <w:p w14:paraId="23B651E6">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（四）大气环境管理</w:t>
      </w:r>
    </w:p>
    <w:p w14:paraId="2470BAA6">
      <w:pPr>
        <w:pStyle w:val="2"/>
        <w:ind w:firstLine="640"/>
        <w:rPr>
          <w:rFonts w:hint="eastAsia" w:ascii="仿宋_GB2312" w:hAnsi="仿宋_GB2312" w:cs="仿宋_GB2312"/>
          <w:color w:val="000000" w:themeColor="text1"/>
          <w:szCs w:val="32"/>
          <w14:textFill>
            <w14:solidFill>
              <w14:schemeClr w14:val="tx1"/>
            </w14:solidFill>
          </w14:textFill>
        </w:rPr>
      </w:pPr>
      <w:bookmarkStart w:id="52" w:name="_Hlk131063688"/>
      <w:bookmarkStart w:id="53" w:name="_Hlk67420477"/>
      <w:r>
        <w:rPr>
          <w:rFonts w:hint="eastAsia" w:ascii="仿宋_GB2312" w:hAnsi="仿宋_GB2312" w:cs="仿宋_GB2312"/>
          <w:color w:val="000000" w:themeColor="text1"/>
          <w:szCs w:val="32"/>
          <w14:textFill>
            <w14:solidFill>
              <w14:schemeClr w14:val="tx1"/>
            </w14:solidFill>
          </w14:textFill>
        </w:rPr>
        <w:t>园区内涉及工业废气外排企业数量15个，大气质量监测达标率 100%（企业污染源监测），无超标因子。大气污染物总排放量：二氧化硫15.523t/a，氮氧化物17.73t/a，VOCs 6.387t/a。</w:t>
      </w:r>
    </w:p>
    <w:bookmarkEnd w:id="52"/>
    <w:p w14:paraId="13B540D5">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园区空气监测站建设情况：</w:t>
      </w:r>
      <w:bookmarkStart w:id="54" w:name="_Hlk69368726"/>
      <w:r>
        <w:rPr>
          <w:rFonts w:hint="eastAsia" w:ascii="仿宋_GB2312" w:hAnsi="仿宋_GB2312" w:cs="仿宋_GB2312"/>
          <w:color w:val="000000" w:themeColor="text1"/>
          <w:szCs w:val="32"/>
          <w14:textFill>
            <w14:solidFill>
              <w14:schemeClr w14:val="tx1"/>
            </w14:solidFill>
          </w14:textFill>
        </w:rPr>
        <w:t>2021年10月园区完成建设环境空气小微站1座，监测点位位于双牌工业园管委会，监测因子为PM2.5、PM10、SO2、NO2、O3、CO以及气象参数等</w:t>
      </w:r>
      <w:bookmarkEnd w:id="54"/>
      <w:r>
        <w:rPr>
          <w:rFonts w:hint="eastAsia" w:ascii="仿宋_GB2312" w:hAnsi="仿宋_GB2312" w:cs="仿宋_GB2312"/>
          <w:color w:val="000000" w:themeColor="text1"/>
          <w:szCs w:val="32"/>
          <w14:textFill>
            <w14:solidFill>
              <w14:schemeClr w14:val="tx1"/>
            </w14:solidFill>
          </w14:textFill>
        </w:rPr>
        <w:t>，达标率为100%。</w:t>
      </w:r>
    </w:p>
    <w:bookmarkEnd w:id="53"/>
    <w:p w14:paraId="2B84ECA5">
      <w:pPr>
        <w:pStyle w:val="2"/>
        <w:ind w:firstLine="640"/>
        <w:rPr>
          <w:rFonts w:hint="eastAsia" w:ascii="仿宋_GB2312" w:hAnsi="仿宋_GB2312" w:cs="仿宋_GB2312"/>
          <w:color w:val="000000" w:themeColor="text1"/>
          <w:szCs w:val="32"/>
          <w14:textFill>
            <w14:solidFill>
              <w14:schemeClr w14:val="tx1"/>
            </w14:solidFill>
          </w14:textFill>
        </w:rPr>
      </w:pPr>
      <w:bookmarkStart w:id="55" w:name="_Hlk67420609"/>
      <w:r>
        <w:rPr>
          <w:rFonts w:hint="eastAsia" w:ascii="仿宋_GB2312" w:hAnsi="仿宋_GB2312" w:cs="仿宋_GB2312"/>
          <w:color w:val="000000" w:themeColor="text1"/>
          <w:szCs w:val="32"/>
          <w14:textFill>
            <w14:solidFill>
              <w14:schemeClr w14:val="tx1"/>
            </w14:solidFill>
          </w14:textFill>
        </w:rPr>
        <w:t>（五）土壤环境管理</w:t>
      </w:r>
    </w:p>
    <w:p w14:paraId="25773170">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园区不需开展土壤环境质量监测。</w:t>
      </w:r>
    </w:p>
    <w:p w14:paraId="68B051B4">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园区内未涉及污染地块。</w:t>
      </w:r>
    </w:p>
    <w:bookmarkEnd w:id="55"/>
    <w:p w14:paraId="4F3B5330">
      <w:pPr>
        <w:pStyle w:val="2"/>
        <w:ind w:firstLine="640"/>
        <w:rPr>
          <w:rFonts w:hint="eastAsia" w:ascii="仿宋_GB2312" w:hAnsi="仿宋_GB2312" w:cs="仿宋_GB2312"/>
          <w:color w:val="000000" w:themeColor="text1"/>
          <w:szCs w:val="32"/>
          <w14:textFill>
            <w14:solidFill>
              <w14:schemeClr w14:val="tx1"/>
            </w14:solidFill>
          </w14:textFill>
        </w:rPr>
      </w:pPr>
      <w:bookmarkStart w:id="56" w:name="_Hlk67420558"/>
      <w:r>
        <w:rPr>
          <w:rFonts w:hint="eastAsia" w:ascii="仿宋_GB2312" w:hAnsi="仿宋_GB2312" w:cs="仿宋_GB2312"/>
          <w:color w:val="000000" w:themeColor="text1"/>
          <w:szCs w:val="32"/>
          <w14:textFill>
            <w14:solidFill>
              <w14:schemeClr w14:val="tx1"/>
            </w14:solidFill>
          </w14:textFill>
        </w:rPr>
        <w:t>（六）固体废物管理</w:t>
      </w:r>
    </w:p>
    <w:p w14:paraId="31F32863">
      <w:pPr>
        <w:pStyle w:val="2"/>
        <w:ind w:firstLine="640"/>
        <w:rPr>
          <w:rFonts w:hint="eastAsia" w:ascii="仿宋_GB2312" w:hAnsi="仿宋_GB2312" w:cs="仿宋_GB2312"/>
          <w:color w:val="000000" w:themeColor="text1"/>
          <w:szCs w:val="32"/>
          <w14:textFill>
            <w14:solidFill>
              <w14:schemeClr w14:val="tx1"/>
            </w14:solidFill>
          </w14:textFill>
        </w:rPr>
      </w:pPr>
      <w:bookmarkStart w:id="57" w:name="_Hlk131063961"/>
      <w:r>
        <w:rPr>
          <w:rFonts w:hint="eastAsia" w:ascii="仿宋_GB2312" w:hAnsi="仿宋_GB2312" w:cs="仿宋_GB2312"/>
          <w:color w:val="000000" w:themeColor="text1"/>
          <w:szCs w:val="32"/>
          <w14:textFill>
            <w14:solidFill>
              <w14:schemeClr w14:val="tx1"/>
            </w14:solidFill>
          </w14:textFill>
        </w:rPr>
        <w:t>园区一般工业固体废物产生企业数量23个，产生量89870.682 t/a，其中，自行综合利用2312.782 t/a，自行处置 0t/a，外委处置87582.8 t/a。危险废物产生企业数量17个，产生量140.845t/a，其中，自行综合利用0t/a，自行处置0t/a，外委处置140.845t/a。</w:t>
      </w:r>
    </w:p>
    <w:bookmarkEnd w:id="57"/>
    <w:p w14:paraId="58613089">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园区无集中的工业固废处理设施。</w:t>
      </w:r>
    </w:p>
    <w:bookmarkEnd w:id="56"/>
    <w:p w14:paraId="238FD80E">
      <w:pPr>
        <w:pStyle w:val="2"/>
        <w:ind w:firstLine="640"/>
        <w:rPr>
          <w:rFonts w:hint="eastAsia" w:ascii="仿宋_GB2312" w:hAnsi="仿宋_GB2312" w:cs="仿宋_GB2312"/>
          <w:color w:val="000000" w:themeColor="text1"/>
          <w:szCs w:val="32"/>
          <w14:textFill>
            <w14:solidFill>
              <w14:schemeClr w14:val="tx1"/>
            </w14:solidFill>
          </w14:textFill>
        </w:rPr>
      </w:pPr>
      <w:bookmarkStart w:id="58" w:name="_Hlk67421033"/>
      <w:r>
        <w:rPr>
          <w:rFonts w:hint="eastAsia" w:ascii="仿宋_GB2312" w:hAnsi="仿宋_GB2312" w:cs="仿宋_GB2312"/>
          <w:color w:val="000000" w:themeColor="text1"/>
          <w:szCs w:val="32"/>
          <w14:textFill>
            <w14:solidFill>
              <w14:schemeClr w14:val="tx1"/>
            </w14:solidFill>
          </w14:textFill>
        </w:rPr>
        <w:t>（七）投诉管理</w:t>
      </w:r>
    </w:p>
    <w:p w14:paraId="60605438">
      <w:pPr>
        <w:pStyle w:val="2"/>
        <w:ind w:firstLine="640"/>
        <w:rPr>
          <w:rFonts w:hint="eastAsia" w:ascii="仿宋_GB2312" w:hAnsi="仿宋_GB2312" w:cs="仿宋_GB2312"/>
          <w:color w:val="000000" w:themeColor="text1"/>
          <w:szCs w:val="32"/>
          <w14:textFill>
            <w14:solidFill>
              <w14:schemeClr w14:val="tx1"/>
            </w14:solidFill>
          </w14:textFill>
        </w:rPr>
      </w:pPr>
      <w:bookmarkStart w:id="59" w:name="_Hlk131064142"/>
      <w:r>
        <w:rPr>
          <w:rFonts w:hint="eastAsia" w:ascii="仿宋_GB2312" w:hAnsi="仿宋_GB2312" w:cs="仿宋_GB2312"/>
          <w:color w:val="000000" w:themeColor="text1"/>
          <w:szCs w:val="32"/>
          <w14:textFill>
            <w14:solidFill>
              <w14:schemeClr w14:val="tx1"/>
            </w14:solidFill>
          </w14:textFill>
        </w:rPr>
        <w:t>本年度园区共受理各类（含各级督查、各级环保投诉等）投诉0 件，已完成整改0件，完成率 100%。</w:t>
      </w:r>
      <w:bookmarkEnd w:id="59"/>
      <w:r>
        <w:rPr>
          <w:rFonts w:hint="eastAsia" w:ascii="仿宋_GB2312" w:hAnsi="仿宋_GB2312" w:cs="仿宋_GB2312"/>
          <w:color w:val="000000" w:themeColor="text1"/>
          <w:szCs w:val="32"/>
          <w14:textFill>
            <w14:solidFill>
              <w14:schemeClr w14:val="tx1"/>
            </w14:solidFill>
          </w14:textFill>
        </w:rPr>
        <w:t>环保督察交办问题0件，已完成整改/件，完成率/%。</w:t>
      </w:r>
    </w:p>
    <w:bookmarkEnd w:id="58"/>
    <w:p w14:paraId="6A8BDEF4">
      <w:pPr>
        <w:pStyle w:val="2"/>
        <w:ind w:firstLine="640"/>
        <w:rPr>
          <w:rFonts w:hint="eastAsia" w:ascii="仿宋_GB2312" w:hAnsi="仿宋_GB2312" w:cs="仿宋_GB2312"/>
          <w:color w:val="000000" w:themeColor="text1"/>
          <w:szCs w:val="32"/>
          <w14:textFill>
            <w14:solidFill>
              <w14:schemeClr w14:val="tx1"/>
            </w14:solidFill>
          </w14:textFill>
        </w:rPr>
      </w:pPr>
      <w:bookmarkStart w:id="60" w:name="_Hlk67421689"/>
      <w:r>
        <w:rPr>
          <w:rFonts w:hint="eastAsia" w:ascii="仿宋_GB2312" w:hAnsi="仿宋_GB2312" w:cs="仿宋_GB2312"/>
          <w:color w:val="000000" w:themeColor="text1"/>
          <w:szCs w:val="32"/>
          <w14:textFill>
            <w14:solidFill>
              <w14:schemeClr w14:val="tx1"/>
            </w14:solidFill>
          </w14:textFill>
        </w:rPr>
        <w:t>（八）园区信用评价</w:t>
      </w:r>
    </w:p>
    <w:p w14:paraId="12F52517">
      <w:pPr>
        <w:pStyle w:val="2"/>
        <w:ind w:firstLine="640"/>
        <w:rPr>
          <w:rFonts w:hint="eastAsia" w:ascii="仿宋_GB2312" w:hAnsi="仿宋_GB2312" w:cs="仿宋_GB2312"/>
          <w:color w:val="000000" w:themeColor="text1"/>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仿宋_GB2312" w:cs="仿宋_GB2312"/>
          <w:color w:val="000000" w:themeColor="text1"/>
          <w:szCs w:val="32"/>
          <w14:textFill>
            <w14:solidFill>
              <w14:schemeClr w14:val="tx1"/>
            </w14:solidFill>
          </w14:textFill>
        </w:rPr>
        <w:t>对</w:t>
      </w:r>
      <w:r>
        <w:rPr>
          <w:rFonts w:hint="eastAsia" w:ascii="微软雅黑" w:hAnsi="微软雅黑" w:eastAsia="微软雅黑" w:cs="微软雅黑"/>
          <w:color w:val="000000" w:themeColor="text1"/>
          <w:szCs w:val="32"/>
          <w14:textFill>
            <w14:solidFill>
              <w14:schemeClr w14:val="tx1"/>
            </w14:solidFill>
          </w14:textFill>
        </w:rPr>
        <w:t>照</w:t>
      </w:r>
      <w:r>
        <w:rPr>
          <w:rFonts w:hint="eastAsia" w:ascii="___WRD_EMBED_SUB_44" w:hAnsi="___WRD_EMBED_SUB_44" w:eastAsia="___WRD_EMBED_SUB_44" w:cs="___WRD_EMBED_SUB_44"/>
          <w:color w:val="000000" w:themeColor="text1"/>
          <w:szCs w:val="32"/>
          <w14:textFill>
            <w14:solidFill>
              <w14:schemeClr w14:val="tx1"/>
            </w14:solidFill>
          </w14:textFill>
        </w:rPr>
        <w:t>《湖南省产业园区环保信用评价管理办</w:t>
      </w:r>
      <w:r>
        <w:rPr>
          <w:rFonts w:hint="eastAsia" w:ascii="微软雅黑" w:hAnsi="微软雅黑" w:eastAsia="微软雅黑" w:cs="微软雅黑"/>
          <w:color w:val="000000" w:themeColor="text1"/>
          <w:szCs w:val="32"/>
          <w14:textFill>
            <w14:solidFill>
              <w14:schemeClr w14:val="tx1"/>
            </w14:solidFill>
          </w14:textFill>
        </w:rPr>
        <w:t>法</w:t>
      </w:r>
      <w:r>
        <w:rPr>
          <w:rFonts w:hint="eastAsia" w:ascii="___WRD_EMBED_SUB_44" w:hAnsi="___WRD_EMBED_SUB_44" w:eastAsia="___WRD_EMBED_SUB_44" w:cs="___WRD_EMBED_SUB_44"/>
          <w:color w:val="000000" w:themeColor="text1"/>
          <w:szCs w:val="32"/>
          <w14:textFill>
            <w14:solidFill>
              <w14:schemeClr w14:val="tx1"/>
            </w14:solidFill>
          </w14:textFill>
        </w:rPr>
        <w:t>》（湘环发〔</w:t>
      </w:r>
      <w:r>
        <w:rPr>
          <w:rFonts w:hint="eastAsia" w:ascii="仿宋_GB2312" w:hAnsi="仿宋_GB2312" w:cs="仿宋_GB2312"/>
          <w:color w:val="000000" w:themeColor="text1"/>
          <w:szCs w:val="32"/>
          <w14:textFill>
            <w14:solidFill>
              <w14:schemeClr w14:val="tx1"/>
            </w14:solidFill>
          </w14:textFill>
        </w:rPr>
        <w:t>2023〕94号）中内容，开发区进行园区环保信用自评，园区属于环保合格园区等级。</w:t>
      </w:r>
    </w:p>
    <w:p w14:paraId="619C8CCA">
      <w:pPr>
        <w:pStyle w:val="2"/>
        <w:ind w:firstLine="640"/>
        <w:jc w:val="center"/>
        <w:rPr>
          <w:rFonts w:hint="eastAsia" w:ascii="仿宋_GB2312" w:hAnsi="仿宋_GB2312" w:cs="仿宋_GB2312"/>
          <w:color w:val="000000" w:themeColor="text1"/>
          <w:szCs w:val="32"/>
          <w14:textFill>
            <w14:solidFill>
              <w14:schemeClr w14:val="tx1"/>
            </w14:solidFill>
          </w14:textFill>
        </w:rPr>
      </w:pPr>
      <w:r>
        <w:rPr>
          <w:rFonts w:ascii="黑体" w:hAnsi="黑体" w:eastAsia="黑体"/>
          <w:color w:val="000000" w:themeColor="text1"/>
          <w:szCs w:val="28"/>
          <w14:textFill>
            <w14:solidFill>
              <w14:schemeClr w14:val="tx1"/>
            </w14:solidFill>
          </w14:textFill>
        </w:rPr>
        <w:t>表</w:t>
      </w:r>
      <w:r>
        <w:rPr>
          <w:rFonts w:hint="eastAsia" w:ascii="黑体" w:hAnsi="黑体" w:eastAsia="黑体"/>
          <w:color w:val="000000" w:themeColor="text1"/>
          <w:szCs w:val="28"/>
          <w14:textFill>
            <w14:solidFill>
              <w14:schemeClr w14:val="tx1"/>
            </w14:solidFill>
          </w14:textFill>
        </w:rPr>
        <w:t>10</w:t>
      </w:r>
      <w:r>
        <w:rPr>
          <w:rFonts w:ascii="黑体" w:hAnsi="黑体" w:eastAsia="黑体"/>
          <w:color w:val="000000" w:themeColor="text1"/>
          <w:szCs w:val="28"/>
          <w14:textFill>
            <w14:solidFill>
              <w14:schemeClr w14:val="tx1"/>
            </w14:solidFill>
          </w14:textFill>
        </w:rPr>
        <w:t xml:space="preserve">  </w:t>
      </w:r>
      <w:r>
        <w:rPr>
          <w:rFonts w:ascii="黑体" w:hAnsi="黑体" w:eastAsia="黑体" w:cs="宋体"/>
          <w:color w:val="000000" w:themeColor="text1"/>
          <w:szCs w:val="28"/>
          <w14:textFill>
            <w14:solidFill>
              <w14:schemeClr w14:val="tx1"/>
            </w14:solidFill>
          </w14:textFill>
        </w:rPr>
        <w:t>湖南省产业园区环保信用评价标准自评</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98"/>
        <w:gridCol w:w="1836"/>
        <w:gridCol w:w="6430"/>
        <w:gridCol w:w="1300"/>
        <w:gridCol w:w="1905"/>
      </w:tblGrid>
      <w:tr w14:paraId="6B9F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1" w:type="pct"/>
            <w:vAlign w:val="center"/>
          </w:tcPr>
          <w:p w14:paraId="4DD20C61">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序号</w:t>
            </w:r>
          </w:p>
        </w:tc>
        <w:tc>
          <w:tcPr>
            <w:tcW w:w="537" w:type="pct"/>
            <w:vAlign w:val="center"/>
          </w:tcPr>
          <w:p w14:paraId="0E31CDC4">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一级评价指标</w:t>
            </w:r>
          </w:p>
        </w:tc>
        <w:tc>
          <w:tcPr>
            <w:tcW w:w="658" w:type="pct"/>
            <w:vAlign w:val="center"/>
          </w:tcPr>
          <w:p w14:paraId="27AF9A97">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二级评价指标</w:t>
            </w:r>
          </w:p>
        </w:tc>
        <w:tc>
          <w:tcPr>
            <w:tcW w:w="2305" w:type="pct"/>
            <w:vAlign w:val="center"/>
          </w:tcPr>
          <w:p w14:paraId="16CA6A26">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评价标准</w:t>
            </w:r>
          </w:p>
        </w:tc>
        <w:tc>
          <w:tcPr>
            <w:tcW w:w="466" w:type="pct"/>
            <w:vAlign w:val="center"/>
          </w:tcPr>
          <w:p w14:paraId="6E56FEBB">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分值（分）</w:t>
            </w:r>
          </w:p>
        </w:tc>
        <w:tc>
          <w:tcPr>
            <w:tcW w:w="683" w:type="pct"/>
            <w:vAlign w:val="center"/>
          </w:tcPr>
          <w:p w14:paraId="1A773E5A">
            <w:pPr>
              <w:widowControl/>
              <w:adjustRightInd w:val="0"/>
              <w:snapToGrid w:val="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园区自评分值（分）</w:t>
            </w:r>
          </w:p>
        </w:tc>
      </w:tr>
      <w:tr w14:paraId="0EA3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6B38EF57">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restart"/>
            <w:vAlign w:val="center"/>
          </w:tcPr>
          <w:p w14:paraId="0242D50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环境准入</w:t>
            </w:r>
          </w:p>
        </w:tc>
        <w:tc>
          <w:tcPr>
            <w:tcW w:w="658" w:type="pct"/>
            <w:vMerge w:val="restart"/>
            <w:vAlign w:val="center"/>
          </w:tcPr>
          <w:p w14:paraId="58F2D06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规划</w:t>
            </w:r>
            <w:r>
              <w:rPr>
                <w:rFonts w:hint="eastAsia" w:ascii="Times New Roman" w:hAnsi="Times New Roman" w:eastAsia="宋体" w:cs="Times New Roman"/>
                <w:color w:val="000000" w:themeColor="text1"/>
                <w:sz w:val="21"/>
                <w:szCs w:val="21"/>
                <w14:textFill>
                  <w14:solidFill>
                    <w14:schemeClr w14:val="tx1"/>
                  </w14:solidFill>
                </w14:textFill>
              </w:rPr>
              <w:t>环评</w:t>
            </w:r>
          </w:p>
        </w:tc>
        <w:tc>
          <w:tcPr>
            <w:tcW w:w="2305" w:type="pct"/>
            <w:vAlign w:val="center"/>
          </w:tcPr>
          <w:p w14:paraId="763199A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产业园区</w:t>
            </w:r>
            <w:r>
              <w:rPr>
                <w:rFonts w:hint="eastAsia" w:ascii="Times New Roman" w:hAnsi="Times New Roman" w:eastAsia="宋体" w:cs="Times New Roman"/>
                <w:color w:val="000000" w:themeColor="text1"/>
                <w:sz w:val="21"/>
                <w:szCs w:val="21"/>
                <w14:textFill>
                  <w14:solidFill>
                    <w14:schemeClr w14:val="tx1"/>
                  </w14:solidFill>
                </w14:textFill>
              </w:rPr>
              <w:t>未按要求开展规划环评或环境影响跟踪评价</w:t>
            </w:r>
          </w:p>
        </w:tc>
        <w:tc>
          <w:tcPr>
            <w:tcW w:w="466" w:type="pct"/>
            <w:tcBorders>
              <w:top w:val="single" w:color="auto" w:sz="4" w:space="0"/>
              <w:left w:val="single" w:color="auto" w:sz="4" w:space="0"/>
              <w:bottom w:val="single" w:color="auto" w:sz="4" w:space="0"/>
              <w:right w:val="single" w:color="auto" w:sz="4" w:space="0"/>
            </w:tcBorders>
            <w:vAlign w:val="center"/>
          </w:tcPr>
          <w:p w14:paraId="67E02F7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1E8926D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54CB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1FCA298E">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29A8F1D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5151D8D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4BF85186">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产业园区</w:t>
            </w:r>
            <w:r>
              <w:rPr>
                <w:rFonts w:hint="eastAsia" w:ascii="Times New Roman" w:hAnsi="Times New Roman" w:eastAsia="宋体" w:cs="Times New Roman"/>
                <w:color w:val="000000" w:themeColor="text1"/>
                <w:sz w:val="21"/>
                <w:szCs w:val="21"/>
                <w14:textFill>
                  <w14:solidFill>
                    <w14:schemeClr w14:val="tx1"/>
                  </w14:solidFill>
                </w14:textFill>
              </w:rPr>
              <w:t>未落实“三线一单”生态环境分区管控等要求</w:t>
            </w:r>
          </w:p>
        </w:tc>
        <w:tc>
          <w:tcPr>
            <w:tcW w:w="466" w:type="pct"/>
            <w:tcBorders>
              <w:top w:val="single" w:color="auto" w:sz="4" w:space="0"/>
              <w:left w:val="single" w:color="auto" w:sz="4" w:space="0"/>
              <w:bottom w:val="single" w:color="auto" w:sz="4" w:space="0"/>
              <w:right w:val="single" w:color="auto" w:sz="4" w:space="0"/>
            </w:tcBorders>
            <w:vAlign w:val="center"/>
          </w:tcPr>
          <w:p w14:paraId="105C5BF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42410E36">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0B9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DE3CE6B">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7772957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01DDEC9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39C9892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化工园区认定后因生态环境保护工作不达标导致复核不合格或被摘牌</w:t>
            </w:r>
          </w:p>
        </w:tc>
        <w:tc>
          <w:tcPr>
            <w:tcW w:w="466" w:type="pct"/>
            <w:tcBorders>
              <w:top w:val="single" w:color="auto" w:sz="4" w:space="0"/>
              <w:left w:val="single" w:color="auto" w:sz="4" w:space="0"/>
              <w:bottom w:val="single" w:color="auto" w:sz="4" w:space="0"/>
              <w:right w:val="single" w:color="auto" w:sz="4" w:space="0"/>
            </w:tcBorders>
            <w:vAlign w:val="center"/>
          </w:tcPr>
          <w:p w14:paraId="039FC7DC">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23C304DC">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4D0D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pct"/>
            <w:vAlign w:val="center"/>
          </w:tcPr>
          <w:p w14:paraId="510125DB">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restart"/>
            <w:vAlign w:val="center"/>
          </w:tcPr>
          <w:p w14:paraId="341632B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w:t>
            </w:r>
            <w:r>
              <w:rPr>
                <w:rFonts w:hint="eastAsia" w:ascii="Times New Roman" w:hAnsi="Times New Roman" w:eastAsia="宋体" w:cs="Times New Roman"/>
                <w:color w:val="000000" w:themeColor="text1"/>
                <w:sz w:val="21"/>
                <w:szCs w:val="21"/>
                <w14:textFill>
                  <w14:solidFill>
                    <w14:schemeClr w14:val="tx1"/>
                  </w14:solidFill>
                </w14:textFill>
              </w:rPr>
              <w:t>监管</w:t>
            </w:r>
          </w:p>
        </w:tc>
        <w:tc>
          <w:tcPr>
            <w:tcW w:w="658" w:type="pct"/>
            <w:vAlign w:val="center"/>
          </w:tcPr>
          <w:p w14:paraId="52A4E030">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环保手续落实情况</w:t>
            </w:r>
          </w:p>
        </w:tc>
        <w:tc>
          <w:tcPr>
            <w:tcW w:w="2305" w:type="pct"/>
            <w:vAlign w:val="center"/>
          </w:tcPr>
          <w:p w14:paraId="1A396A6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产业园区内存在企事业单位未依法开展环境影响评价或未按要求申领排污许可证和</w:t>
            </w:r>
            <w:bookmarkStart w:id="61" w:name="_Hlk126673461"/>
            <w:r>
              <w:rPr>
                <w:rFonts w:hint="eastAsia" w:ascii="Times New Roman" w:hAnsi="Times New Roman" w:eastAsia="宋体" w:cs="Times New Roman"/>
                <w:color w:val="000000" w:themeColor="text1"/>
                <w:sz w:val="21"/>
                <w:szCs w:val="21"/>
                <w14:textFill>
                  <w14:solidFill>
                    <w14:schemeClr w14:val="tx1"/>
                  </w14:solidFill>
                </w14:textFill>
              </w:rPr>
              <w:t>辐射安全许可证</w:t>
            </w:r>
            <w:bookmarkEnd w:id="61"/>
          </w:p>
        </w:tc>
        <w:tc>
          <w:tcPr>
            <w:tcW w:w="466" w:type="pct"/>
            <w:tcBorders>
              <w:top w:val="single" w:color="auto" w:sz="4" w:space="0"/>
              <w:left w:val="single" w:color="auto" w:sz="4" w:space="0"/>
              <w:bottom w:val="single" w:color="auto" w:sz="4" w:space="0"/>
              <w:right w:val="single" w:color="auto" w:sz="4" w:space="0"/>
            </w:tcBorders>
            <w:vAlign w:val="center"/>
          </w:tcPr>
          <w:p w14:paraId="27B2D60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12C93BEF">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3BC4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8345C3D">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5BC346DB">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6D823053">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水环境管理</w:t>
            </w:r>
          </w:p>
        </w:tc>
        <w:tc>
          <w:tcPr>
            <w:tcW w:w="2305" w:type="pct"/>
            <w:vAlign w:val="center"/>
          </w:tcPr>
          <w:p w14:paraId="3684C827">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产业园区未按要求进行废水收集处理或未达标排放的</w:t>
            </w:r>
          </w:p>
        </w:tc>
        <w:tc>
          <w:tcPr>
            <w:tcW w:w="466" w:type="pct"/>
            <w:tcBorders>
              <w:top w:val="single" w:color="auto" w:sz="4" w:space="0"/>
              <w:left w:val="single" w:color="auto" w:sz="4" w:space="0"/>
              <w:bottom w:val="single" w:color="auto" w:sz="4" w:space="0"/>
              <w:right w:val="single" w:color="auto" w:sz="4" w:space="0"/>
            </w:tcBorders>
            <w:vAlign w:val="center"/>
          </w:tcPr>
          <w:p w14:paraId="1EFF5E8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683" w:type="pct"/>
            <w:tcBorders>
              <w:top w:val="single" w:color="auto" w:sz="4" w:space="0"/>
              <w:left w:val="single" w:color="auto" w:sz="4" w:space="0"/>
              <w:bottom w:val="single" w:color="auto" w:sz="4" w:space="0"/>
              <w:right w:val="single" w:color="auto" w:sz="4" w:space="0"/>
            </w:tcBorders>
            <w:vAlign w:val="center"/>
          </w:tcPr>
          <w:p w14:paraId="45D948A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2DF9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D0459CD">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2AF6127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3D2F6F5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气环境管理</w:t>
            </w:r>
          </w:p>
        </w:tc>
        <w:tc>
          <w:tcPr>
            <w:tcW w:w="2305" w:type="pct"/>
            <w:vAlign w:val="center"/>
          </w:tcPr>
          <w:p w14:paraId="5FCE5B9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产业园区内存在工业炉窑、锅炉或涉VOCs重点行业企事业单位未按规定建设、运行有效收集处理设施并达标排放</w:t>
            </w:r>
          </w:p>
        </w:tc>
        <w:tc>
          <w:tcPr>
            <w:tcW w:w="466" w:type="pct"/>
            <w:tcBorders>
              <w:top w:val="single" w:color="auto" w:sz="4" w:space="0"/>
              <w:left w:val="single" w:color="auto" w:sz="4" w:space="0"/>
              <w:bottom w:val="single" w:color="auto" w:sz="4" w:space="0"/>
              <w:right w:val="single" w:color="auto" w:sz="4" w:space="0"/>
            </w:tcBorders>
            <w:vAlign w:val="center"/>
          </w:tcPr>
          <w:p w14:paraId="0A9C1ED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22583BC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621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D6E3AEE">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18D7AAD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24C17636">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固废管理</w:t>
            </w:r>
          </w:p>
        </w:tc>
        <w:tc>
          <w:tcPr>
            <w:tcW w:w="2305" w:type="pct"/>
            <w:vAlign w:val="center"/>
          </w:tcPr>
          <w:p w14:paraId="2CE0BE60">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产业园区内存在涉危险废物环境违法行为或</w:t>
            </w:r>
            <w:bookmarkStart w:id="62" w:name="_Hlk128076796"/>
            <w:r>
              <w:rPr>
                <w:rFonts w:hint="eastAsia" w:ascii="Times New Roman" w:hAnsi="Times New Roman" w:eastAsia="宋体" w:cs="Times New Roman"/>
                <w:color w:val="000000" w:themeColor="text1"/>
                <w:sz w:val="21"/>
                <w:szCs w:val="21"/>
                <w14:textFill>
                  <w14:solidFill>
                    <w14:schemeClr w14:val="tx1"/>
                  </w14:solidFill>
                </w14:textFill>
              </w:rPr>
              <w:t>连续</w:t>
            </w:r>
            <w:r>
              <w:rPr>
                <w:rFonts w:ascii="Times New Roman" w:hAnsi="Times New Roman" w:eastAsia="宋体" w:cs="Times New Roman"/>
                <w:color w:val="000000" w:themeColor="text1"/>
                <w:sz w:val="21"/>
                <w:szCs w:val="21"/>
                <w14:textFill>
                  <w14:solidFill>
                    <w14:schemeClr w14:val="tx1"/>
                  </w14:solidFill>
                </w14:textFill>
              </w:rPr>
              <w:t>2年规范化管理评估不达标企事业</w:t>
            </w:r>
            <w:r>
              <w:rPr>
                <w:rFonts w:hint="eastAsia" w:ascii="Times New Roman" w:hAnsi="Times New Roman" w:eastAsia="宋体" w:cs="Times New Roman"/>
                <w:color w:val="000000" w:themeColor="text1"/>
                <w:sz w:val="21"/>
                <w:szCs w:val="21"/>
                <w14:textFill>
                  <w14:solidFill>
                    <w14:schemeClr w14:val="tx1"/>
                  </w14:solidFill>
                </w14:textFill>
              </w:rPr>
              <w:t>单位</w:t>
            </w:r>
            <w:bookmarkEnd w:id="62"/>
          </w:p>
        </w:tc>
        <w:tc>
          <w:tcPr>
            <w:tcW w:w="466" w:type="pct"/>
            <w:tcBorders>
              <w:top w:val="single" w:color="auto" w:sz="4" w:space="0"/>
              <w:left w:val="single" w:color="auto" w:sz="4" w:space="0"/>
              <w:bottom w:val="single" w:color="auto" w:sz="4" w:space="0"/>
              <w:right w:val="single" w:color="auto" w:sz="4" w:space="0"/>
            </w:tcBorders>
            <w:vAlign w:val="center"/>
          </w:tcPr>
          <w:p w14:paraId="44F42AA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661581A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DC2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135F015">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3D4859A7">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1BA4379C">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土壤环境管理</w:t>
            </w:r>
          </w:p>
        </w:tc>
        <w:tc>
          <w:tcPr>
            <w:tcW w:w="2305" w:type="pct"/>
            <w:vAlign w:val="center"/>
          </w:tcPr>
          <w:p w14:paraId="05F60A48">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w:t>
            </w:r>
            <w:bookmarkStart w:id="63" w:name="_Hlk126676735"/>
            <w:r>
              <w:rPr>
                <w:rFonts w:hint="eastAsia" w:ascii="Times New Roman" w:hAnsi="Times New Roman" w:eastAsia="宋体" w:cs="Times New Roman"/>
                <w:color w:val="000000" w:themeColor="text1"/>
                <w:sz w:val="21"/>
                <w:szCs w:val="21"/>
                <w14:textFill>
                  <w14:solidFill>
                    <w14:schemeClr w14:val="tx1"/>
                  </w14:solidFill>
                </w14:textFill>
              </w:rPr>
              <w:t>园区内存在土壤污染重点监管单位</w:t>
            </w:r>
            <w:bookmarkEnd w:id="63"/>
            <w:r>
              <w:rPr>
                <w:rFonts w:hint="eastAsia" w:ascii="Times New Roman" w:hAnsi="Times New Roman" w:eastAsia="宋体" w:cs="Times New Roman"/>
                <w:color w:val="000000" w:themeColor="text1"/>
                <w:sz w:val="21"/>
                <w:szCs w:val="21"/>
                <w14:textFill>
                  <w14:solidFill>
                    <w14:schemeClr w14:val="tx1"/>
                  </w14:solidFill>
                </w14:textFill>
              </w:rPr>
              <w:t>未按要求开展自行监测和隐患排查</w:t>
            </w:r>
          </w:p>
        </w:tc>
        <w:tc>
          <w:tcPr>
            <w:tcW w:w="466" w:type="pct"/>
            <w:tcBorders>
              <w:top w:val="single" w:color="auto" w:sz="4" w:space="0"/>
              <w:left w:val="single" w:color="auto" w:sz="4" w:space="0"/>
              <w:bottom w:val="single" w:color="auto" w:sz="4" w:space="0"/>
              <w:right w:val="single" w:color="auto" w:sz="4" w:space="0"/>
            </w:tcBorders>
            <w:vAlign w:val="center"/>
          </w:tcPr>
          <w:p w14:paraId="4AF51EE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38AE9CD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376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573847BC">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2524E64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13A298EB">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环境监测</w:t>
            </w:r>
          </w:p>
        </w:tc>
        <w:tc>
          <w:tcPr>
            <w:tcW w:w="2305" w:type="pct"/>
            <w:vAlign w:val="center"/>
          </w:tcPr>
          <w:p w14:paraId="5FD13D8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产业园区未按规定开展自行监测或自行监测数据弄虚作假</w:t>
            </w:r>
          </w:p>
        </w:tc>
        <w:tc>
          <w:tcPr>
            <w:tcW w:w="466" w:type="pct"/>
            <w:tcBorders>
              <w:top w:val="single" w:color="auto" w:sz="4" w:space="0"/>
              <w:left w:val="single" w:color="auto" w:sz="4" w:space="0"/>
              <w:bottom w:val="single" w:color="auto" w:sz="4" w:space="0"/>
              <w:right w:val="single" w:color="auto" w:sz="4" w:space="0"/>
            </w:tcBorders>
            <w:vAlign w:val="center"/>
          </w:tcPr>
          <w:p w14:paraId="79320276">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683" w:type="pct"/>
            <w:tcBorders>
              <w:top w:val="single" w:color="auto" w:sz="4" w:space="0"/>
              <w:left w:val="single" w:color="auto" w:sz="4" w:space="0"/>
              <w:bottom w:val="single" w:color="auto" w:sz="4" w:space="0"/>
              <w:right w:val="single" w:color="auto" w:sz="4" w:space="0"/>
            </w:tcBorders>
            <w:vAlign w:val="center"/>
          </w:tcPr>
          <w:p w14:paraId="0E955F55">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p>
        </w:tc>
      </w:tr>
      <w:tr w14:paraId="4BC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56657017">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0C8A087C">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restart"/>
            <w:vAlign w:val="center"/>
          </w:tcPr>
          <w:p w14:paraId="267446A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监管能力</w:t>
            </w:r>
          </w:p>
        </w:tc>
        <w:tc>
          <w:tcPr>
            <w:tcW w:w="2305" w:type="pct"/>
            <w:vAlign w:val="center"/>
          </w:tcPr>
          <w:p w14:paraId="55C65033">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产业园区未按要求开展环境污染第三方治理</w:t>
            </w:r>
          </w:p>
        </w:tc>
        <w:tc>
          <w:tcPr>
            <w:tcW w:w="466" w:type="pct"/>
            <w:tcBorders>
              <w:top w:val="single" w:color="auto" w:sz="4" w:space="0"/>
              <w:left w:val="single" w:color="auto" w:sz="4" w:space="0"/>
              <w:bottom w:val="single" w:color="auto" w:sz="4" w:space="0"/>
              <w:right w:val="single" w:color="auto" w:sz="4" w:space="0"/>
            </w:tcBorders>
            <w:vAlign w:val="center"/>
          </w:tcPr>
          <w:p w14:paraId="33FF99D5">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6FBD4A08">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057F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397A629C">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2725D2A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710E9A7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5849C776">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产业园区污染物排放超过总量控制要求或由于产业园区原因造成环境质量超标、环境质量恶化的情况</w:t>
            </w:r>
          </w:p>
        </w:tc>
        <w:tc>
          <w:tcPr>
            <w:tcW w:w="466" w:type="pct"/>
            <w:tcBorders>
              <w:top w:val="single" w:color="auto" w:sz="4" w:space="0"/>
              <w:left w:val="single" w:color="auto" w:sz="4" w:space="0"/>
              <w:bottom w:val="single" w:color="auto" w:sz="4" w:space="0"/>
              <w:right w:val="single" w:color="auto" w:sz="4" w:space="0"/>
            </w:tcBorders>
            <w:vAlign w:val="center"/>
          </w:tcPr>
          <w:p w14:paraId="2175E517">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42E27A6C">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B9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237752E">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2497261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559C81D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702EFFC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产业园区建成较完善环境监测体系，并按要求将数据与省监管平台联网</w:t>
            </w:r>
          </w:p>
        </w:tc>
        <w:tc>
          <w:tcPr>
            <w:tcW w:w="466" w:type="pct"/>
            <w:tcBorders>
              <w:top w:val="single" w:color="auto" w:sz="4" w:space="0"/>
              <w:left w:val="single" w:color="auto" w:sz="4" w:space="0"/>
              <w:bottom w:val="single" w:color="auto" w:sz="4" w:space="0"/>
              <w:right w:val="single" w:color="auto" w:sz="4" w:space="0"/>
            </w:tcBorders>
            <w:vAlign w:val="center"/>
          </w:tcPr>
          <w:p w14:paraId="561694B6">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3B53DEDD">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553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6C1548AB">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0791C99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7EEFC79F">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4FCA252F">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产业园区内</w:t>
            </w:r>
            <w:bookmarkStart w:id="64" w:name="_Hlk126677943"/>
            <w:r>
              <w:rPr>
                <w:rFonts w:hint="eastAsia" w:ascii="Times New Roman" w:hAnsi="Times New Roman" w:eastAsia="宋体" w:cs="Times New Roman"/>
                <w:color w:val="000000" w:themeColor="text1"/>
                <w:sz w:val="21"/>
                <w:szCs w:val="21"/>
                <w14:textFill>
                  <w14:solidFill>
                    <w14:schemeClr w14:val="tx1"/>
                  </w14:solidFill>
                </w14:textFill>
              </w:rPr>
              <w:t>存在被评为环保黑名单的企事业单位</w:t>
            </w:r>
            <w:bookmarkEnd w:id="64"/>
          </w:p>
        </w:tc>
        <w:tc>
          <w:tcPr>
            <w:tcW w:w="466" w:type="pct"/>
            <w:tcBorders>
              <w:top w:val="single" w:color="auto" w:sz="4" w:space="0"/>
              <w:left w:val="single" w:color="auto" w:sz="4" w:space="0"/>
              <w:bottom w:val="single" w:color="auto" w:sz="4" w:space="0"/>
              <w:right w:val="single" w:color="auto" w:sz="4" w:space="0"/>
            </w:tcBorders>
            <w:vAlign w:val="center"/>
          </w:tcPr>
          <w:p w14:paraId="190150D2">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62864C79">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698C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5EB6B62">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restart"/>
            <w:vAlign w:val="center"/>
          </w:tcPr>
          <w:p w14:paraId="738363A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风险防控</w:t>
            </w:r>
          </w:p>
        </w:tc>
        <w:tc>
          <w:tcPr>
            <w:tcW w:w="658" w:type="pct"/>
            <w:vAlign w:val="center"/>
          </w:tcPr>
          <w:p w14:paraId="1292910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环境应急保障能力建设</w:t>
            </w:r>
          </w:p>
        </w:tc>
        <w:tc>
          <w:tcPr>
            <w:tcW w:w="2305" w:type="pct"/>
            <w:vAlign w:val="center"/>
          </w:tcPr>
          <w:p w14:paraId="1BD181BF">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产业园区未按要求制定或修编园区突发环境事件应急预案、未定期组织开展应急演练、环境应急设施和救援物资配备不符合规定、环境风险防范措施不到位、未建设应急指挥平台</w:t>
            </w:r>
          </w:p>
        </w:tc>
        <w:tc>
          <w:tcPr>
            <w:tcW w:w="466" w:type="pct"/>
            <w:tcBorders>
              <w:top w:val="single" w:color="auto" w:sz="4" w:space="0"/>
              <w:left w:val="single" w:color="auto" w:sz="4" w:space="0"/>
              <w:bottom w:val="single" w:color="auto" w:sz="4" w:space="0"/>
              <w:right w:val="single" w:color="auto" w:sz="4" w:space="0"/>
            </w:tcBorders>
            <w:vAlign w:val="center"/>
          </w:tcPr>
          <w:p w14:paraId="4F6B409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683" w:type="pct"/>
            <w:tcBorders>
              <w:top w:val="single" w:color="auto" w:sz="4" w:space="0"/>
              <w:left w:val="single" w:color="auto" w:sz="4" w:space="0"/>
              <w:bottom w:val="single" w:color="auto" w:sz="4" w:space="0"/>
              <w:right w:val="single" w:color="auto" w:sz="4" w:space="0"/>
            </w:tcBorders>
            <w:vAlign w:val="center"/>
          </w:tcPr>
          <w:p w14:paraId="6099061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p>
        </w:tc>
      </w:tr>
      <w:tr w14:paraId="02E2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F4AB022">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7F53E868">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restart"/>
            <w:vAlign w:val="center"/>
          </w:tcPr>
          <w:p w14:paraId="5107D8BD">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环境风险</w:t>
            </w:r>
          </w:p>
        </w:tc>
        <w:tc>
          <w:tcPr>
            <w:tcW w:w="2305" w:type="pct"/>
            <w:vAlign w:val="center"/>
          </w:tcPr>
          <w:p w14:paraId="3512A75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w:t>
            </w:r>
            <w:bookmarkStart w:id="65" w:name="_Hlk126744362"/>
            <w:r>
              <w:rPr>
                <w:rFonts w:hint="eastAsia" w:ascii="Times New Roman" w:hAnsi="Times New Roman" w:eastAsia="宋体" w:cs="Times New Roman"/>
                <w:color w:val="000000" w:themeColor="text1"/>
                <w:sz w:val="21"/>
                <w:szCs w:val="21"/>
                <w14:textFill>
                  <w14:solidFill>
                    <w14:schemeClr w14:val="tx1"/>
                  </w14:solidFill>
                </w14:textFill>
              </w:rPr>
              <w:t>发生一般、较大突发环境事件或生态破坏事件</w:t>
            </w:r>
            <w:bookmarkEnd w:id="65"/>
          </w:p>
        </w:tc>
        <w:tc>
          <w:tcPr>
            <w:tcW w:w="466" w:type="pct"/>
            <w:tcBorders>
              <w:top w:val="single" w:color="auto" w:sz="4" w:space="0"/>
              <w:left w:val="single" w:color="auto" w:sz="4" w:space="0"/>
              <w:bottom w:val="single" w:color="auto" w:sz="4" w:space="0"/>
              <w:right w:val="single" w:color="auto" w:sz="4" w:space="0"/>
            </w:tcBorders>
            <w:vAlign w:val="center"/>
          </w:tcPr>
          <w:p w14:paraId="27AACF4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683" w:type="pct"/>
            <w:tcBorders>
              <w:top w:val="single" w:color="auto" w:sz="4" w:space="0"/>
              <w:left w:val="single" w:color="auto" w:sz="4" w:space="0"/>
              <w:bottom w:val="single" w:color="auto" w:sz="4" w:space="0"/>
              <w:right w:val="single" w:color="auto" w:sz="4" w:space="0"/>
            </w:tcBorders>
            <w:vAlign w:val="center"/>
          </w:tcPr>
          <w:p w14:paraId="5EDDED38">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p>
        </w:tc>
      </w:tr>
      <w:tr w14:paraId="43EF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09C1338">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3E9A2DF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3BE1B59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5D014F47">
            <w:pPr>
              <w:widowControl/>
              <w:adjustRightInd w:val="0"/>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产业园区存在被中央或省级环保督察、生态环境警示片等反馈问题，或出现被省级及以上主管部门挂牌督办或被省级主管部门约谈、典型案例曝光、区域限批、移交问责等情况</w:t>
            </w:r>
          </w:p>
        </w:tc>
        <w:tc>
          <w:tcPr>
            <w:tcW w:w="466" w:type="pct"/>
            <w:tcBorders>
              <w:top w:val="single" w:color="auto" w:sz="4" w:space="0"/>
              <w:left w:val="single" w:color="auto" w:sz="4" w:space="0"/>
              <w:bottom w:val="single" w:color="auto" w:sz="4" w:space="0"/>
              <w:right w:val="single" w:color="auto" w:sz="4" w:space="0"/>
            </w:tcBorders>
            <w:vAlign w:val="center"/>
          </w:tcPr>
          <w:p w14:paraId="164B51A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683" w:type="pct"/>
            <w:tcBorders>
              <w:top w:val="single" w:color="auto" w:sz="4" w:space="0"/>
              <w:left w:val="single" w:color="auto" w:sz="4" w:space="0"/>
              <w:bottom w:val="single" w:color="auto" w:sz="4" w:space="0"/>
              <w:right w:val="single" w:color="auto" w:sz="4" w:space="0"/>
            </w:tcBorders>
            <w:vAlign w:val="center"/>
          </w:tcPr>
          <w:p w14:paraId="62892F7D">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648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5F9FE82F">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149B32B0">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20F434B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53976C2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产业园区因发生突出生态环境问题被中央层面约谈、典型案例曝光、区域限批、移交问责等情况或发生重、特大突发环境事件或生态破坏事件。</w:t>
            </w:r>
          </w:p>
          <w:p w14:paraId="731E0BC8">
            <w:pPr>
              <w:widowControl/>
              <w:adjustRightInd w:val="0"/>
              <w:snapToGrid w:val="0"/>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产业园区存在出台“土政策”或以其他方式干扰执法，妨碍生态环境部门依法查处环境违法问题的行为，情节严重或者造成严重后果的</w:t>
            </w:r>
          </w:p>
        </w:tc>
        <w:tc>
          <w:tcPr>
            <w:tcW w:w="466" w:type="pct"/>
            <w:tcBorders>
              <w:top w:val="single" w:color="auto" w:sz="4" w:space="0"/>
              <w:left w:val="single" w:color="auto" w:sz="4" w:space="0"/>
              <w:bottom w:val="single" w:color="auto" w:sz="4" w:space="0"/>
              <w:right w:val="single" w:color="auto" w:sz="4" w:space="0"/>
            </w:tcBorders>
            <w:vAlign w:val="center"/>
          </w:tcPr>
          <w:p w14:paraId="62B6E726">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直接评为环保风险园区</w:t>
            </w:r>
          </w:p>
        </w:tc>
        <w:tc>
          <w:tcPr>
            <w:tcW w:w="683" w:type="pct"/>
            <w:tcBorders>
              <w:top w:val="single" w:color="auto" w:sz="4" w:space="0"/>
              <w:left w:val="single" w:color="auto" w:sz="4" w:space="0"/>
              <w:bottom w:val="single" w:color="auto" w:sz="4" w:space="0"/>
              <w:right w:val="single" w:color="auto" w:sz="4" w:space="0"/>
            </w:tcBorders>
            <w:vAlign w:val="center"/>
          </w:tcPr>
          <w:p w14:paraId="1DCE8170">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不是</w:t>
            </w:r>
          </w:p>
        </w:tc>
      </w:tr>
      <w:tr w14:paraId="4F9C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03E15AD">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restart"/>
            <w:vAlign w:val="center"/>
          </w:tcPr>
          <w:p w14:paraId="18D29206">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绿色发展</w:t>
            </w:r>
          </w:p>
        </w:tc>
        <w:tc>
          <w:tcPr>
            <w:tcW w:w="658" w:type="pct"/>
            <w:vAlign w:val="center"/>
          </w:tcPr>
          <w:p w14:paraId="6138B38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污染物减排</w:t>
            </w:r>
          </w:p>
        </w:tc>
        <w:tc>
          <w:tcPr>
            <w:tcW w:w="2305" w:type="pct"/>
            <w:vAlign w:val="center"/>
          </w:tcPr>
          <w:p w14:paraId="574C9A49">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产业园区单位GDP主要污染物削减率排名前10%</w:t>
            </w:r>
          </w:p>
        </w:tc>
        <w:tc>
          <w:tcPr>
            <w:tcW w:w="466" w:type="pct"/>
            <w:tcBorders>
              <w:top w:val="single" w:color="auto" w:sz="4" w:space="0"/>
              <w:left w:val="single" w:color="auto" w:sz="4" w:space="0"/>
              <w:bottom w:val="single" w:color="auto" w:sz="4" w:space="0"/>
              <w:right w:val="single" w:color="auto" w:sz="4" w:space="0"/>
            </w:tcBorders>
            <w:vAlign w:val="center"/>
          </w:tcPr>
          <w:p w14:paraId="30C7C49A">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7ACE18DD">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267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FDA3FC7">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02CD844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Align w:val="center"/>
          </w:tcPr>
          <w:p w14:paraId="21580FC7">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创新与示范</w:t>
            </w:r>
          </w:p>
        </w:tc>
        <w:tc>
          <w:tcPr>
            <w:tcW w:w="2305" w:type="pct"/>
            <w:vAlign w:val="center"/>
          </w:tcPr>
          <w:p w14:paraId="4A620E6D">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产业园区在生态环境保护和绿色发展领域获得省部级及以上表彰、推荐推广</w:t>
            </w:r>
          </w:p>
        </w:tc>
        <w:tc>
          <w:tcPr>
            <w:tcW w:w="466" w:type="pct"/>
            <w:tcBorders>
              <w:top w:val="single" w:color="auto" w:sz="4" w:space="0"/>
              <w:left w:val="single" w:color="auto" w:sz="4" w:space="0"/>
              <w:bottom w:val="single" w:color="auto" w:sz="4" w:space="0"/>
              <w:right w:val="single" w:color="auto" w:sz="4" w:space="0"/>
            </w:tcBorders>
            <w:vAlign w:val="center"/>
          </w:tcPr>
          <w:p w14:paraId="2ED040D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683" w:type="pct"/>
            <w:tcBorders>
              <w:top w:val="single" w:color="auto" w:sz="4" w:space="0"/>
              <w:left w:val="single" w:color="auto" w:sz="4" w:space="0"/>
              <w:bottom w:val="single" w:color="auto" w:sz="4" w:space="0"/>
              <w:right w:val="single" w:color="auto" w:sz="4" w:space="0"/>
            </w:tcBorders>
            <w:vAlign w:val="center"/>
          </w:tcPr>
          <w:p w14:paraId="06555341">
            <w:pPr>
              <w:widowControl/>
              <w:adjustRightInd w:val="0"/>
              <w:snapToGrid w:val="0"/>
              <w:jc w:val="center"/>
              <w:textAlignment w:val="center"/>
              <w:rPr>
                <w:rFonts w:ascii="Times New Roman" w:hAnsi="Times New Roman" w:eastAsia="宋体" w:cs="Times New Roman"/>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2025年获得省级绿色园区，+0.5</w:t>
            </w:r>
          </w:p>
        </w:tc>
      </w:tr>
      <w:tr w14:paraId="2AC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51" w:type="pct"/>
            <w:vAlign w:val="center"/>
          </w:tcPr>
          <w:p w14:paraId="289EFA6C">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Align w:val="center"/>
          </w:tcPr>
          <w:p w14:paraId="75F9BDA0">
            <w:p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公众参与</w:t>
            </w:r>
          </w:p>
        </w:tc>
        <w:tc>
          <w:tcPr>
            <w:tcW w:w="658" w:type="pct"/>
            <w:vAlign w:val="center"/>
          </w:tcPr>
          <w:p w14:paraId="08EC8C67">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舆情与投诉</w:t>
            </w:r>
          </w:p>
        </w:tc>
        <w:tc>
          <w:tcPr>
            <w:tcW w:w="2305" w:type="pct"/>
            <w:vAlign w:val="center"/>
          </w:tcPr>
          <w:p w14:paraId="75D306D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产业园区因环境问题引发集中或长时间信访、投诉、上访，引发负面舆情</w:t>
            </w:r>
          </w:p>
        </w:tc>
        <w:tc>
          <w:tcPr>
            <w:tcW w:w="466" w:type="pct"/>
            <w:tcBorders>
              <w:left w:val="single" w:color="auto" w:sz="4" w:space="0"/>
              <w:bottom w:val="single" w:color="auto" w:sz="4" w:space="0"/>
              <w:right w:val="single" w:color="auto" w:sz="4" w:space="0"/>
            </w:tcBorders>
            <w:vAlign w:val="center"/>
          </w:tcPr>
          <w:p w14:paraId="3BBA1B28">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left w:val="single" w:color="auto" w:sz="4" w:space="0"/>
              <w:bottom w:val="single" w:color="auto" w:sz="4" w:space="0"/>
              <w:right w:val="single" w:color="auto" w:sz="4" w:space="0"/>
            </w:tcBorders>
            <w:vAlign w:val="center"/>
          </w:tcPr>
          <w:p w14:paraId="6DB0981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3485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3BDDB7EB">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restart"/>
            <w:vAlign w:val="center"/>
          </w:tcPr>
          <w:p w14:paraId="43E58ED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其他</w:t>
            </w:r>
          </w:p>
        </w:tc>
        <w:tc>
          <w:tcPr>
            <w:tcW w:w="658" w:type="pct"/>
            <w:vMerge w:val="restart"/>
            <w:vAlign w:val="center"/>
          </w:tcPr>
          <w:p w14:paraId="58A560C3">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2305" w:type="pct"/>
            <w:vAlign w:val="center"/>
          </w:tcPr>
          <w:p w14:paraId="5B7DFB7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产业园区未按要求完成省生态环境厅其他年度任务</w:t>
            </w:r>
          </w:p>
        </w:tc>
        <w:tc>
          <w:tcPr>
            <w:tcW w:w="466" w:type="pct"/>
            <w:tcBorders>
              <w:top w:val="single" w:color="auto" w:sz="4" w:space="0"/>
              <w:left w:val="single" w:color="auto" w:sz="4" w:space="0"/>
              <w:bottom w:val="single" w:color="auto" w:sz="4" w:space="0"/>
              <w:right w:val="single" w:color="auto" w:sz="4" w:space="0"/>
            </w:tcBorders>
            <w:vAlign w:val="center"/>
          </w:tcPr>
          <w:p w14:paraId="0B241FC1">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03E2F2B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0</w:t>
            </w:r>
          </w:p>
        </w:tc>
      </w:tr>
      <w:tr w14:paraId="48F2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30DDEEE">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462DFC25">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6D2EED4F">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3C52E6B0">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产业园区存在出台“土政策”或以其他方式干扰执法，妨碍生态环境部门依法查处环境违法问题的行为</w:t>
            </w:r>
          </w:p>
        </w:tc>
        <w:tc>
          <w:tcPr>
            <w:tcW w:w="466" w:type="pct"/>
            <w:tcBorders>
              <w:top w:val="single" w:color="auto" w:sz="4" w:space="0"/>
              <w:left w:val="single" w:color="auto" w:sz="4" w:space="0"/>
              <w:bottom w:val="single" w:color="auto" w:sz="4" w:space="0"/>
              <w:right w:val="single" w:color="auto" w:sz="4" w:space="0"/>
            </w:tcBorders>
            <w:vAlign w:val="center"/>
          </w:tcPr>
          <w:p w14:paraId="5368B27F">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729493B1">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687D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27A8A0FA">
            <w:pPr>
              <w:widowControl/>
              <w:numPr>
                <w:ilvl w:val="0"/>
                <w:numId w:val="1"/>
              </w:numPr>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537" w:type="pct"/>
            <w:vMerge w:val="continue"/>
            <w:vAlign w:val="center"/>
          </w:tcPr>
          <w:p w14:paraId="0B346C3E">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658" w:type="pct"/>
            <w:vMerge w:val="continue"/>
            <w:vAlign w:val="center"/>
          </w:tcPr>
          <w:p w14:paraId="75293CB2">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p>
        </w:tc>
        <w:tc>
          <w:tcPr>
            <w:tcW w:w="2305" w:type="pct"/>
            <w:vAlign w:val="center"/>
          </w:tcPr>
          <w:p w14:paraId="4A0A5F04">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产业园区连续两年被评为环保诚信园区</w:t>
            </w:r>
          </w:p>
        </w:tc>
        <w:tc>
          <w:tcPr>
            <w:tcW w:w="466" w:type="pct"/>
            <w:tcBorders>
              <w:top w:val="single" w:color="auto" w:sz="4" w:space="0"/>
              <w:left w:val="single" w:color="auto" w:sz="4" w:space="0"/>
              <w:bottom w:val="single" w:color="auto" w:sz="4" w:space="0"/>
              <w:right w:val="single" w:color="auto" w:sz="4" w:space="0"/>
            </w:tcBorders>
            <w:vAlign w:val="center"/>
          </w:tcPr>
          <w:p w14:paraId="0AEBFB17">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683" w:type="pct"/>
            <w:tcBorders>
              <w:top w:val="single" w:color="auto" w:sz="4" w:space="0"/>
              <w:left w:val="single" w:color="auto" w:sz="4" w:space="0"/>
              <w:bottom w:val="single" w:color="auto" w:sz="4" w:space="0"/>
              <w:right w:val="single" w:color="auto" w:sz="4" w:space="0"/>
            </w:tcBorders>
            <w:vAlign w:val="center"/>
          </w:tcPr>
          <w:p w14:paraId="1A0C64A5">
            <w:pPr>
              <w:widowControl/>
              <w:adjustRightInd w:val="0"/>
              <w:snapToGrid w:val="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0</w:t>
            </w:r>
          </w:p>
        </w:tc>
      </w:tr>
      <w:tr w14:paraId="1A2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C18B00B">
            <w:pPr>
              <w:widowControl/>
              <w:adjustRightInd w:val="0"/>
              <w:snapToGrid w:val="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总分：9.5分（初始分9+绿色发展0.5=9.5分） </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等级：合格园区</w:t>
            </w:r>
          </w:p>
        </w:tc>
      </w:tr>
    </w:tbl>
    <w:p w14:paraId="4E38C673">
      <w:pPr>
        <w:pStyle w:val="2"/>
        <w:ind w:firstLine="640"/>
        <w:rPr>
          <w:rFonts w:hint="eastAsia" w:ascii="仿宋_GB2312" w:hAnsi="仿宋_GB2312" w:cs="仿宋_GB2312"/>
          <w:color w:val="000000" w:themeColor="text1"/>
          <w:szCs w:val="32"/>
          <w14:textFill>
            <w14:solidFill>
              <w14:schemeClr w14:val="tx1"/>
            </w14:solidFill>
          </w14:textFill>
        </w:rPr>
      </w:pPr>
    </w:p>
    <w:p w14:paraId="73220F74">
      <w:pPr>
        <w:pStyle w:val="2"/>
        <w:ind w:firstLine="640"/>
        <w:rPr>
          <w:rFonts w:hint="eastAsia" w:ascii="仿宋_GB2312" w:hAnsi="仿宋_GB2312" w:cs="仿宋_GB2312"/>
          <w:color w:val="000000" w:themeColor="text1"/>
          <w:szCs w:val="32"/>
          <w14:textFill>
            <w14:solidFill>
              <w14:schemeClr w14:val="tx1"/>
            </w14:solidFill>
          </w14:textFill>
        </w:rPr>
      </w:pPr>
    </w:p>
    <w:p w14:paraId="7CB7C1A2">
      <w:pPr>
        <w:pStyle w:val="2"/>
        <w:ind w:firstLine="640"/>
        <w:rPr>
          <w:rFonts w:hint="eastAsia" w:ascii="仿宋_GB2312" w:hAnsi="仿宋_GB2312" w:cs="仿宋_GB2312"/>
          <w:color w:val="000000" w:themeColor="text1"/>
          <w:szCs w:val="32"/>
          <w14:textFill>
            <w14:solidFill>
              <w14:schemeClr w14:val="tx1"/>
            </w14:solidFill>
          </w14:textFill>
        </w:rPr>
      </w:pPr>
    </w:p>
    <w:p w14:paraId="308C64A8">
      <w:pPr>
        <w:pStyle w:val="2"/>
        <w:ind w:firstLine="640"/>
        <w:rPr>
          <w:rFonts w:hint="eastAsia" w:ascii="仿宋_GB2312" w:hAnsi="仿宋_GB2312" w:cs="仿宋_GB2312"/>
          <w:color w:val="000000" w:themeColor="text1"/>
          <w:szCs w:val="32"/>
          <w14:textFill>
            <w14:solidFill>
              <w14:schemeClr w14:val="tx1"/>
            </w14:solidFill>
          </w14:textFill>
        </w:rPr>
      </w:pPr>
    </w:p>
    <w:p w14:paraId="14FE3DCD">
      <w:pPr>
        <w:pStyle w:val="2"/>
        <w:ind w:firstLine="640"/>
        <w:rPr>
          <w:rFonts w:hint="eastAsia" w:ascii="仿宋_GB2312" w:hAnsi="仿宋_GB2312" w:cs="仿宋_GB2312"/>
          <w:color w:val="000000" w:themeColor="text1"/>
          <w:szCs w:val="32"/>
          <w14:textFill>
            <w14:solidFill>
              <w14:schemeClr w14:val="tx1"/>
            </w14:solidFill>
          </w14:textFill>
        </w:rPr>
        <w:sectPr>
          <w:pgSz w:w="16838" w:h="11906" w:orient="landscape"/>
          <w:pgMar w:top="1800" w:right="1440" w:bottom="1800" w:left="1440" w:header="851" w:footer="992" w:gutter="0"/>
          <w:cols w:space="720" w:num="1"/>
          <w:docGrid w:type="lines" w:linePitch="381" w:charSpace="0"/>
        </w:sectPr>
      </w:pPr>
    </w:p>
    <w:bookmarkEnd w:id="60"/>
    <w:p w14:paraId="7895A0DC">
      <w:pPr>
        <w:pStyle w:val="4"/>
        <w:ind w:firstLine="640"/>
        <w:rPr>
          <w:color w:val="000000" w:themeColor="text1"/>
          <w14:textFill>
            <w14:solidFill>
              <w14:schemeClr w14:val="tx1"/>
            </w14:solidFill>
          </w14:textFill>
        </w:rPr>
      </w:pPr>
      <w:bookmarkStart w:id="66" w:name="_Toc128039332"/>
      <w:bookmarkStart w:id="67" w:name="_Hlk67421102"/>
      <w:r>
        <w:rPr>
          <w:color w:val="000000" w:themeColor="text1"/>
          <w14:textFill>
            <w14:solidFill>
              <w14:schemeClr w14:val="tx1"/>
            </w14:solidFill>
          </w14:textFill>
        </w:rPr>
        <w:t>三、</w:t>
      </w:r>
      <w:bookmarkStart w:id="68" w:name="_Hlk126745785"/>
      <w:r>
        <w:rPr>
          <w:color w:val="000000" w:themeColor="text1"/>
          <w14:textFill>
            <w14:solidFill>
              <w14:schemeClr w14:val="tx1"/>
            </w14:solidFill>
          </w14:textFill>
        </w:rPr>
        <w:t>园区环保工作成效、主要措施做法</w:t>
      </w:r>
      <w:bookmarkEnd w:id="66"/>
      <w:bookmarkEnd w:id="68"/>
    </w:p>
    <w:p w14:paraId="1F490B64">
      <w:pPr>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69" w:name="_Hlk67420932"/>
      <w:r>
        <w:rPr>
          <w:rFonts w:ascii="宋体" w:hAnsi="宋体" w:eastAsia="宋体" w:cs="Times New Roman"/>
          <w:b/>
          <w:color w:val="000000" w:themeColor="text1"/>
          <w:sz w:val="32"/>
          <w:szCs w:val="32"/>
          <w14:textFill>
            <w14:solidFill>
              <w14:schemeClr w14:val="tx1"/>
            </w14:solidFill>
          </w14:textFill>
        </w:rPr>
        <w:t>1、</w:t>
      </w:r>
      <w:r>
        <w:rPr>
          <w:rFonts w:hint="eastAsia" w:ascii="宋体" w:hAnsi="宋体" w:eastAsia="宋体" w:cs="Times New Roman"/>
          <w:b/>
          <w:color w:val="000000" w:themeColor="text1"/>
          <w:sz w:val="32"/>
          <w:szCs w:val="32"/>
          <w14:textFill>
            <w14:solidFill>
              <w14:schemeClr w14:val="tx1"/>
            </w14:solidFill>
          </w14:textFill>
        </w:rPr>
        <w:t>严抓“三线一单”落地应用</w:t>
      </w:r>
      <w:r>
        <w:rPr>
          <w:rFonts w:ascii="宋体" w:hAnsi="宋体" w:eastAsia="宋体" w:cs="Times New Roman"/>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园区充分发挥产业园区“三线一单”成果的指导约束作用，将建设项目环评论证是否符合“三线一单”，作为项目入园的基本要求，守好准入关口，确保不符合园区产业定位、存在环保风险的企业不引进。</w:t>
      </w:r>
    </w:p>
    <w:p w14:paraId="5046AB5B">
      <w:pPr>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宋体" w:hAnsi="宋体" w:eastAsia="宋体" w:cs="Times New Roman"/>
          <w:b/>
          <w:color w:val="000000" w:themeColor="text1"/>
          <w:sz w:val="32"/>
          <w:szCs w:val="32"/>
          <w14:textFill>
            <w14:solidFill>
              <w14:schemeClr w14:val="tx1"/>
            </w14:solidFill>
          </w14:textFill>
        </w:rPr>
        <w:t>2、</w:t>
      </w:r>
      <w:r>
        <w:rPr>
          <w:rFonts w:hint="eastAsia" w:ascii="宋体" w:hAnsi="宋体" w:eastAsia="宋体" w:cs="Times New Roman"/>
          <w:b/>
          <w:color w:val="000000" w:themeColor="text1"/>
          <w:sz w:val="32"/>
          <w:szCs w:val="32"/>
          <w14:textFill>
            <w14:solidFill>
              <w14:schemeClr w14:val="tx1"/>
            </w14:solidFill>
          </w14:textFill>
        </w:rPr>
        <w:t>定期开展园区应急演练</w:t>
      </w:r>
      <w:r>
        <w:rPr>
          <w:rFonts w:ascii="宋体" w:hAnsi="宋体" w:eastAsia="宋体" w:cs="Times New Roman"/>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园区应急演练过程中企业、园区、政府三级部门联动，确保了应急演练的联动。提升了园区应急人员的环境应急安全意识，提高环境事故的实战技能。</w:t>
      </w:r>
    </w:p>
    <w:bookmarkEnd w:id="69"/>
    <w:p w14:paraId="4228AC75">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color w:val="000000" w:themeColor="text1"/>
          <w:szCs w:val="32"/>
          <w14:textFill>
            <w14:solidFill>
              <w14:schemeClr w14:val="tx1"/>
            </w14:solidFill>
          </w14:textFill>
        </w:rPr>
        <w:t>3、</w:t>
      </w:r>
      <w:r>
        <w:rPr>
          <w:rFonts w:hint="eastAsia" w:ascii="宋体" w:hAnsi="宋体" w:eastAsia="宋体" w:cs="宋体"/>
          <w:b/>
          <w:color w:val="000000" w:themeColor="text1"/>
          <w:szCs w:val="32"/>
          <w14:textFill>
            <w14:solidFill>
              <w14:schemeClr w14:val="tx1"/>
            </w14:solidFill>
          </w14:textFill>
        </w:rPr>
        <w:t>继续</w:t>
      </w:r>
      <w:r>
        <w:rPr>
          <w:rFonts w:ascii="宋体" w:hAnsi="宋体" w:eastAsia="宋体"/>
          <w:b/>
          <w:color w:val="000000" w:themeColor="text1"/>
          <w:szCs w:val="32"/>
          <w14:textFill>
            <w14:solidFill>
              <w14:schemeClr w14:val="tx1"/>
            </w14:solidFill>
          </w14:textFill>
        </w:rPr>
        <w:t>采取第三方治理服务模式。</w:t>
      </w:r>
      <w:r>
        <w:rPr>
          <w:rFonts w:hint="eastAsia" w:ascii="仿宋_GB2312" w:hAnsi="仿宋_GB2312" w:cs="仿宋_GB2312"/>
          <w:color w:val="000000" w:themeColor="text1"/>
          <w:szCs w:val="32"/>
          <w14:textFill>
            <w14:solidFill>
              <w14:schemeClr w14:val="tx1"/>
            </w14:solidFill>
          </w14:textFill>
        </w:rPr>
        <w:t>聘请湖南宏晟环保技术研究院有限公司作为第三方环保治理服务公司，对园区及企业进行“把脉问诊”、精准施策；壮大了开发区环保人员力量，对园区环境监管起到明显作用。</w:t>
      </w:r>
    </w:p>
    <w:p w14:paraId="2D6CDBA6">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bookmarkStart w:id="70" w:name="_Hlk127871777"/>
      <w:bookmarkStart w:id="71" w:name="_Hlk127871795"/>
      <w:r>
        <w:rPr>
          <w:rFonts w:ascii="宋体" w:hAnsi="宋体" w:eastAsia="宋体"/>
          <w:b/>
          <w:color w:val="000000" w:themeColor="text1"/>
          <w:szCs w:val="32"/>
          <w14:textFill>
            <w14:solidFill>
              <w14:schemeClr w14:val="tx1"/>
            </w14:solidFill>
          </w14:textFill>
        </w:rPr>
        <w:t>4、</w:t>
      </w:r>
      <w:r>
        <w:rPr>
          <w:rFonts w:hint="eastAsia" w:ascii="宋体" w:hAnsi="宋体" w:eastAsia="宋体" w:cs="宋体"/>
          <w:b/>
          <w:color w:val="000000" w:themeColor="text1"/>
          <w:szCs w:val="32"/>
          <w14:textFill>
            <w14:solidFill>
              <w14:schemeClr w14:val="tx1"/>
            </w14:solidFill>
          </w14:textFill>
        </w:rPr>
        <w:t>定期</w:t>
      </w:r>
      <w:r>
        <w:rPr>
          <w:rFonts w:ascii="宋体" w:hAnsi="宋体" w:eastAsia="宋体"/>
          <w:b/>
          <w:color w:val="000000" w:themeColor="text1"/>
          <w:szCs w:val="32"/>
          <w14:textFill>
            <w14:solidFill>
              <w14:schemeClr w14:val="tx1"/>
            </w14:solidFill>
          </w14:textFill>
        </w:rPr>
        <w:t>开</w:t>
      </w:r>
      <w:bookmarkEnd w:id="70"/>
      <w:r>
        <w:rPr>
          <w:rFonts w:ascii="宋体" w:hAnsi="宋体" w:eastAsia="宋体"/>
          <w:b/>
          <w:color w:val="000000" w:themeColor="text1"/>
          <w:szCs w:val="32"/>
          <w14:textFill>
            <w14:solidFill>
              <w14:schemeClr w14:val="tx1"/>
            </w14:solidFill>
          </w14:textFill>
        </w:rPr>
        <w:t>展园区</w:t>
      </w:r>
      <w:r>
        <w:rPr>
          <w:rFonts w:hint="eastAsia" w:ascii="宋体" w:hAnsi="宋体" w:eastAsia="宋体" w:cs="宋体"/>
          <w:b/>
          <w:color w:val="000000" w:themeColor="text1"/>
          <w:szCs w:val="32"/>
          <w14:textFill>
            <w14:solidFill>
              <w14:schemeClr w14:val="tx1"/>
            </w14:solidFill>
          </w14:textFill>
        </w:rPr>
        <w:t>生态环境风险隐患排查和环保服务</w:t>
      </w:r>
      <w:r>
        <w:rPr>
          <w:rFonts w:ascii="宋体" w:hAnsi="宋体" w:eastAsia="宋体"/>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园区分管环保领导带队组织环保管家一同对园区及园区内企业开展生态环境风险隐患排查，</w:t>
      </w:r>
      <w:bookmarkEnd w:id="71"/>
      <w:r>
        <w:rPr>
          <w:rFonts w:hint="eastAsia" w:ascii="仿宋_GB2312" w:hAnsi="仿宋_GB2312" w:cs="仿宋_GB2312"/>
          <w:color w:val="000000" w:themeColor="text1"/>
          <w:szCs w:val="32"/>
          <w14:textFill>
            <w14:solidFill>
              <w14:schemeClr w14:val="tx1"/>
            </w14:solidFill>
          </w14:textFill>
        </w:rPr>
        <w:t>并对排查出的风险隐患及时进行整改；加强环保服务，对未办理环保手续的企业耐心的做好政策宣传，并给予专业技术的帮扶，让企业省事、省钱的完善相关环保手续。</w:t>
      </w:r>
    </w:p>
    <w:p w14:paraId="44332C4C">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color w:val="000000" w:themeColor="text1"/>
          <w:szCs w:val="32"/>
          <w14:textFill>
            <w14:solidFill>
              <w14:schemeClr w14:val="tx1"/>
            </w14:solidFill>
          </w14:textFill>
        </w:rPr>
        <w:t>5、</w:t>
      </w:r>
      <w:bookmarkStart w:id="72" w:name="_Hlk127872288"/>
      <w:r>
        <w:rPr>
          <w:rFonts w:hint="eastAsia" w:ascii="宋体" w:hAnsi="宋体" w:eastAsia="宋体" w:cs="宋体"/>
          <w:b/>
          <w:color w:val="000000" w:themeColor="text1"/>
          <w:szCs w:val="32"/>
          <w14:textFill>
            <w14:solidFill>
              <w14:schemeClr w14:val="tx1"/>
            </w14:solidFill>
          </w14:textFill>
        </w:rPr>
        <w:t>督促企业完善园区生态环境监管平台</w:t>
      </w:r>
      <w:bookmarkEnd w:id="72"/>
      <w:r>
        <w:rPr>
          <w:rFonts w:hint="eastAsia" w:ascii="宋体" w:hAnsi="宋体" w:eastAsia="宋体" w:cs="宋体"/>
          <w:b/>
          <w:color w:val="000000" w:themeColor="text1"/>
          <w:szCs w:val="32"/>
          <w14:textFill>
            <w14:solidFill>
              <w14:schemeClr w14:val="tx1"/>
            </w14:solidFill>
          </w14:textFill>
        </w:rPr>
        <w:t>信息的填报</w:t>
      </w:r>
      <w:r>
        <w:rPr>
          <w:rFonts w:ascii="宋体" w:hAnsi="宋体" w:eastAsia="宋体"/>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督促相关企业在园区智慧平台上填报企业基础信息，并按自行监测方案的要求及时上传自行监测的数据，做到信息及时更新。</w:t>
      </w:r>
    </w:p>
    <w:p w14:paraId="7A3733E7">
      <w:pPr>
        <w:pStyle w:val="4"/>
        <w:ind w:firstLine="640"/>
        <w:rPr>
          <w:color w:val="000000" w:themeColor="text1"/>
          <w14:textFill>
            <w14:solidFill>
              <w14:schemeClr w14:val="tx1"/>
            </w14:solidFill>
          </w14:textFill>
        </w:rPr>
      </w:pPr>
      <w:bookmarkStart w:id="73" w:name="_Toc128039333"/>
      <w:r>
        <w:rPr>
          <w:color w:val="000000" w:themeColor="text1"/>
          <w14:textFill>
            <w14:solidFill>
              <w14:schemeClr w14:val="tx1"/>
            </w14:solidFill>
          </w14:textFill>
        </w:rPr>
        <w:t>四、</w:t>
      </w:r>
      <w:bookmarkStart w:id="74" w:name="_Hlk126747346"/>
      <w:r>
        <w:rPr>
          <w:color w:val="000000" w:themeColor="text1"/>
          <w14:textFill>
            <w14:solidFill>
              <w14:schemeClr w14:val="tx1"/>
            </w14:solidFill>
          </w14:textFill>
        </w:rPr>
        <w:t>园区生态环境管理存在主要问题和难题</w:t>
      </w:r>
      <w:bookmarkEnd w:id="73"/>
      <w:bookmarkEnd w:id="74"/>
    </w:p>
    <w:p w14:paraId="32CF0C05">
      <w:pPr>
        <w:pStyle w:val="2"/>
        <w:spacing w:line="360" w:lineRule="auto"/>
        <w:ind w:firstLine="640"/>
        <w:rPr>
          <w:rFonts w:hint="eastAsia" w:ascii="宋体" w:hAnsi="宋体" w:eastAsia="宋体" w:cs="宋体"/>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设置的专职环保人员偏少。根据2025年9月印发的《关于中共双牌产业开发区工作委员会双牌产业开发区管理委员会机构编制事项调整的通知》（双编办〔2025〕3号），园区内设机构有综合部、招商合作部、营商环境部、开发建设部（安全生产监管部）、双牌产业开发区企业服务中心。园区虽有专门的环保内设机构，但目前环保专干人员为1人，不能满足园区环保管理的要求。</w:t>
      </w:r>
    </w:p>
    <w:p w14:paraId="4C0CF342">
      <w:pPr>
        <w:pStyle w:val="4"/>
        <w:ind w:firstLine="640"/>
        <w:rPr>
          <w:color w:val="000000" w:themeColor="text1"/>
          <w14:textFill>
            <w14:solidFill>
              <w14:schemeClr w14:val="tx1"/>
            </w14:solidFill>
          </w14:textFill>
        </w:rPr>
      </w:pPr>
      <w:bookmarkStart w:id="75" w:name="_Toc128039334"/>
      <w:r>
        <w:rPr>
          <w:color w:val="000000" w:themeColor="text1"/>
          <w14:textFill>
            <w14:solidFill>
              <w14:schemeClr w14:val="tx1"/>
            </w14:solidFill>
          </w14:textFill>
        </w:rPr>
        <w:t>五、下一步工作计划</w:t>
      </w:r>
      <w:bookmarkEnd w:id="75"/>
    </w:p>
    <w:p w14:paraId="27DD03D8">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双牌产业开发区管委会以持续改善</w:t>
      </w:r>
      <w:bookmarkStart w:id="76" w:name="_Hlk127871593"/>
      <w:r>
        <w:rPr>
          <w:rFonts w:hint="eastAsia" w:ascii="仿宋_GB2312" w:hAnsi="仿宋_GB2312" w:cs="仿宋_GB2312"/>
          <w:color w:val="000000" w:themeColor="text1"/>
          <w:szCs w:val="32"/>
          <w14:textFill>
            <w14:solidFill>
              <w14:schemeClr w14:val="tx1"/>
            </w14:solidFill>
          </w14:textFill>
        </w:rPr>
        <w:t>产业园</w:t>
      </w:r>
      <w:bookmarkEnd w:id="76"/>
      <w:r>
        <w:rPr>
          <w:rFonts w:hint="eastAsia" w:ascii="仿宋_GB2312" w:hAnsi="仿宋_GB2312" w:cs="仿宋_GB2312"/>
          <w:color w:val="000000" w:themeColor="text1"/>
          <w:szCs w:val="32"/>
          <w14:textFill>
            <w14:solidFill>
              <w14:schemeClr w14:val="tx1"/>
            </w14:solidFill>
          </w14:textFill>
        </w:rPr>
        <w:t>生态环境质量为目标，将有效管控产业园生态环境风险，力争使产业园生态环境保护、监管水平同全面建成创新高地、现代新城目标相适应。主要工作思路如下：</w:t>
      </w:r>
    </w:p>
    <w:p w14:paraId="64E93947">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bookmarkStart w:id="77" w:name="_Hlk69313463"/>
      <w:r>
        <w:rPr>
          <w:rFonts w:ascii="宋体" w:hAnsi="宋体" w:eastAsia="宋体"/>
          <w:b/>
          <w:bCs/>
          <w:color w:val="000000" w:themeColor="text1"/>
          <w:szCs w:val="32"/>
          <w14:textFill>
            <w14:solidFill>
              <w14:schemeClr w14:val="tx1"/>
            </w14:solidFill>
          </w14:textFill>
        </w:rPr>
        <w:t>1、加强队伍能力建设。</w:t>
      </w:r>
      <w:r>
        <w:rPr>
          <w:rFonts w:hint="eastAsia" w:ascii="仿宋_GB2312" w:hAnsi="仿宋_GB2312" w:cs="仿宋_GB2312"/>
          <w:color w:val="000000" w:themeColor="text1"/>
          <w:szCs w:val="32"/>
          <w14:textFill>
            <w14:solidFill>
              <w14:schemeClr w14:val="tx1"/>
            </w14:solidFill>
          </w14:textFill>
        </w:rPr>
        <w:t>全</w:t>
      </w:r>
      <w:bookmarkEnd w:id="77"/>
      <w:r>
        <w:rPr>
          <w:rFonts w:hint="eastAsia" w:ascii="仿宋_GB2312" w:hAnsi="仿宋_GB2312" w:cs="仿宋_GB2312"/>
          <w:color w:val="000000" w:themeColor="text1"/>
          <w:szCs w:val="32"/>
          <w14:textFill>
            <w14:solidFill>
              <w14:schemeClr w14:val="tx1"/>
            </w14:solidFill>
          </w14:textFill>
        </w:rPr>
        <w:t>面调动积极性、提振精气神，努力锻造一支高素质专业化干部队伍。一是抓好自身建设。不断提高干部思想认识，认清产业园发展的基础、优势和短板，提升干部能力，使干部成为本职工作的行家里手。二是改进工作作风。全面激发干部队伍干事创业的激情和热情，冲在一线、干在一线。三是严格正风肃纪。压紧压实管党治党政治责任，持续正风肃纪，深化廉政风险排查防控，构筑清朗清明的政治生态。四是加强业务培训工作，加强生态环保政治理论学习和业务知识培训，不断提升环保工作科学性、精准性和实效性。主动适应新形势、新要求，切实提升业务能力、凝聚合力，着力打造一支叫得应、顶得上、打得贏的环保铁军。</w:t>
      </w:r>
    </w:p>
    <w:p w14:paraId="62474164">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bCs/>
          <w:color w:val="000000" w:themeColor="text1"/>
          <w:szCs w:val="32"/>
          <w14:textFill>
            <w14:solidFill>
              <w14:schemeClr w14:val="tx1"/>
            </w14:solidFill>
          </w14:textFill>
        </w:rPr>
        <w:t>2、</w:t>
      </w:r>
      <w:r>
        <w:rPr>
          <w:rFonts w:hint="eastAsia" w:ascii="宋体" w:hAnsi="宋体" w:eastAsia="宋体"/>
          <w:b/>
          <w:bCs/>
          <w:color w:val="000000" w:themeColor="text1"/>
          <w:szCs w:val="32"/>
          <w14:textFill>
            <w14:solidFill>
              <w14:schemeClr w14:val="tx1"/>
            </w14:solidFill>
          </w14:textFill>
        </w:rPr>
        <w:t>完善</w:t>
      </w:r>
      <w:r>
        <w:rPr>
          <w:rFonts w:hint="eastAsia" w:ascii="宋体" w:hAnsi="宋体" w:eastAsia="宋体" w:cs="宋体"/>
          <w:b/>
          <w:bCs/>
          <w:color w:val="000000" w:themeColor="text1"/>
          <w:szCs w:val="32"/>
          <w14:textFill>
            <w14:solidFill>
              <w14:schemeClr w14:val="tx1"/>
            </w14:solidFill>
          </w14:textFill>
        </w:rPr>
        <w:t>园区生态环境监管平台数据填报</w:t>
      </w:r>
      <w:r>
        <w:rPr>
          <w:rFonts w:ascii="宋体" w:hAnsi="宋体" w:eastAsia="宋体"/>
          <w:b/>
          <w:bCs/>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后续按要求把相关信息录入平台，发挥平台的数字化管理功能。</w:t>
      </w:r>
    </w:p>
    <w:p w14:paraId="62A4890B">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bCs/>
          <w:color w:val="000000" w:themeColor="text1"/>
          <w:szCs w:val="32"/>
          <w14:textFill>
            <w14:solidFill>
              <w14:schemeClr w14:val="tx1"/>
            </w14:solidFill>
          </w14:textFill>
        </w:rPr>
        <w:t>3、强化环保宣传教育工作。</w:t>
      </w:r>
      <w:r>
        <w:rPr>
          <w:rFonts w:hint="eastAsia" w:ascii="仿宋_GB2312" w:hAnsi="仿宋_GB2312" w:cs="仿宋_GB2312"/>
          <w:color w:val="000000" w:themeColor="text1"/>
          <w:szCs w:val="32"/>
          <w14:textFill>
            <w14:solidFill>
              <w14:schemeClr w14:val="tx1"/>
            </w14:solidFill>
          </w14:textFill>
        </w:rPr>
        <w:t>合理利用园区内各网格化、信息化平台和传播手段等加强环保工作的宣传力度，强化园区企业、居民环保意识，全力营造全民参与绿色生态园区建设的良好氛围。</w:t>
      </w:r>
    </w:p>
    <w:p w14:paraId="5D2A6487">
      <w:pPr>
        <w:pStyle w:val="2"/>
        <w:spacing w:line="360" w:lineRule="auto"/>
        <w:ind w:firstLine="643"/>
        <w:rPr>
          <w:rFonts w:hint="eastAsia" w:ascii="宋体" w:hAnsi="宋体" w:eastAsia="宋体"/>
          <w:color w:val="000000" w:themeColor="text1"/>
          <w14:textFill>
            <w14:solidFill>
              <w14:schemeClr w14:val="tx1"/>
            </w14:solidFill>
          </w14:textFill>
        </w:rPr>
      </w:pPr>
      <w:r>
        <w:rPr>
          <w:rFonts w:ascii="宋体" w:hAnsi="宋体" w:eastAsia="宋体"/>
          <w:b/>
          <w:bCs/>
          <w:color w:val="000000" w:themeColor="text1"/>
          <w:szCs w:val="32"/>
          <w14:textFill>
            <w14:solidFill>
              <w14:schemeClr w14:val="tx1"/>
            </w14:solidFill>
          </w14:textFill>
        </w:rPr>
        <w:t>4、加强环保管理工作。</w:t>
      </w:r>
    </w:p>
    <w:p w14:paraId="3E5F80B6">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督促企业完成环评、竣工环保验收、排污许可申报、应急预案备案及修编工作；组织开展2026年度的应急演练工作；完成2026年园区环境自行监测；按时完成省市县交办的各项环保任务。</w:t>
      </w:r>
      <w:bookmarkEnd w:id="0"/>
      <w:bookmarkEnd w:id="67"/>
    </w:p>
    <w:p w14:paraId="70D98EA5">
      <w:pPr>
        <w:pStyle w:val="2"/>
        <w:spacing w:line="360" w:lineRule="auto"/>
        <w:ind w:firstLine="640"/>
        <w:rPr>
          <w:rFonts w:hint="eastAsia" w:ascii="宋体" w:hAnsi="宋体" w:eastAsia="宋体" w:cs="仿宋_GB2312"/>
          <w:color w:val="000000" w:themeColor="text1"/>
          <w:szCs w:val="32"/>
          <w14:textFill>
            <w14:solidFill>
              <w14:schemeClr w14:val="tx1"/>
            </w14:solidFill>
          </w14:textFill>
        </w:rPr>
      </w:pPr>
    </w:p>
    <w:p w14:paraId="6542498C">
      <w:pPr>
        <w:pStyle w:val="2"/>
        <w:spacing w:line="360" w:lineRule="auto"/>
        <w:ind w:firstLine="640"/>
        <w:rPr>
          <w:color w:val="000000" w:themeColor="text1"/>
          <w14:textFill>
            <w14:solidFill>
              <w14:schemeClr w14:val="tx1"/>
            </w14:solidFill>
          </w14:textFill>
        </w:rPr>
      </w:pPr>
    </w:p>
    <w:p w14:paraId="3B0C7892">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color w:val="000000" w:themeColor="text1"/>
          <w:szCs w:val="32"/>
          <w14:textFill>
            <w14:solidFill>
              <w14:schemeClr w14:val="tx1"/>
            </w14:solidFill>
          </w14:textFill>
        </w:rPr>
        <w:t xml:space="preserve">                    </w:t>
      </w:r>
      <w:r>
        <w:rPr>
          <w:rFonts w:ascii="宋体" w:hAnsi="宋体" w:eastAsia="宋体"/>
          <w:color w:val="000000" w:themeColor="text1"/>
          <w:szCs w:val="32"/>
          <w14:textFill>
            <w14:solidFill>
              <w14:schemeClr w14:val="tx1"/>
            </w14:solidFill>
          </w14:textFill>
        </w:rPr>
        <w:t xml:space="preserve">   </w:t>
      </w:r>
      <w:bookmarkStart w:id="78" w:name="_Hlk67422249"/>
      <w:r>
        <w:rPr>
          <w:rFonts w:hint="eastAsia" w:ascii="仿宋_GB2312" w:hAnsi="仿宋_GB2312" w:cs="仿宋_GB2312"/>
          <w:color w:val="000000" w:themeColor="text1"/>
          <w:szCs w:val="32"/>
          <w14:textFill>
            <w14:solidFill>
              <w14:schemeClr w14:val="tx1"/>
            </w14:solidFill>
          </w14:textFill>
        </w:rPr>
        <w:t>双牌产业开发区管理委员会</w:t>
      </w:r>
    </w:p>
    <w:p w14:paraId="687A446A">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 xml:space="preserve"> 2026年2月2</w:t>
      </w:r>
      <w:r>
        <w:rPr>
          <w:rFonts w:hint="eastAsia" w:ascii="Calibri" w:hAnsi="Calibri" w:cs="Calibri"/>
          <w:color w:val="000000" w:themeColor="text1"/>
          <w:szCs w:val="32"/>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日</w:t>
      </w:r>
      <w:bookmarkEnd w:id="7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DEAB42-ECAA-41B8-B5B9-3FD7ECC519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17791F-39A5-40C2-A7B4-D7721D13C2F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4FA4B83-7C6B-44D1-953F-4A074CFADFEF}"/>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4" w:fontKey="{80563275-5D4F-4600-BA0B-BADD1A7B58C7}"/>
  </w:font>
  <w:font w:name="方正小标宋_GBK">
    <w:altName w:val="宋体"/>
    <w:panose1 w:val="00000000000000000000"/>
    <w:charset w:val="86"/>
    <w:family w:val="script"/>
    <w:pitch w:val="default"/>
    <w:sig w:usb0="00000000" w:usb1="00000000" w:usb2="00000010" w:usb3="00000000" w:csb0="00040000" w:csb1="00000000"/>
    <w:embedRegular r:id="rId5" w:fontKey="{2B6BB024-30F1-4B1F-9A48-1CC384BCBE5E}"/>
  </w:font>
  <w:font w:name="楷体_GB2312">
    <w:panose1 w:val="02010609030101010101"/>
    <w:charset w:val="86"/>
    <w:family w:val="modern"/>
    <w:pitch w:val="default"/>
    <w:sig w:usb0="00000001" w:usb1="080E0000" w:usb2="00000000" w:usb3="00000000" w:csb0="00040000" w:csb1="00000000"/>
    <w:embedRegular r:id="rId6" w:fontKey="{02539C73-FC6B-4538-B31F-182164AFB878}"/>
  </w:font>
  <w:font w:name="微软雅黑">
    <w:panose1 w:val="020B0503020204020204"/>
    <w:charset w:val="86"/>
    <w:family w:val="swiss"/>
    <w:pitch w:val="default"/>
    <w:sig w:usb0="80000287" w:usb1="2ACF3C50" w:usb2="00000016" w:usb3="00000000" w:csb0="0004001F" w:csb1="00000000"/>
    <w:embedRegular r:id="rId7" w:fontKey="{3A75DF87-961C-4822-B506-063683C04BDB}"/>
  </w:font>
  <w:font w:name="___WRD_EMBED_SUB_44">
    <w:altName w:val="微软雅黑"/>
    <w:panose1 w:val="00000000000000000000"/>
    <w:charset w:val="86"/>
    <w:family w:val="modern"/>
    <w:pitch w:val="default"/>
    <w:sig w:usb0="00000000" w:usb1="00000000" w:usb2="00000010" w:usb3="00000000" w:csb0="00040000" w:csb1="00000000"/>
    <w:embedRegular r:id="rId8" w:fontKey="{B57AF67F-4B66-4B89-AFFB-B9540B87B5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67DF">
    <w:pPr>
      <w:pStyle w:val="15"/>
      <w:jc w:val="center"/>
      <w:rPr>
        <w:rFonts w:hint="eastAsia"/>
      </w:rPr>
    </w:pPr>
  </w:p>
  <w:p w14:paraId="7C7CBBFC">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39353">
    <w:pPr>
      <w:pStyle w:val="1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32F58">
                          <w:pPr>
                            <w:pStyle w:val="1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B32F58">
                    <w:pPr>
                      <w:pStyle w:val="1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CF7BBB4">
    <w:pPr>
      <w:pStyle w:val="1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30BE">
    <w:pPr>
      <w:pStyle w:val="15"/>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0BB5F">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00BB5F">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A47CD81">
    <w:pPr>
      <w:pStyle w:val="15"/>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71DE">
    <w:pPr>
      <w:pStyle w:val="1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2AF67">
                          <w:pPr>
                            <w:pStyle w:val="15"/>
                            <w:jc w:val="cen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72AF67">
                    <w:pPr>
                      <w:pStyle w:val="15"/>
                      <w:jc w:val="cen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C1F0">
    <w:pPr>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03812"/>
    <w:multiLevelType w:val="singleLevel"/>
    <w:tmpl w:val="6510381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dit="trackedChanges"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98"/>
    <w:rsid w:val="000005DB"/>
    <w:rsid w:val="00002094"/>
    <w:rsid w:val="00005911"/>
    <w:rsid w:val="00006D23"/>
    <w:rsid w:val="00013A2B"/>
    <w:rsid w:val="0001512D"/>
    <w:rsid w:val="000153E1"/>
    <w:rsid w:val="00020A13"/>
    <w:rsid w:val="00020AA9"/>
    <w:rsid w:val="0002237B"/>
    <w:rsid w:val="00022A51"/>
    <w:rsid w:val="00026898"/>
    <w:rsid w:val="0002773F"/>
    <w:rsid w:val="00032642"/>
    <w:rsid w:val="00033480"/>
    <w:rsid w:val="00035D48"/>
    <w:rsid w:val="00042842"/>
    <w:rsid w:val="00042D20"/>
    <w:rsid w:val="00044F00"/>
    <w:rsid w:val="00056595"/>
    <w:rsid w:val="000631EB"/>
    <w:rsid w:val="00066692"/>
    <w:rsid w:val="000672AC"/>
    <w:rsid w:val="000709A4"/>
    <w:rsid w:val="00071732"/>
    <w:rsid w:val="0007448A"/>
    <w:rsid w:val="000812FC"/>
    <w:rsid w:val="00081AA4"/>
    <w:rsid w:val="00087B1C"/>
    <w:rsid w:val="00092D51"/>
    <w:rsid w:val="000972BA"/>
    <w:rsid w:val="000A0B92"/>
    <w:rsid w:val="000A14ED"/>
    <w:rsid w:val="000C0AB2"/>
    <w:rsid w:val="000C0CA6"/>
    <w:rsid w:val="000C16A9"/>
    <w:rsid w:val="000C2989"/>
    <w:rsid w:val="000D0729"/>
    <w:rsid w:val="000D7934"/>
    <w:rsid w:val="000E011E"/>
    <w:rsid w:val="000E1315"/>
    <w:rsid w:val="000E19F7"/>
    <w:rsid w:val="000E4124"/>
    <w:rsid w:val="000E7282"/>
    <w:rsid w:val="00101EBB"/>
    <w:rsid w:val="00101F77"/>
    <w:rsid w:val="00102E09"/>
    <w:rsid w:val="00111021"/>
    <w:rsid w:val="001158D5"/>
    <w:rsid w:val="00116535"/>
    <w:rsid w:val="0011725E"/>
    <w:rsid w:val="00121145"/>
    <w:rsid w:val="00124B41"/>
    <w:rsid w:val="001356D5"/>
    <w:rsid w:val="0014365D"/>
    <w:rsid w:val="0014391B"/>
    <w:rsid w:val="00143D68"/>
    <w:rsid w:val="001503EF"/>
    <w:rsid w:val="001523F0"/>
    <w:rsid w:val="001529C1"/>
    <w:rsid w:val="00154E6C"/>
    <w:rsid w:val="00155CE0"/>
    <w:rsid w:val="0015729D"/>
    <w:rsid w:val="00171031"/>
    <w:rsid w:val="0017614D"/>
    <w:rsid w:val="001767E3"/>
    <w:rsid w:val="001770AF"/>
    <w:rsid w:val="001773DE"/>
    <w:rsid w:val="001816B7"/>
    <w:rsid w:val="00186AA3"/>
    <w:rsid w:val="00192E25"/>
    <w:rsid w:val="001A048E"/>
    <w:rsid w:val="001D0E68"/>
    <w:rsid w:val="001D2C87"/>
    <w:rsid w:val="001D3BA4"/>
    <w:rsid w:val="001E1E6F"/>
    <w:rsid w:val="001E1F9A"/>
    <w:rsid w:val="001F15E9"/>
    <w:rsid w:val="001F291A"/>
    <w:rsid w:val="00202382"/>
    <w:rsid w:val="00207749"/>
    <w:rsid w:val="0022038F"/>
    <w:rsid w:val="00221C3E"/>
    <w:rsid w:val="00222C35"/>
    <w:rsid w:val="00223360"/>
    <w:rsid w:val="00230453"/>
    <w:rsid w:val="00230B7C"/>
    <w:rsid w:val="00235968"/>
    <w:rsid w:val="00235D91"/>
    <w:rsid w:val="00244756"/>
    <w:rsid w:val="00244DC5"/>
    <w:rsid w:val="00257776"/>
    <w:rsid w:val="002600DF"/>
    <w:rsid w:val="002631F8"/>
    <w:rsid w:val="00265EF8"/>
    <w:rsid w:val="002735DE"/>
    <w:rsid w:val="00282E41"/>
    <w:rsid w:val="002839B6"/>
    <w:rsid w:val="00286D44"/>
    <w:rsid w:val="002872EB"/>
    <w:rsid w:val="002B01FF"/>
    <w:rsid w:val="002B2E4C"/>
    <w:rsid w:val="002B3731"/>
    <w:rsid w:val="002B3E9E"/>
    <w:rsid w:val="002C07BD"/>
    <w:rsid w:val="002C632F"/>
    <w:rsid w:val="002C69B2"/>
    <w:rsid w:val="002D07E1"/>
    <w:rsid w:val="002D31BD"/>
    <w:rsid w:val="002D3950"/>
    <w:rsid w:val="002D55C7"/>
    <w:rsid w:val="002D6811"/>
    <w:rsid w:val="002E0057"/>
    <w:rsid w:val="002E335C"/>
    <w:rsid w:val="002E4460"/>
    <w:rsid w:val="002E726C"/>
    <w:rsid w:val="002F1FEC"/>
    <w:rsid w:val="002F7774"/>
    <w:rsid w:val="00300AFB"/>
    <w:rsid w:val="003019C2"/>
    <w:rsid w:val="003023F5"/>
    <w:rsid w:val="00302B27"/>
    <w:rsid w:val="00312455"/>
    <w:rsid w:val="0031436F"/>
    <w:rsid w:val="00326215"/>
    <w:rsid w:val="003268FA"/>
    <w:rsid w:val="0033799B"/>
    <w:rsid w:val="00352F7F"/>
    <w:rsid w:val="003538FF"/>
    <w:rsid w:val="0036077B"/>
    <w:rsid w:val="00371D8E"/>
    <w:rsid w:val="00381BFD"/>
    <w:rsid w:val="003824C5"/>
    <w:rsid w:val="00384FCB"/>
    <w:rsid w:val="00385FA8"/>
    <w:rsid w:val="00387792"/>
    <w:rsid w:val="00395701"/>
    <w:rsid w:val="003A00F3"/>
    <w:rsid w:val="003A1FC5"/>
    <w:rsid w:val="003A2CDC"/>
    <w:rsid w:val="003A75E2"/>
    <w:rsid w:val="003D6A62"/>
    <w:rsid w:val="003E2A67"/>
    <w:rsid w:val="003F05E5"/>
    <w:rsid w:val="003F13FB"/>
    <w:rsid w:val="003F1892"/>
    <w:rsid w:val="003F3C1D"/>
    <w:rsid w:val="003F7B46"/>
    <w:rsid w:val="003F7F6A"/>
    <w:rsid w:val="004015AA"/>
    <w:rsid w:val="00407916"/>
    <w:rsid w:val="004104BE"/>
    <w:rsid w:val="00410680"/>
    <w:rsid w:val="004118E1"/>
    <w:rsid w:val="00411977"/>
    <w:rsid w:val="00415C42"/>
    <w:rsid w:val="00416D47"/>
    <w:rsid w:val="00425ECB"/>
    <w:rsid w:val="00426F5B"/>
    <w:rsid w:val="00431696"/>
    <w:rsid w:val="00431EE2"/>
    <w:rsid w:val="0043318C"/>
    <w:rsid w:val="00435923"/>
    <w:rsid w:val="00442622"/>
    <w:rsid w:val="0044275B"/>
    <w:rsid w:val="004456EC"/>
    <w:rsid w:val="00450A69"/>
    <w:rsid w:val="00451D58"/>
    <w:rsid w:val="00453156"/>
    <w:rsid w:val="004573B2"/>
    <w:rsid w:val="004574CC"/>
    <w:rsid w:val="00457BEC"/>
    <w:rsid w:val="00461838"/>
    <w:rsid w:val="0046185D"/>
    <w:rsid w:val="00466C93"/>
    <w:rsid w:val="00471E73"/>
    <w:rsid w:val="00481DD1"/>
    <w:rsid w:val="00485B1B"/>
    <w:rsid w:val="0049191F"/>
    <w:rsid w:val="004A3571"/>
    <w:rsid w:val="004A47C1"/>
    <w:rsid w:val="004B382E"/>
    <w:rsid w:val="004B7344"/>
    <w:rsid w:val="004B7B4D"/>
    <w:rsid w:val="004C4E4C"/>
    <w:rsid w:val="004D5078"/>
    <w:rsid w:val="004E0E74"/>
    <w:rsid w:val="004F07FD"/>
    <w:rsid w:val="004F1F26"/>
    <w:rsid w:val="004F31A9"/>
    <w:rsid w:val="004F467B"/>
    <w:rsid w:val="00500579"/>
    <w:rsid w:val="00502DF9"/>
    <w:rsid w:val="00506CDE"/>
    <w:rsid w:val="00513446"/>
    <w:rsid w:val="005143FD"/>
    <w:rsid w:val="0052628F"/>
    <w:rsid w:val="00527A72"/>
    <w:rsid w:val="0055093C"/>
    <w:rsid w:val="00556F1A"/>
    <w:rsid w:val="00562B8B"/>
    <w:rsid w:val="005639A5"/>
    <w:rsid w:val="0057187C"/>
    <w:rsid w:val="00580EDD"/>
    <w:rsid w:val="00586048"/>
    <w:rsid w:val="005861F7"/>
    <w:rsid w:val="0058707D"/>
    <w:rsid w:val="005909D1"/>
    <w:rsid w:val="005A01A9"/>
    <w:rsid w:val="005A48C6"/>
    <w:rsid w:val="005A4F49"/>
    <w:rsid w:val="005B1937"/>
    <w:rsid w:val="005B5568"/>
    <w:rsid w:val="005B7B30"/>
    <w:rsid w:val="005C4119"/>
    <w:rsid w:val="005C63AD"/>
    <w:rsid w:val="005D20C7"/>
    <w:rsid w:val="005D3701"/>
    <w:rsid w:val="005D4A37"/>
    <w:rsid w:val="005D6310"/>
    <w:rsid w:val="005D7F64"/>
    <w:rsid w:val="005E5221"/>
    <w:rsid w:val="005E5D8F"/>
    <w:rsid w:val="0060164F"/>
    <w:rsid w:val="006065E6"/>
    <w:rsid w:val="0061758C"/>
    <w:rsid w:val="00621113"/>
    <w:rsid w:val="00637E8A"/>
    <w:rsid w:val="00650C76"/>
    <w:rsid w:val="006518D2"/>
    <w:rsid w:val="00657A1D"/>
    <w:rsid w:val="00670E0F"/>
    <w:rsid w:val="006720E8"/>
    <w:rsid w:val="006728B9"/>
    <w:rsid w:val="00676D88"/>
    <w:rsid w:val="0068725B"/>
    <w:rsid w:val="00694C70"/>
    <w:rsid w:val="006A4A1F"/>
    <w:rsid w:val="006B0EFD"/>
    <w:rsid w:val="006B312C"/>
    <w:rsid w:val="006B7CBE"/>
    <w:rsid w:val="006D1459"/>
    <w:rsid w:val="006D15CA"/>
    <w:rsid w:val="006D17EC"/>
    <w:rsid w:val="006D249E"/>
    <w:rsid w:val="006D2E2B"/>
    <w:rsid w:val="006D3150"/>
    <w:rsid w:val="006D5AF3"/>
    <w:rsid w:val="006E0B40"/>
    <w:rsid w:val="006E0B91"/>
    <w:rsid w:val="006E63C7"/>
    <w:rsid w:val="006E6AC5"/>
    <w:rsid w:val="006F19EE"/>
    <w:rsid w:val="006F65C5"/>
    <w:rsid w:val="00700AD5"/>
    <w:rsid w:val="00705CFF"/>
    <w:rsid w:val="00706767"/>
    <w:rsid w:val="00715F07"/>
    <w:rsid w:val="0072180A"/>
    <w:rsid w:val="00724A9D"/>
    <w:rsid w:val="00724F03"/>
    <w:rsid w:val="00726CC0"/>
    <w:rsid w:val="00731F70"/>
    <w:rsid w:val="00743D0F"/>
    <w:rsid w:val="007475A1"/>
    <w:rsid w:val="0075133E"/>
    <w:rsid w:val="00753B33"/>
    <w:rsid w:val="0075494A"/>
    <w:rsid w:val="007556FB"/>
    <w:rsid w:val="00762006"/>
    <w:rsid w:val="00762A04"/>
    <w:rsid w:val="0076677F"/>
    <w:rsid w:val="007707A4"/>
    <w:rsid w:val="007727E3"/>
    <w:rsid w:val="00772C78"/>
    <w:rsid w:val="007747E7"/>
    <w:rsid w:val="00777355"/>
    <w:rsid w:val="00793458"/>
    <w:rsid w:val="007A2841"/>
    <w:rsid w:val="007A378E"/>
    <w:rsid w:val="007B476D"/>
    <w:rsid w:val="007C42FA"/>
    <w:rsid w:val="007D6DF6"/>
    <w:rsid w:val="007D764D"/>
    <w:rsid w:val="007E56A4"/>
    <w:rsid w:val="007F0B83"/>
    <w:rsid w:val="007F269C"/>
    <w:rsid w:val="007F2DF5"/>
    <w:rsid w:val="007F541F"/>
    <w:rsid w:val="008005CF"/>
    <w:rsid w:val="00802A61"/>
    <w:rsid w:val="0080439E"/>
    <w:rsid w:val="0080625D"/>
    <w:rsid w:val="00806CD6"/>
    <w:rsid w:val="0081293A"/>
    <w:rsid w:val="00812A97"/>
    <w:rsid w:val="00820CD2"/>
    <w:rsid w:val="008220B5"/>
    <w:rsid w:val="0082330E"/>
    <w:rsid w:val="00823C33"/>
    <w:rsid w:val="00826DDB"/>
    <w:rsid w:val="00830742"/>
    <w:rsid w:val="00836B15"/>
    <w:rsid w:val="008420C1"/>
    <w:rsid w:val="00845A70"/>
    <w:rsid w:val="0085086F"/>
    <w:rsid w:val="00851D29"/>
    <w:rsid w:val="00853E03"/>
    <w:rsid w:val="008563FB"/>
    <w:rsid w:val="0085739E"/>
    <w:rsid w:val="00857EAB"/>
    <w:rsid w:val="008659F5"/>
    <w:rsid w:val="008718FA"/>
    <w:rsid w:val="0087677B"/>
    <w:rsid w:val="00882CA8"/>
    <w:rsid w:val="00883796"/>
    <w:rsid w:val="00885398"/>
    <w:rsid w:val="00886645"/>
    <w:rsid w:val="00886F26"/>
    <w:rsid w:val="00892E23"/>
    <w:rsid w:val="008A0ADC"/>
    <w:rsid w:val="008B3677"/>
    <w:rsid w:val="008B4B10"/>
    <w:rsid w:val="008C2036"/>
    <w:rsid w:val="008C2D63"/>
    <w:rsid w:val="008D295C"/>
    <w:rsid w:val="008D4DC6"/>
    <w:rsid w:val="008D6D74"/>
    <w:rsid w:val="008D6F13"/>
    <w:rsid w:val="008F0C66"/>
    <w:rsid w:val="008F0F88"/>
    <w:rsid w:val="008F62BA"/>
    <w:rsid w:val="009026E0"/>
    <w:rsid w:val="0090598E"/>
    <w:rsid w:val="00906AF5"/>
    <w:rsid w:val="00911CE9"/>
    <w:rsid w:val="0091478D"/>
    <w:rsid w:val="00915327"/>
    <w:rsid w:val="00921E66"/>
    <w:rsid w:val="00923410"/>
    <w:rsid w:val="00932192"/>
    <w:rsid w:val="00933885"/>
    <w:rsid w:val="00941C5A"/>
    <w:rsid w:val="00941CE5"/>
    <w:rsid w:val="00941F45"/>
    <w:rsid w:val="0095144C"/>
    <w:rsid w:val="00976AE5"/>
    <w:rsid w:val="00976BE9"/>
    <w:rsid w:val="00977FAD"/>
    <w:rsid w:val="009855FB"/>
    <w:rsid w:val="00993FFC"/>
    <w:rsid w:val="009956D8"/>
    <w:rsid w:val="00997C57"/>
    <w:rsid w:val="009A478C"/>
    <w:rsid w:val="009A5FF5"/>
    <w:rsid w:val="009B1DC3"/>
    <w:rsid w:val="009C5B57"/>
    <w:rsid w:val="009C5CCA"/>
    <w:rsid w:val="009C7F66"/>
    <w:rsid w:val="009D3E03"/>
    <w:rsid w:val="009E5060"/>
    <w:rsid w:val="009E584C"/>
    <w:rsid w:val="009E5D5A"/>
    <w:rsid w:val="009F7A8F"/>
    <w:rsid w:val="00A0532B"/>
    <w:rsid w:val="00A07498"/>
    <w:rsid w:val="00A10FAB"/>
    <w:rsid w:val="00A133A6"/>
    <w:rsid w:val="00A3538F"/>
    <w:rsid w:val="00A37B57"/>
    <w:rsid w:val="00A4266F"/>
    <w:rsid w:val="00A534F5"/>
    <w:rsid w:val="00A535C0"/>
    <w:rsid w:val="00A53823"/>
    <w:rsid w:val="00A564A7"/>
    <w:rsid w:val="00A71DB5"/>
    <w:rsid w:val="00A73CD7"/>
    <w:rsid w:val="00A77C40"/>
    <w:rsid w:val="00A83ED8"/>
    <w:rsid w:val="00A93594"/>
    <w:rsid w:val="00A96BA8"/>
    <w:rsid w:val="00AA38CC"/>
    <w:rsid w:val="00AA4FA7"/>
    <w:rsid w:val="00AB61D0"/>
    <w:rsid w:val="00AD1715"/>
    <w:rsid w:val="00AD28FA"/>
    <w:rsid w:val="00AD4738"/>
    <w:rsid w:val="00AE1BA8"/>
    <w:rsid w:val="00AE509A"/>
    <w:rsid w:val="00AF053A"/>
    <w:rsid w:val="00B02BEC"/>
    <w:rsid w:val="00B12569"/>
    <w:rsid w:val="00B17E20"/>
    <w:rsid w:val="00B23FEC"/>
    <w:rsid w:val="00B270AD"/>
    <w:rsid w:val="00B27D8C"/>
    <w:rsid w:val="00B3689D"/>
    <w:rsid w:val="00B43034"/>
    <w:rsid w:val="00B45C52"/>
    <w:rsid w:val="00B51432"/>
    <w:rsid w:val="00B54538"/>
    <w:rsid w:val="00B55B1A"/>
    <w:rsid w:val="00B56B59"/>
    <w:rsid w:val="00B66B10"/>
    <w:rsid w:val="00B717E1"/>
    <w:rsid w:val="00B73950"/>
    <w:rsid w:val="00B7636F"/>
    <w:rsid w:val="00B85A8D"/>
    <w:rsid w:val="00B8670B"/>
    <w:rsid w:val="00B874BF"/>
    <w:rsid w:val="00BA0D92"/>
    <w:rsid w:val="00BA2C94"/>
    <w:rsid w:val="00BA56B4"/>
    <w:rsid w:val="00BB4851"/>
    <w:rsid w:val="00BB7CC1"/>
    <w:rsid w:val="00BC2AE9"/>
    <w:rsid w:val="00BD0695"/>
    <w:rsid w:val="00BD09F1"/>
    <w:rsid w:val="00BD1A20"/>
    <w:rsid w:val="00BE1655"/>
    <w:rsid w:val="00BE24F0"/>
    <w:rsid w:val="00BE3DF3"/>
    <w:rsid w:val="00C0195B"/>
    <w:rsid w:val="00C01CD0"/>
    <w:rsid w:val="00C03DBB"/>
    <w:rsid w:val="00C05DEB"/>
    <w:rsid w:val="00C06911"/>
    <w:rsid w:val="00C21CB3"/>
    <w:rsid w:val="00C22990"/>
    <w:rsid w:val="00C244E9"/>
    <w:rsid w:val="00C32DD5"/>
    <w:rsid w:val="00C342E0"/>
    <w:rsid w:val="00C36F87"/>
    <w:rsid w:val="00C40E0C"/>
    <w:rsid w:val="00C44696"/>
    <w:rsid w:val="00C56835"/>
    <w:rsid w:val="00C56908"/>
    <w:rsid w:val="00C61BBE"/>
    <w:rsid w:val="00C62334"/>
    <w:rsid w:val="00C631AE"/>
    <w:rsid w:val="00C676A5"/>
    <w:rsid w:val="00C735EE"/>
    <w:rsid w:val="00C7406D"/>
    <w:rsid w:val="00C764FD"/>
    <w:rsid w:val="00C76FC0"/>
    <w:rsid w:val="00C8186B"/>
    <w:rsid w:val="00C82025"/>
    <w:rsid w:val="00C95FB9"/>
    <w:rsid w:val="00C973DB"/>
    <w:rsid w:val="00CA790F"/>
    <w:rsid w:val="00CB5EB8"/>
    <w:rsid w:val="00CC16E7"/>
    <w:rsid w:val="00CC21FE"/>
    <w:rsid w:val="00CD1454"/>
    <w:rsid w:val="00CE321C"/>
    <w:rsid w:val="00CF29F2"/>
    <w:rsid w:val="00CF45B2"/>
    <w:rsid w:val="00D02778"/>
    <w:rsid w:val="00D06267"/>
    <w:rsid w:val="00D108D0"/>
    <w:rsid w:val="00D13412"/>
    <w:rsid w:val="00D13E8D"/>
    <w:rsid w:val="00D16B12"/>
    <w:rsid w:val="00D30457"/>
    <w:rsid w:val="00D334CF"/>
    <w:rsid w:val="00D34EA8"/>
    <w:rsid w:val="00D5502F"/>
    <w:rsid w:val="00D645C6"/>
    <w:rsid w:val="00D65D3B"/>
    <w:rsid w:val="00D72EEA"/>
    <w:rsid w:val="00D74536"/>
    <w:rsid w:val="00D75A33"/>
    <w:rsid w:val="00D761A8"/>
    <w:rsid w:val="00D76307"/>
    <w:rsid w:val="00D8046A"/>
    <w:rsid w:val="00D86BB7"/>
    <w:rsid w:val="00D91A04"/>
    <w:rsid w:val="00D93F73"/>
    <w:rsid w:val="00DA12C2"/>
    <w:rsid w:val="00DA166A"/>
    <w:rsid w:val="00DA5652"/>
    <w:rsid w:val="00DA6885"/>
    <w:rsid w:val="00DA700B"/>
    <w:rsid w:val="00DB08A6"/>
    <w:rsid w:val="00DB2F05"/>
    <w:rsid w:val="00DB5C7B"/>
    <w:rsid w:val="00DC25A9"/>
    <w:rsid w:val="00DD47FD"/>
    <w:rsid w:val="00DD645A"/>
    <w:rsid w:val="00DE1B39"/>
    <w:rsid w:val="00DE6704"/>
    <w:rsid w:val="00DF20F6"/>
    <w:rsid w:val="00DF25DE"/>
    <w:rsid w:val="00DF7EB3"/>
    <w:rsid w:val="00E02310"/>
    <w:rsid w:val="00E0746A"/>
    <w:rsid w:val="00E11F0A"/>
    <w:rsid w:val="00E16B71"/>
    <w:rsid w:val="00E2439A"/>
    <w:rsid w:val="00E25849"/>
    <w:rsid w:val="00E2647F"/>
    <w:rsid w:val="00E3145A"/>
    <w:rsid w:val="00E33CA2"/>
    <w:rsid w:val="00E35C33"/>
    <w:rsid w:val="00E36006"/>
    <w:rsid w:val="00E41051"/>
    <w:rsid w:val="00E53239"/>
    <w:rsid w:val="00E53621"/>
    <w:rsid w:val="00E55129"/>
    <w:rsid w:val="00E57C76"/>
    <w:rsid w:val="00E57FED"/>
    <w:rsid w:val="00E63894"/>
    <w:rsid w:val="00E64AEC"/>
    <w:rsid w:val="00E65F04"/>
    <w:rsid w:val="00E6717B"/>
    <w:rsid w:val="00E67F7F"/>
    <w:rsid w:val="00E707DB"/>
    <w:rsid w:val="00E801B4"/>
    <w:rsid w:val="00E8607B"/>
    <w:rsid w:val="00E91944"/>
    <w:rsid w:val="00E91E16"/>
    <w:rsid w:val="00E92E1B"/>
    <w:rsid w:val="00E945E2"/>
    <w:rsid w:val="00E960E8"/>
    <w:rsid w:val="00E974B0"/>
    <w:rsid w:val="00EA59E1"/>
    <w:rsid w:val="00EB4C6B"/>
    <w:rsid w:val="00EB596F"/>
    <w:rsid w:val="00ED0CB5"/>
    <w:rsid w:val="00ED44BC"/>
    <w:rsid w:val="00EE1D8C"/>
    <w:rsid w:val="00EF50B2"/>
    <w:rsid w:val="00EF7B3F"/>
    <w:rsid w:val="00F00C98"/>
    <w:rsid w:val="00F13F85"/>
    <w:rsid w:val="00F2170D"/>
    <w:rsid w:val="00F21F3D"/>
    <w:rsid w:val="00F2201D"/>
    <w:rsid w:val="00F22A65"/>
    <w:rsid w:val="00F23909"/>
    <w:rsid w:val="00F30FCB"/>
    <w:rsid w:val="00F40E74"/>
    <w:rsid w:val="00F5699B"/>
    <w:rsid w:val="00F56F2D"/>
    <w:rsid w:val="00F6154E"/>
    <w:rsid w:val="00F6371F"/>
    <w:rsid w:val="00F672F2"/>
    <w:rsid w:val="00F67CFA"/>
    <w:rsid w:val="00F703B9"/>
    <w:rsid w:val="00F76EA8"/>
    <w:rsid w:val="00F81072"/>
    <w:rsid w:val="00F90C5F"/>
    <w:rsid w:val="00F91C80"/>
    <w:rsid w:val="00FA0C60"/>
    <w:rsid w:val="00FA2CE6"/>
    <w:rsid w:val="00FB358A"/>
    <w:rsid w:val="00FB6939"/>
    <w:rsid w:val="00FB70C4"/>
    <w:rsid w:val="00FC11B0"/>
    <w:rsid w:val="00FC352A"/>
    <w:rsid w:val="00FE0416"/>
    <w:rsid w:val="00FE0CD4"/>
    <w:rsid w:val="00FE0D83"/>
    <w:rsid w:val="00FF1063"/>
    <w:rsid w:val="00FF70D7"/>
    <w:rsid w:val="02740815"/>
    <w:rsid w:val="02DE3352"/>
    <w:rsid w:val="031421DC"/>
    <w:rsid w:val="034B1829"/>
    <w:rsid w:val="04CD2E69"/>
    <w:rsid w:val="05AD45F6"/>
    <w:rsid w:val="064D08FF"/>
    <w:rsid w:val="07563FF1"/>
    <w:rsid w:val="079444BF"/>
    <w:rsid w:val="088E2AB4"/>
    <w:rsid w:val="091E12D9"/>
    <w:rsid w:val="09F67ED3"/>
    <w:rsid w:val="0B406993"/>
    <w:rsid w:val="0BC62A15"/>
    <w:rsid w:val="0C031DB4"/>
    <w:rsid w:val="0F22659D"/>
    <w:rsid w:val="0F743702"/>
    <w:rsid w:val="10571BBC"/>
    <w:rsid w:val="136C2CC2"/>
    <w:rsid w:val="14B86DC4"/>
    <w:rsid w:val="15F57363"/>
    <w:rsid w:val="169819B4"/>
    <w:rsid w:val="16A86924"/>
    <w:rsid w:val="17FB1BA0"/>
    <w:rsid w:val="18D94D16"/>
    <w:rsid w:val="19304820"/>
    <w:rsid w:val="19790228"/>
    <w:rsid w:val="1A7B267C"/>
    <w:rsid w:val="1C9C59AA"/>
    <w:rsid w:val="1D036DDA"/>
    <w:rsid w:val="206B06C0"/>
    <w:rsid w:val="21B434DF"/>
    <w:rsid w:val="22154E1B"/>
    <w:rsid w:val="2253710E"/>
    <w:rsid w:val="239A6BC4"/>
    <w:rsid w:val="23BF7940"/>
    <w:rsid w:val="25EF7F3F"/>
    <w:rsid w:val="275B2D9A"/>
    <w:rsid w:val="2A09566D"/>
    <w:rsid w:val="2D1F48E1"/>
    <w:rsid w:val="2D9D06E4"/>
    <w:rsid w:val="2EDC4FC4"/>
    <w:rsid w:val="2F12441C"/>
    <w:rsid w:val="30122F6E"/>
    <w:rsid w:val="30507E04"/>
    <w:rsid w:val="3119524D"/>
    <w:rsid w:val="32333292"/>
    <w:rsid w:val="323703B5"/>
    <w:rsid w:val="327D1187"/>
    <w:rsid w:val="34002555"/>
    <w:rsid w:val="34002B1E"/>
    <w:rsid w:val="341076EC"/>
    <w:rsid w:val="34967EA3"/>
    <w:rsid w:val="354E41DB"/>
    <w:rsid w:val="35F20541"/>
    <w:rsid w:val="36892D2E"/>
    <w:rsid w:val="37180145"/>
    <w:rsid w:val="388E5A5F"/>
    <w:rsid w:val="39742B18"/>
    <w:rsid w:val="39E84D6F"/>
    <w:rsid w:val="3A502D2E"/>
    <w:rsid w:val="3A9B533C"/>
    <w:rsid w:val="3AD73FBC"/>
    <w:rsid w:val="3C03033D"/>
    <w:rsid w:val="3C772000"/>
    <w:rsid w:val="3C7C7425"/>
    <w:rsid w:val="3F374B19"/>
    <w:rsid w:val="40903735"/>
    <w:rsid w:val="41EB74F1"/>
    <w:rsid w:val="42070DF0"/>
    <w:rsid w:val="42AC7C32"/>
    <w:rsid w:val="43046F38"/>
    <w:rsid w:val="43995F2A"/>
    <w:rsid w:val="459B211B"/>
    <w:rsid w:val="46E64D11"/>
    <w:rsid w:val="47AF258A"/>
    <w:rsid w:val="4A480F6C"/>
    <w:rsid w:val="4B6A38AC"/>
    <w:rsid w:val="4BC42C29"/>
    <w:rsid w:val="4C710F17"/>
    <w:rsid w:val="4D4964A5"/>
    <w:rsid w:val="4D6A2CF5"/>
    <w:rsid w:val="4EE54797"/>
    <w:rsid w:val="4F035350"/>
    <w:rsid w:val="4FA109E7"/>
    <w:rsid w:val="4FCE73B7"/>
    <w:rsid w:val="50083C27"/>
    <w:rsid w:val="51784515"/>
    <w:rsid w:val="51B113F5"/>
    <w:rsid w:val="522D783F"/>
    <w:rsid w:val="52D55BF7"/>
    <w:rsid w:val="54B31911"/>
    <w:rsid w:val="592025F8"/>
    <w:rsid w:val="59774600"/>
    <w:rsid w:val="59FB3809"/>
    <w:rsid w:val="5B461B6B"/>
    <w:rsid w:val="5C801C72"/>
    <w:rsid w:val="5DD463E7"/>
    <w:rsid w:val="5E6B0686"/>
    <w:rsid w:val="5FD93B1F"/>
    <w:rsid w:val="600E5283"/>
    <w:rsid w:val="601D3857"/>
    <w:rsid w:val="623F4168"/>
    <w:rsid w:val="633B667E"/>
    <w:rsid w:val="64085B12"/>
    <w:rsid w:val="655D305B"/>
    <w:rsid w:val="658D4468"/>
    <w:rsid w:val="6632531A"/>
    <w:rsid w:val="676656CF"/>
    <w:rsid w:val="68666F18"/>
    <w:rsid w:val="69750D65"/>
    <w:rsid w:val="69750F6D"/>
    <w:rsid w:val="6A9B3383"/>
    <w:rsid w:val="6ACE55D2"/>
    <w:rsid w:val="6BE26BFB"/>
    <w:rsid w:val="6C1A2BE6"/>
    <w:rsid w:val="6C4340E9"/>
    <w:rsid w:val="6C9662F1"/>
    <w:rsid w:val="6D2445E4"/>
    <w:rsid w:val="6E3C7818"/>
    <w:rsid w:val="6EDB5DB6"/>
    <w:rsid w:val="719721EE"/>
    <w:rsid w:val="727662DC"/>
    <w:rsid w:val="7380576C"/>
    <w:rsid w:val="74D45750"/>
    <w:rsid w:val="782B397A"/>
    <w:rsid w:val="794C1A58"/>
    <w:rsid w:val="7AF65AA6"/>
    <w:rsid w:val="7B08648E"/>
    <w:rsid w:val="7B764324"/>
    <w:rsid w:val="7CB70E0E"/>
    <w:rsid w:val="7CE24E1F"/>
    <w:rsid w:val="7E9B616C"/>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4">
    <w:name w:val="heading 1"/>
    <w:basedOn w:val="1"/>
    <w:next w:val="1"/>
    <w:link w:val="38"/>
    <w:qFormat/>
    <w:uiPriority w:val="0"/>
    <w:pPr>
      <w:spacing w:line="600" w:lineRule="exact"/>
      <w:ind w:firstLine="200" w:firstLineChars="200"/>
      <w:outlineLvl w:val="0"/>
    </w:pPr>
    <w:rPr>
      <w:rFonts w:ascii="Times New Roman" w:hAnsi="Times New Roman" w:eastAsia="黑体"/>
      <w:bCs/>
      <w:kern w:val="44"/>
      <w:sz w:val="32"/>
      <w:szCs w:val="44"/>
    </w:rPr>
  </w:style>
  <w:style w:type="paragraph" w:styleId="5">
    <w:name w:val="heading 2"/>
    <w:basedOn w:val="1"/>
    <w:next w:val="1"/>
    <w:link w:val="43"/>
    <w:unhideWhenUsed/>
    <w:qFormat/>
    <w:uiPriority w:val="0"/>
    <w:pPr>
      <w:keepNext/>
      <w:keepLines/>
      <w:spacing w:before="260" w:after="260" w:line="413" w:lineRule="auto"/>
      <w:outlineLvl w:val="1"/>
    </w:pPr>
    <w:rPr>
      <w:rFonts w:ascii="Arial" w:hAnsi="Arial" w:eastAsia="黑体"/>
      <w:b/>
      <w:kern w:val="0"/>
      <w:sz w:val="32"/>
      <w:szCs w:val="20"/>
    </w:rPr>
  </w:style>
  <w:style w:type="paragraph" w:styleId="6">
    <w:name w:val="heading 3"/>
    <w:basedOn w:val="1"/>
    <w:next w:val="1"/>
    <w:link w:val="44"/>
    <w:unhideWhenUsed/>
    <w:qFormat/>
    <w:uiPriority w:val="0"/>
    <w:pPr>
      <w:keepNext/>
      <w:keepLines/>
      <w:spacing w:before="20" w:after="20"/>
      <w:outlineLvl w:val="2"/>
    </w:pPr>
    <w:rPr>
      <w:rFonts w:ascii="Calibri" w:hAnsi="Calibri" w:eastAsia="宋体" w:cs="Times New Roman"/>
      <w:b/>
      <w:kern w:val="0"/>
      <w:sz w:val="32"/>
      <w:szCs w:val="20"/>
    </w:rPr>
  </w:style>
  <w:style w:type="paragraph" w:styleId="7">
    <w:name w:val="heading 4"/>
    <w:basedOn w:val="1"/>
    <w:next w:val="1"/>
    <w:link w:val="45"/>
    <w:unhideWhenUsed/>
    <w:qFormat/>
    <w:uiPriority w:val="0"/>
    <w:pPr>
      <w:keepNext/>
      <w:keepLines/>
      <w:spacing w:before="280" w:after="290" w:line="372" w:lineRule="auto"/>
      <w:outlineLvl w:val="3"/>
    </w:pPr>
    <w:rPr>
      <w:rFonts w:ascii="Arial" w:hAnsi="Arial" w:eastAsia="黑体"/>
      <w:b/>
      <w:kern w:val="0"/>
      <w:szCs w:val="20"/>
    </w:rPr>
  </w:style>
  <w:style w:type="paragraph" w:styleId="8">
    <w:name w:val="heading 5"/>
    <w:basedOn w:val="1"/>
    <w:next w:val="1"/>
    <w:link w:val="46"/>
    <w:unhideWhenUsed/>
    <w:qFormat/>
    <w:uiPriority w:val="0"/>
    <w:pPr>
      <w:keepNext/>
      <w:keepLines/>
      <w:outlineLvl w:val="4"/>
    </w:pPr>
    <w:rPr>
      <w:rFonts w:ascii="Times New Roman" w:hAnsi="Times New Roman" w:eastAsia="宋体" w:cs="Times New Roman"/>
      <w:b/>
      <w:kern w:val="0"/>
      <w:sz w:val="24"/>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7"/>
    <w:qFormat/>
    <w:uiPriority w:val="0"/>
    <w:pPr>
      <w:spacing w:after="0" w:line="600" w:lineRule="exact"/>
      <w:ind w:left="0" w:leftChars="0" w:firstLine="200" w:firstLineChars="200"/>
    </w:pPr>
    <w:rPr>
      <w:rFonts w:ascii="Times New Roman" w:hAnsi="Times New Roman" w:eastAsia="仿宋_GB2312" w:cs="Times New Roman"/>
      <w:sz w:val="32"/>
    </w:rPr>
  </w:style>
  <w:style w:type="paragraph" w:styleId="3">
    <w:name w:val="Body Text Indent"/>
    <w:basedOn w:val="1"/>
    <w:unhideWhenUsed/>
    <w:qFormat/>
    <w:uiPriority w:val="99"/>
    <w:pPr>
      <w:spacing w:after="120"/>
      <w:ind w:left="420" w:leftChars="200"/>
    </w:pPr>
  </w:style>
  <w:style w:type="paragraph" w:styleId="9">
    <w:name w:val="Normal Indent"/>
    <w:basedOn w:val="1"/>
    <w:qFormat/>
    <w:uiPriority w:val="0"/>
    <w:pPr>
      <w:topLinePunct/>
      <w:adjustRightInd w:val="0"/>
      <w:snapToGrid w:val="0"/>
      <w:jc w:val="center"/>
    </w:pPr>
    <w:rPr>
      <w:rFonts w:ascii="宋体" w:hAnsi="宋体" w:eastAsia="宋体"/>
      <w:snapToGrid w:val="0"/>
      <w:kern w:val="0"/>
      <w:sz w:val="21"/>
      <w:szCs w:val="21"/>
    </w:rPr>
  </w:style>
  <w:style w:type="paragraph" w:styleId="10">
    <w:name w:val="Document Map"/>
    <w:basedOn w:val="1"/>
    <w:link w:val="49"/>
    <w:qFormat/>
    <w:uiPriority w:val="0"/>
    <w:pPr>
      <w:pBdr>
        <w:top w:val="none" w:color="auto" w:sz="0" w:space="1"/>
        <w:left w:val="none" w:color="auto" w:sz="0" w:space="4"/>
        <w:bottom w:val="none" w:color="auto" w:sz="0" w:space="1"/>
        <w:right w:val="none" w:color="auto" w:sz="0" w:space="4"/>
      </w:pBdr>
      <w:jc w:val="center"/>
    </w:pPr>
    <w:rPr>
      <w:rFonts w:ascii="Times New Roman" w:hAnsi="Times New Roman" w:eastAsia="宋体" w:cs="Times New Roman"/>
      <w:b/>
      <w:bCs/>
      <w:sz w:val="21"/>
      <w:szCs w:val="21"/>
    </w:rPr>
  </w:style>
  <w:style w:type="paragraph" w:styleId="11">
    <w:name w:val="annotation text"/>
    <w:basedOn w:val="1"/>
    <w:link w:val="39"/>
    <w:unhideWhenUsed/>
    <w:qFormat/>
    <w:uiPriority w:val="0"/>
    <w:pPr>
      <w:jc w:val="left"/>
    </w:pPr>
  </w:style>
  <w:style w:type="paragraph" w:styleId="12">
    <w:name w:val="Body Text"/>
    <w:basedOn w:val="1"/>
    <w:next w:val="13"/>
    <w:link w:val="50"/>
    <w:qFormat/>
    <w:uiPriority w:val="0"/>
    <w:pPr>
      <w:spacing w:after="120"/>
    </w:pPr>
    <w:rPr>
      <w:rFonts w:ascii="Times New Roman" w:hAnsi="Times New Roman" w:eastAsia="宋体" w:cs="Times New Roman"/>
      <w:kern w:val="0"/>
      <w:sz w:val="24"/>
    </w:rPr>
  </w:style>
  <w:style w:type="paragraph" w:customStyle="1" w:styleId="13">
    <w:name w:val="Date1"/>
    <w:basedOn w:val="1"/>
    <w:next w:val="1"/>
    <w:qFormat/>
    <w:uiPriority w:val="0"/>
    <w:pPr>
      <w:adjustRightInd w:val="0"/>
      <w:textAlignment w:val="baseline"/>
    </w:pPr>
    <w:rPr>
      <w:rFonts w:ascii="Times New Roman" w:hAnsi="Times New Roman" w:eastAsia="宋体"/>
      <w:kern w:val="0"/>
      <w:sz w:val="24"/>
      <w:szCs w:val="20"/>
    </w:rPr>
  </w:style>
  <w:style w:type="paragraph" w:styleId="14">
    <w:name w:val="Balloon Text"/>
    <w:basedOn w:val="1"/>
    <w:link w:val="35"/>
    <w:semiHidden/>
    <w:unhideWhenUsed/>
    <w:qFormat/>
    <w:uiPriority w:val="99"/>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autoRedefine/>
    <w:qFormat/>
    <w:uiPriority w:val="39"/>
    <w:pPr>
      <w:ind w:left="420" w:leftChars="200"/>
    </w:pPr>
    <w:rPr>
      <w:rFonts w:ascii="Times New Roman" w:hAnsi="Times New Roman" w:eastAsia="宋体"/>
      <w:kern w:val="0"/>
      <w:sz w:val="24"/>
      <w:szCs w:val="20"/>
    </w:rPr>
  </w:style>
  <w:style w:type="paragraph" w:styleId="19">
    <w:name w:val="Normal (Web)"/>
    <w:basedOn w:val="1"/>
    <w:qFormat/>
    <w:uiPriority w:val="0"/>
    <w:pPr>
      <w:jc w:val="left"/>
    </w:pPr>
    <w:rPr>
      <w:rFonts w:ascii="Times New Roman" w:hAnsi="Times New Roman" w:eastAsia="宋体" w:cs="Times New Roman"/>
      <w:kern w:val="0"/>
      <w:sz w:val="24"/>
      <w:szCs w:val="20"/>
    </w:rPr>
  </w:style>
  <w:style w:type="paragraph" w:styleId="20">
    <w:name w:val="annotation subject"/>
    <w:basedOn w:val="11"/>
    <w:next w:val="11"/>
    <w:link w:val="40"/>
    <w:semiHidden/>
    <w:unhideWhenUsed/>
    <w:qFormat/>
    <w:uiPriority w:val="99"/>
    <w:rPr>
      <w:b/>
      <w:bCs/>
    </w:rPr>
  </w:style>
  <w:style w:type="paragraph" w:styleId="21">
    <w:name w:val="Body Text First Indent"/>
    <w:basedOn w:val="12"/>
    <w:next w:val="1"/>
    <w:link w:val="51"/>
    <w:unhideWhenUsed/>
    <w:qFormat/>
    <w:uiPriority w:val="99"/>
    <w:pPr>
      <w:spacing w:after="0" w:line="360" w:lineRule="auto"/>
      <w:ind w:firstLine="200" w:firstLineChars="200"/>
    </w:pPr>
    <w:rPr>
      <w:rFonts w:ascii="仿宋" w:hAnsi="仿宋" w:eastAsia="仿宋"/>
      <w:sz w:val="28"/>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FollowedHyperlink"/>
    <w:basedOn w:val="24"/>
    <w:semiHidden/>
    <w:unhideWhenUsed/>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页脚 字符"/>
    <w:basedOn w:val="24"/>
    <w:qFormat/>
    <w:uiPriority w:val="99"/>
    <w:rPr>
      <w:sz w:val="18"/>
      <w:szCs w:val="18"/>
    </w:rPr>
  </w:style>
  <w:style w:type="character" w:customStyle="1" w:styleId="29">
    <w:name w:val="页脚 字符1"/>
    <w:basedOn w:val="24"/>
    <w:link w:val="15"/>
    <w:qFormat/>
    <w:uiPriority w:val="0"/>
    <w:rPr>
      <w:sz w:val="18"/>
      <w:szCs w:val="18"/>
    </w:rPr>
  </w:style>
  <w:style w:type="paragraph" w:customStyle="1" w:styleId="30">
    <w:name w:val="标准文字"/>
    <w:basedOn w:val="1"/>
    <w:link w:val="31"/>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31">
    <w:name w:val="标准文字 Char"/>
    <w:link w:val="30"/>
    <w:qFormat/>
    <w:locked/>
    <w:uiPriority w:val="0"/>
    <w:rPr>
      <w:rFonts w:ascii="Times New Roman" w:hAnsi="Times New Roman" w:eastAsia="仿宋_GB2312" w:cs="Times New Roman"/>
      <w:sz w:val="30"/>
      <w:szCs w:val="30"/>
    </w:rPr>
  </w:style>
  <w:style w:type="character" w:customStyle="1" w:styleId="32">
    <w:name w:val="NormalCharacter"/>
    <w:qFormat/>
    <w:uiPriority w:val="0"/>
  </w:style>
  <w:style w:type="table" w:customStyle="1" w:styleId="33">
    <w:name w:val="TableGrid"/>
    <w:qFormat/>
    <w:uiPriority w:val="0"/>
    <w:tblPr>
      <w:tblCellMar>
        <w:top w:w="0" w:type="dxa"/>
        <w:left w:w="0" w:type="dxa"/>
        <w:bottom w:w="0" w:type="dxa"/>
        <w:right w:w="0" w:type="dxa"/>
      </w:tblCellMar>
    </w:tblPr>
  </w:style>
  <w:style w:type="character" w:customStyle="1" w:styleId="34">
    <w:name w:val="页眉 字符"/>
    <w:basedOn w:val="24"/>
    <w:link w:val="16"/>
    <w:qFormat/>
    <w:uiPriority w:val="99"/>
    <w:rPr>
      <w:sz w:val="18"/>
      <w:szCs w:val="18"/>
    </w:rPr>
  </w:style>
  <w:style w:type="character" w:customStyle="1" w:styleId="35">
    <w:name w:val="批注框文本 字符"/>
    <w:basedOn w:val="24"/>
    <w:link w:val="14"/>
    <w:semiHidden/>
    <w:qFormat/>
    <w:uiPriority w:val="99"/>
    <w:rPr>
      <w:sz w:val="18"/>
      <w:szCs w:val="18"/>
    </w:rPr>
  </w:style>
  <w:style w:type="paragraph" w:customStyle="1" w:styleId="3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7">
    <w:name w:val="正文文本首行缩进 2 字符"/>
    <w:basedOn w:val="24"/>
    <w:link w:val="2"/>
    <w:qFormat/>
    <w:uiPriority w:val="0"/>
    <w:rPr>
      <w:rFonts w:eastAsia="仿宋_GB2312"/>
      <w:kern w:val="2"/>
      <w:sz w:val="32"/>
      <w:szCs w:val="22"/>
    </w:rPr>
  </w:style>
  <w:style w:type="character" w:customStyle="1" w:styleId="38">
    <w:name w:val="标题 1 字符"/>
    <w:basedOn w:val="24"/>
    <w:link w:val="4"/>
    <w:qFormat/>
    <w:uiPriority w:val="9"/>
    <w:rPr>
      <w:rFonts w:eastAsia="黑体" w:cstheme="minorBidi"/>
      <w:bCs/>
      <w:kern w:val="44"/>
      <w:sz w:val="32"/>
      <w:szCs w:val="44"/>
    </w:rPr>
  </w:style>
  <w:style w:type="character" w:customStyle="1" w:styleId="39">
    <w:name w:val="批注文字 字符"/>
    <w:basedOn w:val="24"/>
    <w:link w:val="11"/>
    <w:semiHidden/>
    <w:qFormat/>
    <w:uiPriority w:val="99"/>
    <w:rPr>
      <w:rFonts w:asciiTheme="minorHAnsi" w:hAnsiTheme="minorHAnsi" w:eastAsiaTheme="minorEastAsia" w:cstheme="minorBidi"/>
      <w:kern w:val="2"/>
      <w:sz w:val="28"/>
      <w:szCs w:val="22"/>
    </w:rPr>
  </w:style>
  <w:style w:type="character" w:customStyle="1" w:styleId="40">
    <w:name w:val="批注主题 字符"/>
    <w:basedOn w:val="39"/>
    <w:link w:val="20"/>
    <w:semiHidden/>
    <w:qFormat/>
    <w:uiPriority w:val="99"/>
    <w:rPr>
      <w:rFonts w:asciiTheme="minorHAnsi" w:hAnsiTheme="minorHAnsi" w:eastAsiaTheme="minorEastAsia" w:cstheme="minorBidi"/>
      <w:b/>
      <w:bCs/>
      <w:kern w:val="2"/>
      <w:sz w:val="28"/>
      <w:szCs w:val="22"/>
    </w:rPr>
  </w:style>
  <w:style w:type="table" w:customStyle="1" w:styleId="41">
    <w:name w:val="网格型1"/>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2 字符"/>
    <w:basedOn w:val="24"/>
    <w:link w:val="5"/>
    <w:qFormat/>
    <w:uiPriority w:val="0"/>
    <w:rPr>
      <w:rFonts w:ascii="Arial" w:hAnsi="Arial" w:eastAsia="黑体" w:cstheme="minorBidi"/>
      <w:b/>
      <w:sz w:val="32"/>
    </w:rPr>
  </w:style>
  <w:style w:type="character" w:customStyle="1" w:styleId="44">
    <w:name w:val="标题 3 字符"/>
    <w:basedOn w:val="24"/>
    <w:link w:val="6"/>
    <w:qFormat/>
    <w:uiPriority w:val="0"/>
    <w:rPr>
      <w:rFonts w:ascii="Calibri" w:hAnsi="Calibri"/>
      <w:b/>
      <w:sz w:val="32"/>
    </w:rPr>
  </w:style>
  <w:style w:type="character" w:customStyle="1" w:styleId="45">
    <w:name w:val="标题 4 字符"/>
    <w:basedOn w:val="24"/>
    <w:link w:val="7"/>
    <w:qFormat/>
    <w:uiPriority w:val="0"/>
    <w:rPr>
      <w:rFonts w:ascii="Arial" w:hAnsi="Arial" w:eastAsia="黑体" w:cstheme="minorBidi"/>
      <w:b/>
      <w:sz w:val="28"/>
    </w:rPr>
  </w:style>
  <w:style w:type="character" w:customStyle="1" w:styleId="46">
    <w:name w:val="标题 5 字符"/>
    <w:basedOn w:val="24"/>
    <w:link w:val="8"/>
    <w:qFormat/>
    <w:uiPriority w:val="0"/>
    <w:rPr>
      <w:b/>
      <w:sz w:val="24"/>
    </w:rPr>
  </w:style>
  <w:style w:type="paragraph" w:customStyle="1" w:styleId="47">
    <w:name w:val="样式2"/>
    <w:basedOn w:val="5"/>
    <w:next w:val="1"/>
    <w:qFormat/>
    <w:uiPriority w:val="0"/>
    <w:pPr>
      <w:spacing w:line="240" w:lineRule="auto"/>
    </w:pPr>
    <w:rPr>
      <w:rFonts w:hint="eastAsia" w:eastAsia="宋体" w:cs="Times New Roman"/>
      <w:sz w:val="28"/>
      <w:szCs w:val="22"/>
    </w:rPr>
  </w:style>
  <w:style w:type="paragraph" w:customStyle="1" w:styleId="48">
    <w:name w:val="题注1"/>
    <w:basedOn w:val="1"/>
    <w:next w:val="1"/>
    <w:unhideWhenUsed/>
    <w:qFormat/>
    <w:uiPriority w:val="0"/>
    <w:rPr>
      <w:rFonts w:ascii="Calibri Light" w:hAnsi="Calibri Light" w:eastAsia="黑体" w:cs="Times New Roman"/>
      <w:kern w:val="0"/>
      <w:sz w:val="20"/>
      <w:szCs w:val="20"/>
    </w:rPr>
  </w:style>
  <w:style w:type="character" w:customStyle="1" w:styleId="49">
    <w:name w:val="文档结构图 字符"/>
    <w:basedOn w:val="24"/>
    <w:link w:val="10"/>
    <w:qFormat/>
    <w:uiPriority w:val="0"/>
    <w:rPr>
      <w:b/>
      <w:bCs/>
      <w:kern w:val="2"/>
      <w:sz w:val="21"/>
      <w:szCs w:val="21"/>
    </w:rPr>
  </w:style>
  <w:style w:type="character" w:customStyle="1" w:styleId="50">
    <w:name w:val="正文文本 字符"/>
    <w:basedOn w:val="24"/>
    <w:link w:val="12"/>
    <w:qFormat/>
    <w:uiPriority w:val="0"/>
    <w:rPr>
      <w:sz w:val="24"/>
      <w:szCs w:val="22"/>
    </w:rPr>
  </w:style>
  <w:style w:type="character" w:customStyle="1" w:styleId="51">
    <w:name w:val="正文文本首行缩进 字符"/>
    <w:basedOn w:val="50"/>
    <w:link w:val="21"/>
    <w:qFormat/>
    <w:uiPriority w:val="99"/>
    <w:rPr>
      <w:rFonts w:ascii="仿宋" w:hAnsi="仿宋" w:eastAsia="仿宋"/>
      <w:sz w:val="28"/>
      <w:szCs w:val="22"/>
    </w:rPr>
  </w:style>
  <w:style w:type="table" w:customStyle="1" w:styleId="52">
    <w:name w:val="网格型3"/>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访问过的超链接1"/>
    <w:basedOn w:val="24"/>
    <w:qFormat/>
    <w:uiPriority w:val="0"/>
    <w:rPr>
      <w:color w:val="954F72"/>
      <w:u w:val="single"/>
    </w:rPr>
  </w:style>
  <w:style w:type="paragraph" w:customStyle="1" w:styleId="54">
    <w:name w:val="样式1"/>
    <w:basedOn w:val="4"/>
    <w:qFormat/>
    <w:uiPriority w:val="0"/>
    <w:pPr>
      <w:keepNext/>
      <w:keepLines/>
      <w:spacing w:before="60" w:after="60" w:line="360" w:lineRule="auto"/>
      <w:ind w:firstLine="0" w:firstLineChars="0"/>
    </w:pPr>
    <w:rPr>
      <w:rFonts w:hint="eastAsia" w:eastAsia="宋体"/>
      <w:b/>
      <w:bCs w:val="0"/>
      <w:sz w:val="28"/>
      <w:szCs w:val="20"/>
    </w:rPr>
  </w:style>
  <w:style w:type="paragraph" w:customStyle="1" w:styleId="55">
    <w:name w:val="操作规程-正文"/>
    <w:basedOn w:val="1"/>
    <w:qFormat/>
    <w:uiPriority w:val="0"/>
    <w:pPr>
      <w:spacing w:line="360" w:lineRule="auto"/>
      <w:ind w:firstLine="640" w:firstLineChars="200"/>
    </w:pPr>
    <w:rPr>
      <w:rFonts w:ascii="仿宋" w:hAnsi="仿宋" w:eastAsia="仿宋" w:cs="仿宋"/>
      <w:szCs w:val="32"/>
    </w:rPr>
  </w:style>
  <w:style w:type="character" w:customStyle="1" w:styleId="56">
    <w:name w:val="font81"/>
    <w:basedOn w:val="24"/>
    <w:qFormat/>
    <w:uiPriority w:val="0"/>
    <w:rPr>
      <w:rFonts w:hint="default" w:ascii="Times New Roman" w:hAnsi="Times New Roman" w:cs="Times New Roman"/>
      <w:b/>
      <w:bCs/>
      <w:color w:val="000000"/>
      <w:sz w:val="32"/>
      <w:szCs w:val="32"/>
      <w:u w:val="single"/>
    </w:rPr>
  </w:style>
  <w:style w:type="character" w:customStyle="1" w:styleId="57">
    <w:name w:val="font41"/>
    <w:basedOn w:val="24"/>
    <w:qFormat/>
    <w:uiPriority w:val="0"/>
    <w:rPr>
      <w:rFonts w:hint="default" w:ascii="Times New Roman" w:hAnsi="Times New Roman" w:cs="Times New Roman"/>
      <w:b/>
      <w:bCs/>
      <w:color w:val="000000"/>
      <w:sz w:val="32"/>
      <w:szCs w:val="32"/>
      <w:u w:val="none"/>
    </w:rPr>
  </w:style>
  <w:style w:type="character" w:customStyle="1" w:styleId="58">
    <w:name w:val="font101"/>
    <w:basedOn w:val="24"/>
    <w:qFormat/>
    <w:uiPriority w:val="0"/>
    <w:rPr>
      <w:rFonts w:hint="eastAsia" w:ascii="宋体" w:hAnsi="宋体" w:eastAsia="宋体" w:cs="宋体"/>
      <w:b/>
      <w:bCs/>
      <w:color w:val="000000"/>
      <w:sz w:val="28"/>
      <w:szCs w:val="28"/>
      <w:u w:val="none"/>
    </w:rPr>
  </w:style>
  <w:style w:type="character" w:customStyle="1" w:styleId="59">
    <w:name w:val="font21"/>
    <w:basedOn w:val="24"/>
    <w:qFormat/>
    <w:uiPriority w:val="0"/>
    <w:rPr>
      <w:rFonts w:hint="eastAsia" w:ascii="黑体" w:hAnsi="宋体" w:eastAsia="黑体" w:cs="黑体"/>
      <w:color w:val="000000"/>
      <w:sz w:val="24"/>
      <w:szCs w:val="24"/>
      <w:u w:val="none"/>
    </w:rPr>
  </w:style>
  <w:style w:type="paragraph" w:customStyle="1" w:styleId="60">
    <w:name w:val="1表头"/>
    <w:basedOn w:val="1"/>
    <w:qFormat/>
    <w:uiPriority w:val="0"/>
    <w:pPr>
      <w:snapToGrid w:val="0"/>
      <w:spacing w:line="480" w:lineRule="exact"/>
      <w:jc w:val="center"/>
    </w:pPr>
    <w:rPr>
      <w:rFonts w:ascii="Times New Roman" w:hAnsi="Times New Roman" w:eastAsia="宋体"/>
      <w:b/>
      <w:kern w:val="0"/>
      <w:sz w:val="24"/>
      <w:szCs w:val="21"/>
    </w:rPr>
  </w:style>
  <w:style w:type="paragraph" w:customStyle="1" w:styleId="61">
    <w:name w:val="p0"/>
    <w:basedOn w:val="1"/>
    <w:qFormat/>
    <w:uiPriority w:val="0"/>
    <w:pPr>
      <w:widowControl/>
    </w:pPr>
    <w:rPr>
      <w:rFonts w:ascii="Times New Roman" w:hAnsi="Times New Roman" w:eastAsia="宋体"/>
      <w:kern w:val="0"/>
      <w:sz w:val="24"/>
      <w:szCs w:val="21"/>
    </w:rPr>
  </w:style>
  <w:style w:type="paragraph" w:customStyle="1" w:styleId="62">
    <w:name w:val="Default"/>
    <w:basedOn w:val="1"/>
    <w:qFormat/>
    <w:uiPriority w:val="0"/>
    <w:pPr>
      <w:autoSpaceDE w:val="0"/>
      <w:autoSpaceDN w:val="0"/>
      <w:adjustRightInd w:val="0"/>
    </w:pPr>
    <w:rPr>
      <w:rFonts w:ascii="Times New Roman" w:hAnsi="Times New Roman" w:eastAsia="宋体" w:cs="Times New Roman"/>
      <w:color w:val="000000"/>
      <w:kern w:val="0"/>
      <w:sz w:val="24"/>
      <w:szCs w:val="24"/>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5">
    <w:name w:val="未处理的提及1"/>
    <w:basedOn w:val="24"/>
    <w:semiHidden/>
    <w:unhideWhenUsed/>
    <w:qFormat/>
    <w:uiPriority w:val="99"/>
    <w:rPr>
      <w:color w:val="605E5C"/>
      <w:shd w:val="clear" w:color="auto" w:fill="E1DFDD"/>
    </w:rPr>
  </w:style>
  <w:style w:type="paragraph" w:styleId="66">
    <w:name w:val="List Paragraph"/>
    <w:basedOn w:val="1"/>
    <w:qFormat/>
    <w:uiPriority w:val="99"/>
    <w:pPr>
      <w:ind w:firstLine="420" w:firstLineChars="200"/>
    </w:pPr>
    <w:rPr>
      <w:rFonts w:ascii="Times New Roman" w:hAnsi="Times New Roman" w:eastAsia="宋体"/>
      <w:kern w:val="0"/>
      <w:sz w:val="24"/>
      <w:szCs w:val="20"/>
    </w:rPr>
  </w:style>
  <w:style w:type="paragraph" w:customStyle="1" w:styleId="67">
    <w:name w:val="操作-表文"/>
    <w:basedOn w:val="55"/>
    <w:qFormat/>
    <w:uiPriority w:val="0"/>
    <w:pPr>
      <w:spacing w:line="240" w:lineRule="auto"/>
      <w:ind w:firstLine="0" w:firstLineChars="0"/>
      <w:jc w:val="center"/>
    </w:pPr>
    <w:rPr>
      <w:rFonts w:eastAsia="黑体"/>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7A086-F36D-4B5A-BF99-B2CBEFB2A5A3}">
  <ds:schemaRefs/>
</ds:datastoreItem>
</file>

<file path=docProps/app.xml><?xml version="1.0" encoding="utf-8"?>
<Properties xmlns="http://schemas.openxmlformats.org/officeDocument/2006/extended-properties" xmlns:vt="http://schemas.openxmlformats.org/officeDocument/2006/docPropsVTypes">
  <Template>Normal</Template>
  <Pages>31</Pages>
  <Words>108</Words>
  <Characters>117</Characters>
  <Lines>158</Lines>
  <Paragraphs>44</Paragraphs>
  <TotalTime>10</TotalTime>
  <ScaleCrop>false</ScaleCrop>
  <LinksUpToDate>false</LinksUpToDate>
  <CharactersWithSpaces>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2021-04-14T01:46:00Z</dcterms:created>
  <dc:creator>傲德姆</dc:creator>
  <cp:lastModifiedBy>WPS_1667367446</cp:lastModifiedBy>
  <cp:lastPrinted>2026-01-14T02:43:00Z</cp:lastPrinted>
  <dcterms:modified xsi:type="dcterms:W3CDTF">2026-02-28T02:42:10Z</dcterms:modified>
  <dc:title>x x 省x x市城市黑臭水体</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18754A69986C4A219AA0CFE2E1A30DA8_13</vt:lpwstr>
  </property>
  <property fmtid="{D5CDD505-2E9C-101B-9397-08002B2CF9AE}" pid="4" name="KSOTemplateDocerSaveRecord">
    <vt:lpwstr>eyJoZGlkIjoiMmM3ZjU4MjYxMzVmZTAzZDM1ZGRkODRiNTYxMTk4ZGMiLCJ1c2VySWQiOiIxNDM3NTE5MzQwIn0=</vt:lpwstr>
  </property>
</Properties>
</file>