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24"/>
          <w:szCs w:val="24"/>
        </w:rPr>
      </w:pPr>
      <w:r>
        <w:rPr>
          <w:rFonts w:hint="eastAsia" w:ascii="宋体"/>
          <w:b/>
          <w:bCs/>
          <w:sz w:val="72"/>
          <w:szCs w:val="72"/>
          <w:lang w:eastAsia="zh-CN"/>
        </w:rPr>
        <w:t>双牌县双红线服务区改造装修工程</w:t>
      </w:r>
    </w:p>
    <w:p>
      <w:pPr>
        <w:spacing w:line="400" w:lineRule="atLeast"/>
        <w:jc w:val="center"/>
        <w:rPr>
          <w:rFonts w:ascii="宋体"/>
          <w:b/>
          <w:sz w:val="24"/>
          <w:szCs w:val="24"/>
        </w:rPr>
      </w:pPr>
    </w:p>
    <w:p>
      <w:pPr>
        <w:spacing w:line="400" w:lineRule="atLeast"/>
        <w:jc w:val="center"/>
        <w:rPr>
          <w:rFonts w:ascii="宋体"/>
          <w:b/>
          <w:sz w:val="24"/>
          <w:szCs w:val="24"/>
        </w:rPr>
      </w:pPr>
    </w:p>
    <w:p>
      <w:pPr>
        <w:spacing w:line="400" w:lineRule="atLeast"/>
        <w:jc w:val="center"/>
        <w:rPr>
          <w:rFonts w:ascii="宋体"/>
          <w:b/>
          <w:sz w:val="24"/>
          <w:szCs w:val="24"/>
        </w:rPr>
      </w:pPr>
    </w:p>
    <w:p>
      <w:pPr>
        <w:spacing w:line="400" w:lineRule="atLeast"/>
        <w:jc w:val="center"/>
        <w:rPr>
          <w:rFonts w:ascii="宋体"/>
          <w:b/>
          <w:sz w:val="24"/>
          <w:szCs w:val="24"/>
        </w:rPr>
      </w:pPr>
    </w:p>
    <w:p>
      <w:pPr>
        <w:spacing w:line="400" w:lineRule="atLeast"/>
        <w:jc w:val="center"/>
        <w:rPr>
          <w:rFonts w:ascii="宋体"/>
          <w:b/>
          <w:sz w:val="24"/>
          <w:szCs w:val="24"/>
        </w:rPr>
      </w:pPr>
    </w:p>
    <w:p>
      <w:pPr>
        <w:spacing w:line="400" w:lineRule="atLeast"/>
        <w:jc w:val="center"/>
        <w:rPr>
          <w:rFonts w:ascii="宋体"/>
          <w:b/>
          <w:sz w:val="24"/>
          <w:szCs w:val="24"/>
        </w:rPr>
      </w:pPr>
    </w:p>
    <w:p>
      <w:pPr>
        <w:jc w:val="center"/>
        <w:rPr>
          <w:rFonts w:ascii="宋体"/>
          <w:b/>
          <w:bCs/>
          <w:kern w:val="16"/>
          <w:sz w:val="110"/>
          <w:szCs w:val="110"/>
        </w:rPr>
      </w:pPr>
      <w:r>
        <w:rPr>
          <w:rFonts w:hint="eastAsia" w:ascii="宋体"/>
          <w:b/>
          <w:bCs/>
          <w:kern w:val="16"/>
          <w:sz w:val="110"/>
          <w:szCs w:val="110"/>
          <w:lang w:eastAsia="zh-CN"/>
        </w:rPr>
        <w:t>交</w:t>
      </w:r>
      <w:r>
        <w:rPr>
          <w:rFonts w:hint="eastAsia" w:ascii="宋体"/>
          <w:b/>
          <w:bCs/>
          <w:kern w:val="16"/>
          <w:sz w:val="110"/>
          <w:szCs w:val="110"/>
          <w:lang w:val="en-US" w:eastAsia="zh-CN"/>
        </w:rPr>
        <w:t xml:space="preserve"> </w:t>
      </w:r>
      <w:r>
        <w:rPr>
          <w:rFonts w:hint="eastAsia" w:ascii="宋体"/>
          <w:b/>
          <w:bCs/>
          <w:kern w:val="16"/>
          <w:sz w:val="110"/>
          <w:szCs w:val="110"/>
          <w:lang w:eastAsia="zh-CN"/>
        </w:rPr>
        <w:t>易</w:t>
      </w:r>
      <w:r>
        <w:rPr>
          <w:rFonts w:hint="eastAsia" w:ascii="宋体"/>
          <w:b/>
          <w:bCs/>
          <w:kern w:val="16"/>
          <w:sz w:val="110"/>
          <w:szCs w:val="110"/>
        </w:rPr>
        <w:t xml:space="preserve">  文 件</w:t>
      </w:r>
    </w:p>
    <w:p>
      <w:pPr>
        <w:rPr>
          <w:rFonts w:ascii="宋体"/>
          <w:sz w:val="24"/>
          <w:szCs w:val="24"/>
        </w:rPr>
      </w:pPr>
      <w:r>
        <w:rPr>
          <w:rFonts w:hint="eastAsia" w:ascii="宋体"/>
          <w:sz w:val="24"/>
          <w:szCs w:val="24"/>
        </w:rPr>
        <w:t xml:space="preserve">                  </w:t>
      </w:r>
    </w:p>
    <w:p>
      <w:pPr>
        <w:rPr>
          <w:rFonts w:ascii="宋体"/>
          <w:sz w:val="24"/>
          <w:szCs w:val="24"/>
        </w:rPr>
      </w:pPr>
    </w:p>
    <w:p>
      <w:pPr>
        <w:rPr>
          <w:rFonts w:ascii="宋体"/>
          <w:sz w:val="24"/>
          <w:szCs w:val="24"/>
        </w:rPr>
      </w:pPr>
    </w:p>
    <w:p>
      <w:pPr>
        <w:rPr>
          <w:rFonts w:ascii="宋体"/>
          <w:sz w:val="24"/>
          <w:szCs w:val="24"/>
        </w:rPr>
      </w:pPr>
      <w:r>
        <w:rPr>
          <w:rFonts w:hint="eastAsia" w:ascii="宋体"/>
          <w:sz w:val="24"/>
          <w:szCs w:val="24"/>
        </w:rPr>
        <w:t xml:space="preserve">                </w:t>
      </w:r>
    </w:p>
    <w:p>
      <w:pPr>
        <w:ind w:firstLine="1958" w:firstLineChars="650"/>
        <w:rPr>
          <w:rFonts w:ascii="宋体"/>
          <w:sz w:val="30"/>
          <w:szCs w:val="30"/>
        </w:rPr>
      </w:pPr>
      <w:r>
        <w:rPr>
          <w:rFonts w:hint="eastAsia" w:ascii="宋体"/>
          <w:b/>
          <w:bCs/>
          <w:sz w:val="30"/>
          <w:szCs w:val="30"/>
        </w:rPr>
        <w:t>招标编号：</w:t>
      </w:r>
      <w:r>
        <w:rPr>
          <w:rFonts w:hint="eastAsia" w:ascii="宋体"/>
          <w:b/>
          <w:bCs/>
          <w:sz w:val="30"/>
          <w:szCs w:val="30"/>
          <w:lang w:eastAsia="zh-CN"/>
        </w:rPr>
        <w:t>ZDYR-YZ-19064</w:t>
      </w:r>
      <w:r>
        <w:rPr>
          <w:rFonts w:hint="eastAsia" w:ascii="宋体"/>
          <w:b/>
          <w:bCs/>
          <w:sz w:val="30"/>
          <w:szCs w:val="30"/>
        </w:rPr>
        <w:t xml:space="preserve"> </w:t>
      </w: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ind w:right="-2"/>
        <w:rPr>
          <w:rFonts w:ascii="宋体"/>
          <w:b/>
          <w:sz w:val="24"/>
          <w:szCs w:val="24"/>
        </w:rPr>
      </w:pPr>
    </w:p>
    <w:p>
      <w:pPr>
        <w:ind w:right="-2"/>
        <w:jc w:val="center"/>
        <w:rPr>
          <w:rFonts w:ascii="宋体"/>
          <w:b/>
          <w:sz w:val="24"/>
          <w:szCs w:val="24"/>
        </w:rPr>
      </w:pPr>
    </w:p>
    <w:p>
      <w:pPr>
        <w:ind w:right="-2" w:firstLine="354" w:firstLineChars="147"/>
        <w:rPr>
          <w:rFonts w:ascii="宋体"/>
          <w:b/>
          <w:sz w:val="24"/>
          <w:szCs w:val="24"/>
        </w:rPr>
      </w:pPr>
    </w:p>
    <w:p>
      <w:pPr>
        <w:tabs>
          <w:tab w:val="center" w:pos="4153"/>
          <w:tab w:val="left" w:pos="6470"/>
        </w:tabs>
        <w:spacing w:before="120" w:line="760" w:lineRule="exact"/>
        <w:jc w:val="left"/>
        <w:rPr>
          <w:rFonts w:ascii="宋体"/>
          <w:b/>
          <w:sz w:val="32"/>
          <w:szCs w:val="32"/>
        </w:rPr>
      </w:pPr>
      <w:r>
        <w:rPr>
          <w:rFonts w:ascii="宋体"/>
          <w:b/>
          <w:sz w:val="32"/>
          <w:szCs w:val="32"/>
        </w:rPr>
        <w:tab/>
      </w:r>
      <w:r>
        <w:rPr>
          <w:rFonts w:hint="eastAsia" w:ascii="宋体"/>
          <w:b/>
          <w:sz w:val="32"/>
          <w:szCs w:val="32"/>
        </w:rPr>
        <w:t>招   标   人：</w:t>
      </w:r>
      <w:r>
        <w:rPr>
          <w:rFonts w:hint="eastAsia" w:ascii="宋体"/>
          <w:b/>
          <w:sz w:val="32"/>
          <w:szCs w:val="32"/>
          <w:lang w:eastAsia="zh-CN"/>
        </w:rPr>
        <w:t>双牌县公路管理站</w:t>
      </w:r>
      <w:r>
        <w:rPr>
          <w:rFonts w:ascii="宋体"/>
          <w:b/>
          <w:sz w:val="32"/>
          <w:szCs w:val="32"/>
        </w:rPr>
        <w:tab/>
      </w:r>
    </w:p>
    <w:p>
      <w:pPr>
        <w:tabs>
          <w:tab w:val="center" w:pos="4153"/>
          <w:tab w:val="left" w:pos="6470"/>
        </w:tabs>
        <w:spacing w:before="120" w:line="760" w:lineRule="exact"/>
        <w:ind w:firstLine="1285" w:firstLineChars="400"/>
        <w:jc w:val="left"/>
        <w:rPr>
          <w:rFonts w:ascii="宋体"/>
          <w:b/>
          <w:sz w:val="32"/>
          <w:szCs w:val="32"/>
        </w:rPr>
      </w:pPr>
      <w:r>
        <w:rPr>
          <w:rFonts w:hint="eastAsia" w:ascii="宋体"/>
          <w:b/>
          <w:sz w:val="32"/>
          <w:szCs w:val="32"/>
        </w:rPr>
        <w:t>招标代理机构：中鼎誉润工程咨询有限公司</w:t>
      </w:r>
    </w:p>
    <w:p>
      <w:pPr>
        <w:spacing w:line="760" w:lineRule="exact"/>
        <w:jc w:val="center"/>
        <w:rPr>
          <w:rFonts w:ascii="宋体"/>
          <w:b/>
          <w:sz w:val="32"/>
          <w:szCs w:val="32"/>
        </w:rPr>
      </w:pPr>
      <w:r>
        <w:rPr>
          <w:rFonts w:hint="eastAsia" w:ascii="宋体"/>
          <w:b/>
          <w:sz w:val="32"/>
          <w:szCs w:val="32"/>
        </w:rPr>
        <w:t>日        期：二○一</w:t>
      </w:r>
      <w:r>
        <w:rPr>
          <w:rFonts w:hint="eastAsia" w:ascii="宋体"/>
          <w:b/>
          <w:sz w:val="32"/>
          <w:szCs w:val="32"/>
          <w:lang w:eastAsia="zh-CN"/>
        </w:rPr>
        <w:t>九</w:t>
      </w:r>
      <w:r>
        <w:rPr>
          <w:rFonts w:hint="eastAsia" w:ascii="宋体"/>
          <w:b/>
          <w:sz w:val="32"/>
          <w:szCs w:val="32"/>
        </w:rPr>
        <w:t>年十一月</w:t>
      </w:r>
    </w:p>
    <w:p>
      <w:pPr>
        <w:jc w:val="center"/>
        <w:rPr>
          <w:rFonts w:ascii="宋体"/>
          <w:b/>
          <w:sz w:val="32"/>
          <w:szCs w:val="32"/>
        </w:rPr>
        <w:sectPr>
          <w:pgSz w:w="11906" w:h="16838"/>
          <w:pgMar w:top="1440" w:right="1800" w:bottom="1440" w:left="1800" w:header="851" w:footer="1832" w:gutter="0"/>
          <w:pgBorders>
            <w:top w:val="none" w:sz="0" w:space="0"/>
            <w:left w:val="none" w:sz="0" w:space="0"/>
            <w:bottom w:val="none" w:sz="0" w:space="0"/>
            <w:right w:val="none" w:sz="0" w:space="0"/>
          </w:pgBorders>
          <w:cols w:space="425" w:num="1"/>
          <w:docGrid w:type="lines" w:linePitch="312" w:charSpace="0"/>
        </w:sectPr>
      </w:pPr>
    </w:p>
    <w:p>
      <w:pPr>
        <w:jc w:val="center"/>
        <w:rPr>
          <w:rFonts w:ascii="宋体" w:hAnsi="宋体" w:cs="宋体"/>
          <w:b/>
          <w:sz w:val="36"/>
          <w:szCs w:val="36"/>
        </w:rPr>
      </w:pPr>
      <w:r>
        <w:rPr>
          <w:rFonts w:hint="eastAsia" w:ascii="宋体" w:hAnsi="宋体" w:cs="宋体"/>
          <w:b/>
          <w:sz w:val="36"/>
          <w:szCs w:val="36"/>
        </w:rPr>
        <w:t>目  录</w:t>
      </w:r>
    </w:p>
    <w:p>
      <w:pPr>
        <w:jc w:val="center"/>
        <w:rPr>
          <w:rFonts w:ascii="宋体" w:hAnsi="宋体" w:cs="宋体"/>
          <w:b/>
          <w:sz w:val="32"/>
        </w:rPr>
      </w:pPr>
    </w:p>
    <w:p>
      <w:pPr>
        <w:adjustRightInd w:val="0"/>
        <w:snapToGrid w:val="0"/>
        <w:spacing w:line="360" w:lineRule="auto"/>
        <w:jc w:val="center"/>
        <w:rPr>
          <w:rFonts w:ascii="宋体" w:hAnsi="宋体" w:cs="宋体"/>
          <w:sz w:val="24"/>
        </w:rPr>
      </w:pPr>
    </w:p>
    <w:tbl>
      <w:tblPr>
        <w:tblStyle w:val="16"/>
        <w:tblW w:w="903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0"/>
        <w:gridCol w:w="5670"/>
        <w:gridCol w:w="1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94" w:hRule="exact"/>
        </w:trPr>
        <w:tc>
          <w:tcPr>
            <w:tcW w:w="189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cs="宋体"/>
                <w:b/>
                <w:bCs/>
                <w:sz w:val="24"/>
              </w:rPr>
            </w:pPr>
            <w:r>
              <w:rPr>
                <w:rFonts w:hint="eastAsia" w:ascii="宋体" w:hAnsi="宋体" w:cs="宋体"/>
                <w:b/>
                <w:bCs/>
                <w:sz w:val="24"/>
              </w:rPr>
              <w:t>篇  号</w:t>
            </w:r>
          </w:p>
        </w:tc>
        <w:tc>
          <w:tcPr>
            <w:tcW w:w="5670"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sz w:val="24"/>
              </w:rPr>
            </w:pPr>
            <w:r>
              <w:rPr>
                <w:rFonts w:hint="eastAsia" w:ascii="宋体" w:hAnsi="宋体" w:cs="宋体"/>
                <w:b/>
                <w:bCs/>
                <w:sz w:val="24"/>
              </w:rPr>
              <w:t>名          称</w:t>
            </w:r>
          </w:p>
        </w:tc>
        <w:tc>
          <w:tcPr>
            <w:tcW w:w="1470" w:type="dxa"/>
            <w:tcBorders>
              <w:top w:val="single" w:color="auto" w:sz="12" w:space="0"/>
              <w:left w:val="single" w:color="auto" w:sz="4" w:space="0"/>
              <w:bottom w:val="single" w:color="auto" w:sz="4" w:space="0"/>
              <w:right w:val="single" w:color="auto" w:sz="12" w:space="0"/>
            </w:tcBorders>
            <w:vAlign w:val="center"/>
          </w:tcPr>
          <w:p>
            <w:pPr>
              <w:pStyle w:val="13"/>
              <w:pBdr>
                <w:bottom w:val="none" w:color="auto" w:sz="0" w:space="0"/>
              </w:pBdr>
              <w:tabs>
                <w:tab w:val="left" w:pos="420"/>
              </w:tabs>
              <w:adjustRightInd w:val="0"/>
              <w:rPr>
                <w:rFonts w:ascii="宋体" w:hAnsi="宋体" w:cs="宋体"/>
                <w:b/>
                <w:bCs/>
                <w:sz w:val="24"/>
              </w:rPr>
            </w:pPr>
            <w:r>
              <w:rPr>
                <w:rFonts w:hint="eastAsia" w:ascii="宋体" w:hAnsi="宋体" w:cs="宋体"/>
                <w:b/>
                <w:bCs/>
                <w:sz w:val="24"/>
              </w:rPr>
              <w:t>页  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exact"/>
        </w:trPr>
        <w:tc>
          <w:tcPr>
            <w:tcW w:w="1890"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宋体" w:hAnsi="宋体" w:cs="宋体"/>
                <w:b/>
                <w:bCs/>
                <w:sz w:val="24"/>
              </w:rPr>
            </w:pPr>
            <w:r>
              <w:rPr>
                <w:rFonts w:hint="eastAsia" w:ascii="宋体" w:hAnsi="宋体" w:cs="宋体"/>
                <w:b/>
                <w:bCs/>
                <w:sz w:val="24"/>
              </w:rPr>
              <w:t>第一章</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宋体" w:hAnsi="宋体" w:cs="宋体"/>
                <w:b/>
                <w:bCs/>
                <w:sz w:val="24"/>
              </w:rPr>
            </w:pPr>
            <w:r>
              <w:rPr>
                <w:rFonts w:hint="eastAsia" w:ascii="宋体" w:hAnsi="宋体" w:cs="宋体"/>
                <w:b/>
                <w:bCs/>
                <w:sz w:val="24"/>
                <w:lang w:eastAsia="zh-CN"/>
              </w:rPr>
              <w:t>交易</w:t>
            </w:r>
            <w:r>
              <w:rPr>
                <w:rFonts w:hint="eastAsia" w:ascii="宋体" w:hAnsi="宋体" w:cs="宋体"/>
                <w:b/>
                <w:bCs/>
                <w:sz w:val="24"/>
              </w:rPr>
              <w:t>公告</w:t>
            </w:r>
          </w:p>
        </w:tc>
        <w:tc>
          <w:tcPr>
            <w:tcW w:w="1470" w:type="dxa"/>
            <w:tcBorders>
              <w:top w:val="single" w:color="auto" w:sz="4" w:space="0"/>
              <w:left w:val="single" w:color="auto" w:sz="4" w:space="0"/>
              <w:bottom w:val="single" w:color="auto" w:sz="4" w:space="0"/>
              <w:right w:val="single" w:color="auto" w:sz="12" w:space="0"/>
            </w:tcBorders>
            <w:vAlign w:val="center"/>
          </w:tcPr>
          <w:p>
            <w:pPr>
              <w:pStyle w:val="13"/>
              <w:pBdr>
                <w:bottom w:val="none" w:color="auto" w:sz="0" w:space="0"/>
              </w:pBdr>
              <w:tabs>
                <w:tab w:val="left" w:pos="420"/>
              </w:tabs>
              <w:adjustRightInd w:val="0"/>
              <w:rPr>
                <w:rFonts w:ascii="宋体" w:hAnsi="宋体" w:cs="宋体"/>
                <w:b/>
                <w:bCs/>
                <w:sz w:val="24"/>
              </w:rPr>
            </w:pPr>
            <w:r>
              <w:rPr>
                <w:rFonts w:hint="eastAsia" w:ascii="宋体" w:hAnsi="宋体" w:cs="宋体"/>
                <w:b/>
                <w:bCs/>
                <w:sz w:val="24"/>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exact"/>
        </w:trPr>
        <w:tc>
          <w:tcPr>
            <w:tcW w:w="1890"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宋体" w:hAnsi="宋体" w:cs="宋体"/>
                <w:b/>
                <w:bCs/>
                <w:sz w:val="24"/>
              </w:rPr>
            </w:pPr>
            <w:r>
              <w:rPr>
                <w:rFonts w:hint="eastAsia" w:ascii="宋体" w:hAnsi="宋体" w:cs="宋体"/>
                <w:b/>
                <w:bCs/>
                <w:sz w:val="24"/>
              </w:rPr>
              <w:t>第二章</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bCs/>
                <w:sz w:val="24"/>
              </w:rPr>
            </w:pPr>
            <w:r>
              <w:rPr>
                <w:rFonts w:hint="eastAsia" w:ascii="宋体" w:hAnsi="宋体" w:cs="宋体"/>
                <w:b/>
                <w:bCs/>
                <w:sz w:val="24"/>
                <w:lang w:eastAsia="zh-CN"/>
              </w:rPr>
              <w:t>交易</w:t>
            </w:r>
            <w:r>
              <w:rPr>
                <w:rFonts w:hint="eastAsia" w:ascii="宋体" w:hAnsi="宋体" w:cs="宋体"/>
                <w:b/>
                <w:bCs/>
                <w:sz w:val="24"/>
              </w:rPr>
              <w:t>须知</w:t>
            </w:r>
          </w:p>
        </w:tc>
        <w:tc>
          <w:tcPr>
            <w:tcW w:w="1470" w:type="dxa"/>
            <w:tcBorders>
              <w:top w:val="single" w:color="auto" w:sz="4" w:space="0"/>
              <w:left w:val="single" w:color="auto" w:sz="4" w:space="0"/>
              <w:bottom w:val="single" w:color="auto" w:sz="4" w:space="0"/>
              <w:right w:val="single" w:color="auto" w:sz="12" w:space="0"/>
            </w:tcBorders>
            <w:vAlign w:val="center"/>
          </w:tcPr>
          <w:p>
            <w:pPr>
              <w:pStyle w:val="13"/>
              <w:pBdr>
                <w:bottom w:val="none" w:color="auto" w:sz="0" w:space="0"/>
              </w:pBdr>
              <w:tabs>
                <w:tab w:val="left" w:pos="420"/>
              </w:tabs>
              <w:adjustRightInd w:val="0"/>
              <w:rPr>
                <w:rFonts w:ascii="宋体" w:hAnsi="宋体" w:cs="宋体"/>
                <w:b/>
                <w:bCs/>
                <w:sz w:val="24"/>
              </w:rPr>
            </w:pPr>
            <w:r>
              <w:rPr>
                <w:rFonts w:hint="eastAsia" w:ascii="宋体" w:hAnsi="宋体" w:cs="宋体"/>
                <w:b/>
                <w:bCs/>
                <w:sz w:val="24"/>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exact"/>
        </w:trPr>
        <w:tc>
          <w:tcPr>
            <w:tcW w:w="1890"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宋体" w:hAnsi="宋体" w:cs="宋体"/>
                <w:b/>
                <w:bCs/>
                <w:sz w:val="24"/>
              </w:rPr>
            </w:pPr>
            <w:r>
              <w:rPr>
                <w:rFonts w:hint="eastAsia" w:ascii="宋体" w:hAnsi="宋体" w:cs="宋体"/>
                <w:b/>
                <w:bCs/>
                <w:sz w:val="24"/>
              </w:rPr>
              <w:t>第三章</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bCs/>
                <w:sz w:val="24"/>
              </w:rPr>
            </w:pPr>
            <w:r>
              <w:rPr>
                <w:rFonts w:hint="eastAsia" w:ascii="宋体" w:hAnsi="宋体" w:cs="宋体"/>
                <w:b/>
                <w:bCs/>
                <w:sz w:val="24"/>
              </w:rPr>
              <w:t xml:space="preserve">评标办法              </w:t>
            </w:r>
          </w:p>
        </w:tc>
        <w:tc>
          <w:tcPr>
            <w:tcW w:w="1470" w:type="dxa"/>
            <w:tcBorders>
              <w:top w:val="single" w:color="auto" w:sz="4" w:space="0"/>
              <w:left w:val="single" w:color="auto" w:sz="4" w:space="0"/>
              <w:bottom w:val="single" w:color="auto" w:sz="4" w:space="0"/>
              <w:right w:val="single" w:color="auto" w:sz="12" w:space="0"/>
            </w:tcBorders>
            <w:vAlign w:val="center"/>
          </w:tcPr>
          <w:p>
            <w:pPr>
              <w:pStyle w:val="13"/>
              <w:pBdr>
                <w:bottom w:val="none" w:color="auto" w:sz="0" w:space="0"/>
              </w:pBdr>
              <w:tabs>
                <w:tab w:val="left" w:pos="420"/>
              </w:tabs>
              <w:adjustRightInd w:val="0"/>
              <w:rPr>
                <w:rFonts w:ascii="宋体" w:hAnsi="宋体" w:cs="宋体"/>
                <w:b/>
                <w:bCs/>
                <w:sz w:val="24"/>
              </w:rPr>
            </w:pPr>
            <w:r>
              <w:rPr>
                <w:rFonts w:hint="eastAsia" w:ascii="宋体" w:hAnsi="宋体" w:cs="宋体"/>
                <w:b/>
                <w:bCs/>
                <w:sz w:val="24"/>
              </w:rPr>
              <w:t>46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exact"/>
        </w:trPr>
        <w:tc>
          <w:tcPr>
            <w:tcW w:w="1890"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宋体" w:hAnsi="宋体" w:cs="宋体"/>
                <w:b/>
                <w:bCs/>
                <w:sz w:val="24"/>
              </w:rPr>
            </w:pPr>
            <w:r>
              <w:rPr>
                <w:rFonts w:hint="eastAsia" w:ascii="宋体" w:hAnsi="宋体" w:cs="宋体"/>
                <w:b/>
                <w:bCs/>
                <w:sz w:val="24"/>
              </w:rPr>
              <w:t>第四章</w:t>
            </w:r>
          </w:p>
        </w:tc>
        <w:tc>
          <w:tcPr>
            <w:tcW w:w="5670"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tabs>
                <w:tab w:val="left" w:pos="420"/>
              </w:tabs>
              <w:adjustRightInd w:val="0"/>
              <w:jc w:val="both"/>
              <w:rPr>
                <w:rFonts w:ascii="宋体" w:hAnsi="宋体" w:cs="宋体"/>
                <w:b/>
                <w:bCs/>
                <w:sz w:val="24"/>
              </w:rPr>
            </w:pPr>
            <w:r>
              <w:rPr>
                <w:rFonts w:hint="eastAsia" w:ascii="宋体" w:hAnsi="宋体" w:cs="宋体"/>
                <w:b/>
                <w:bCs/>
                <w:sz w:val="24"/>
              </w:rPr>
              <w:t>合同条款及格式</w:t>
            </w:r>
          </w:p>
        </w:tc>
        <w:tc>
          <w:tcPr>
            <w:tcW w:w="1470" w:type="dxa"/>
            <w:tcBorders>
              <w:top w:val="single" w:color="auto" w:sz="4" w:space="0"/>
              <w:left w:val="single" w:color="auto" w:sz="4" w:space="0"/>
              <w:bottom w:val="single" w:color="auto" w:sz="4" w:space="0"/>
              <w:right w:val="single" w:color="auto" w:sz="12" w:space="0"/>
            </w:tcBorders>
            <w:vAlign w:val="center"/>
          </w:tcPr>
          <w:p>
            <w:pPr>
              <w:pStyle w:val="13"/>
              <w:pBdr>
                <w:bottom w:val="none" w:color="auto" w:sz="0" w:space="0"/>
              </w:pBdr>
              <w:tabs>
                <w:tab w:val="left" w:pos="420"/>
              </w:tabs>
              <w:adjustRightInd w:val="0"/>
              <w:rPr>
                <w:rFonts w:ascii="宋体" w:hAnsi="宋体" w:cs="宋体"/>
                <w:b/>
                <w:bCs/>
                <w:sz w:val="24"/>
              </w:rPr>
            </w:pPr>
            <w:r>
              <w:rPr>
                <w:rFonts w:hint="eastAsia" w:ascii="宋体" w:hAnsi="宋体" w:cs="宋体"/>
                <w:b/>
                <w:bCs/>
                <w:sz w:val="24"/>
              </w:rPr>
              <w:t>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exact"/>
        </w:trPr>
        <w:tc>
          <w:tcPr>
            <w:tcW w:w="1890"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宋体" w:hAnsi="宋体" w:cs="宋体"/>
                <w:b/>
                <w:bCs/>
                <w:sz w:val="24"/>
              </w:rPr>
            </w:pPr>
            <w:r>
              <w:rPr>
                <w:rFonts w:hint="eastAsia" w:ascii="宋体" w:hAnsi="宋体" w:cs="宋体"/>
                <w:b/>
                <w:bCs/>
                <w:sz w:val="24"/>
              </w:rPr>
              <w:t>第五章</w:t>
            </w:r>
          </w:p>
        </w:tc>
        <w:tc>
          <w:tcPr>
            <w:tcW w:w="5670"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tabs>
                <w:tab w:val="left" w:pos="420"/>
              </w:tabs>
              <w:adjustRightInd w:val="0"/>
              <w:jc w:val="both"/>
              <w:rPr>
                <w:rFonts w:ascii="宋体" w:hAnsi="宋体" w:cs="宋体"/>
                <w:b/>
                <w:bCs/>
                <w:sz w:val="24"/>
              </w:rPr>
            </w:pPr>
            <w:r>
              <w:rPr>
                <w:rFonts w:hint="eastAsia" w:ascii="宋体" w:hAnsi="宋体" w:cs="宋体"/>
                <w:b/>
                <w:bCs/>
                <w:sz w:val="24"/>
              </w:rPr>
              <w:t>工程量清单</w:t>
            </w:r>
          </w:p>
        </w:tc>
        <w:tc>
          <w:tcPr>
            <w:tcW w:w="1470" w:type="dxa"/>
            <w:tcBorders>
              <w:top w:val="single" w:color="auto" w:sz="4" w:space="0"/>
              <w:left w:val="single" w:color="auto" w:sz="4" w:space="0"/>
              <w:bottom w:val="single" w:color="auto" w:sz="4" w:space="0"/>
              <w:right w:val="single" w:color="auto" w:sz="12" w:space="0"/>
            </w:tcBorders>
            <w:vAlign w:val="center"/>
          </w:tcPr>
          <w:p>
            <w:pPr>
              <w:pStyle w:val="13"/>
              <w:pBdr>
                <w:bottom w:val="none" w:color="auto" w:sz="0" w:space="0"/>
              </w:pBdr>
              <w:tabs>
                <w:tab w:val="left" w:pos="420"/>
              </w:tabs>
              <w:adjustRightInd w:val="0"/>
              <w:rPr>
                <w:rFonts w:ascii="宋体" w:hAnsi="宋体" w:cs="宋体"/>
                <w:b/>
                <w:bCs/>
                <w:sz w:val="24"/>
              </w:rPr>
            </w:pPr>
            <w:r>
              <w:rPr>
                <w:rFonts w:hint="eastAsia" w:ascii="宋体" w:hAnsi="宋体" w:cs="宋体"/>
                <w:b/>
                <w:bCs/>
                <w:sz w:val="24"/>
              </w:rPr>
              <w:t>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exact"/>
        </w:trPr>
        <w:tc>
          <w:tcPr>
            <w:tcW w:w="1890"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宋体" w:hAnsi="宋体" w:cs="宋体"/>
                <w:b/>
                <w:bCs/>
                <w:sz w:val="24"/>
              </w:rPr>
            </w:pPr>
            <w:r>
              <w:rPr>
                <w:rFonts w:hint="eastAsia" w:ascii="宋体" w:hAnsi="宋体" w:cs="宋体"/>
                <w:b/>
                <w:bCs/>
                <w:sz w:val="24"/>
              </w:rPr>
              <w:t>第六章</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bCs/>
                <w:sz w:val="24"/>
              </w:rPr>
            </w:pPr>
            <w:r>
              <w:rPr>
                <w:rFonts w:hint="eastAsia" w:ascii="宋体" w:hAnsi="宋体" w:cs="宋体"/>
                <w:b/>
                <w:bCs/>
                <w:sz w:val="24"/>
              </w:rPr>
              <w:t xml:space="preserve">图纸            </w:t>
            </w:r>
          </w:p>
        </w:tc>
        <w:tc>
          <w:tcPr>
            <w:tcW w:w="1470" w:type="dxa"/>
            <w:tcBorders>
              <w:top w:val="single" w:color="auto" w:sz="4" w:space="0"/>
              <w:left w:val="single" w:color="auto" w:sz="4" w:space="0"/>
              <w:bottom w:val="single" w:color="auto" w:sz="4" w:space="0"/>
              <w:right w:val="single" w:color="auto" w:sz="12" w:space="0"/>
            </w:tcBorders>
            <w:vAlign w:val="center"/>
          </w:tcPr>
          <w:p>
            <w:pPr>
              <w:pStyle w:val="13"/>
              <w:pBdr>
                <w:bottom w:val="none" w:color="auto" w:sz="0" w:space="0"/>
              </w:pBdr>
              <w:tabs>
                <w:tab w:val="left" w:pos="420"/>
              </w:tabs>
              <w:adjustRightInd w:val="0"/>
              <w:rPr>
                <w:rFonts w:ascii="宋体" w:hAnsi="宋体" w:cs="宋体"/>
                <w:b/>
                <w:bCs/>
                <w:sz w:val="24"/>
              </w:rPr>
            </w:pPr>
            <w:r>
              <w:rPr>
                <w:rFonts w:hint="eastAsia" w:ascii="宋体" w:hAnsi="宋体" w:cs="宋体"/>
                <w:b/>
                <w:bCs/>
                <w:sz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exact"/>
        </w:trPr>
        <w:tc>
          <w:tcPr>
            <w:tcW w:w="1890"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宋体" w:hAnsi="宋体" w:cs="宋体"/>
                <w:b/>
                <w:bCs/>
                <w:sz w:val="24"/>
              </w:rPr>
            </w:pPr>
            <w:r>
              <w:rPr>
                <w:rFonts w:hint="eastAsia" w:ascii="宋体" w:hAnsi="宋体" w:cs="宋体"/>
                <w:b/>
                <w:bCs/>
                <w:sz w:val="24"/>
              </w:rPr>
              <w:t>第七章</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bCs/>
                <w:sz w:val="24"/>
              </w:rPr>
            </w:pPr>
            <w:r>
              <w:rPr>
                <w:rFonts w:hint="eastAsia" w:ascii="宋体" w:hAnsi="宋体" w:cs="宋体"/>
                <w:b/>
                <w:bCs/>
                <w:sz w:val="24"/>
              </w:rPr>
              <w:t>技术规范</w:t>
            </w:r>
          </w:p>
        </w:tc>
        <w:tc>
          <w:tcPr>
            <w:tcW w:w="1470" w:type="dxa"/>
            <w:tcBorders>
              <w:top w:val="single" w:color="auto" w:sz="4" w:space="0"/>
              <w:left w:val="single" w:color="auto" w:sz="4" w:space="0"/>
              <w:bottom w:val="single" w:color="auto" w:sz="4" w:space="0"/>
              <w:right w:val="single" w:color="auto" w:sz="12" w:space="0"/>
            </w:tcBorders>
            <w:vAlign w:val="center"/>
          </w:tcPr>
          <w:p>
            <w:pPr>
              <w:pStyle w:val="13"/>
              <w:pBdr>
                <w:bottom w:val="none" w:color="auto" w:sz="0" w:space="0"/>
              </w:pBdr>
              <w:tabs>
                <w:tab w:val="left" w:pos="420"/>
              </w:tabs>
              <w:adjustRightInd w:val="0"/>
              <w:rPr>
                <w:rFonts w:ascii="宋体" w:hAnsi="宋体" w:cs="宋体"/>
                <w:b/>
                <w:bCs/>
                <w:sz w:val="24"/>
              </w:rPr>
            </w:pPr>
            <w:r>
              <w:rPr>
                <w:rFonts w:hint="eastAsia" w:ascii="宋体" w:hAnsi="宋体" w:cs="宋体"/>
                <w:b/>
                <w:bCs/>
                <w:sz w:val="24"/>
              </w:rPr>
              <w:t>71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exact"/>
        </w:trPr>
        <w:tc>
          <w:tcPr>
            <w:tcW w:w="1890"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宋体" w:hAnsi="宋体" w:cs="宋体"/>
                <w:b/>
                <w:bCs/>
                <w:sz w:val="24"/>
              </w:rPr>
            </w:pPr>
            <w:r>
              <w:rPr>
                <w:rFonts w:hint="eastAsia" w:ascii="宋体" w:hAnsi="宋体" w:cs="宋体"/>
                <w:b/>
                <w:bCs/>
                <w:sz w:val="24"/>
              </w:rPr>
              <w:t>第八章</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bCs/>
                <w:sz w:val="24"/>
              </w:rPr>
            </w:pPr>
            <w:r>
              <w:rPr>
                <w:rFonts w:hint="eastAsia" w:ascii="宋体" w:hAnsi="宋体" w:cs="宋体"/>
                <w:b/>
                <w:bCs/>
                <w:sz w:val="24"/>
              </w:rPr>
              <w:t>工程量清单计量规则</w:t>
            </w:r>
          </w:p>
        </w:tc>
        <w:tc>
          <w:tcPr>
            <w:tcW w:w="1470" w:type="dxa"/>
            <w:tcBorders>
              <w:top w:val="single" w:color="auto" w:sz="4" w:space="0"/>
              <w:left w:val="single" w:color="auto" w:sz="4" w:space="0"/>
              <w:bottom w:val="single" w:color="auto" w:sz="4" w:space="0"/>
              <w:right w:val="single" w:color="auto" w:sz="12" w:space="0"/>
            </w:tcBorders>
            <w:vAlign w:val="center"/>
          </w:tcPr>
          <w:p>
            <w:pPr>
              <w:pStyle w:val="13"/>
              <w:pBdr>
                <w:bottom w:val="none" w:color="auto" w:sz="0" w:space="0"/>
              </w:pBdr>
              <w:tabs>
                <w:tab w:val="left" w:pos="420"/>
              </w:tabs>
              <w:adjustRightInd w:val="0"/>
              <w:rPr>
                <w:rFonts w:ascii="宋体" w:hAnsi="宋体" w:cs="宋体"/>
                <w:b/>
                <w:bCs/>
                <w:sz w:val="24"/>
              </w:rPr>
            </w:pPr>
            <w:r>
              <w:rPr>
                <w:rFonts w:hint="eastAsia" w:ascii="宋体" w:hAnsi="宋体" w:cs="宋体"/>
                <w:b/>
                <w:bCs/>
                <w:sz w:val="24"/>
              </w:rPr>
              <w:t>72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exact"/>
        </w:trPr>
        <w:tc>
          <w:tcPr>
            <w:tcW w:w="1890"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宋体" w:hAnsi="宋体" w:cs="宋体"/>
                <w:b/>
                <w:bCs/>
                <w:sz w:val="24"/>
              </w:rPr>
            </w:pPr>
            <w:r>
              <w:rPr>
                <w:rFonts w:hint="eastAsia" w:ascii="宋体" w:hAnsi="宋体" w:cs="宋体"/>
                <w:b/>
                <w:bCs/>
                <w:sz w:val="24"/>
              </w:rPr>
              <w:t>第九章</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bCs/>
                <w:sz w:val="24"/>
              </w:rPr>
            </w:pPr>
            <w:r>
              <w:rPr>
                <w:rFonts w:hint="eastAsia" w:ascii="宋体" w:hAnsi="宋体" w:cs="宋体"/>
                <w:b/>
                <w:bCs/>
                <w:sz w:val="24"/>
                <w:lang w:eastAsia="zh-CN"/>
              </w:rPr>
              <w:t>交易响应文件</w:t>
            </w:r>
            <w:r>
              <w:rPr>
                <w:rFonts w:hint="eastAsia" w:ascii="宋体" w:hAnsi="宋体" w:cs="宋体"/>
                <w:b/>
                <w:bCs/>
                <w:sz w:val="24"/>
              </w:rPr>
              <w:t>格式</w:t>
            </w:r>
          </w:p>
        </w:tc>
        <w:tc>
          <w:tcPr>
            <w:tcW w:w="1470" w:type="dxa"/>
            <w:tcBorders>
              <w:top w:val="single" w:color="auto" w:sz="4" w:space="0"/>
              <w:left w:val="single" w:color="auto" w:sz="4" w:space="0"/>
              <w:bottom w:val="single" w:color="auto" w:sz="4" w:space="0"/>
              <w:right w:val="single" w:color="auto" w:sz="12" w:space="0"/>
            </w:tcBorders>
            <w:vAlign w:val="center"/>
          </w:tcPr>
          <w:p>
            <w:pPr>
              <w:pStyle w:val="13"/>
              <w:pBdr>
                <w:bottom w:val="none" w:color="auto" w:sz="0" w:space="0"/>
              </w:pBdr>
              <w:tabs>
                <w:tab w:val="left" w:pos="420"/>
              </w:tabs>
              <w:adjustRightInd w:val="0"/>
              <w:rPr>
                <w:rFonts w:ascii="宋体" w:hAnsi="宋体" w:cs="宋体"/>
                <w:b/>
                <w:bCs/>
                <w:sz w:val="24"/>
              </w:rPr>
            </w:pPr>
            <w:r>
              <w:rPr>
                <w:rFonts w:hint="eastAsia" w:ascii="宋体" w:hAnsi="宋体" w:cs="宋体"/>
                <w:b/>
                <w:bCs/>
                <w:sz w:val="24"/>
              </w:rPr>
              <w:t>73</w:t>
            </w:r>
          </w:p>
        </w:tc>
      </w:tr>
    </w:tbl>
    <w:p>
      <w:pPr>
        <w:spacing w:line="220" w:lineRule="atLeast"/>
        <w:rPr>
          <w:rFonts w:ascii="宋体"/>
          <w:spacing w:val="30"/>
          <w:sz w:val="24"/>
          <w:szCs w:val="24"/>
        </w:rPr>
        <w:sectPr>
          <w:footerReference r:id="rId5" w:type="first"/>
          <w:footerReference r:id="rId4" w:type="default"/>
          <w:pgSz w:w="11906" w:h="16838"/>
          <w:pgMar w:top="1418" w:right="1418" w:bottom="1134" w:left="1418" w:header="851" w:footer="992" w:gutter="0"/>
          <w:pgBorders>
            <w:top w:val="none" w:sz="0" w:space="0"/>
            <w:left w:val="none" w:sz="0" w:space="0"/>
            <w:bottom w:val="none" w:sz="0" w:space="0"/>
            <w:right w:val="none" w:sz="0" w:space="0"/>
          </w:pgBorders>
          <w:pgNumType w:start="1"/>
          <w:cols w:space="720" w:num="1"/>
          <w:titlePg/>
          <w:docGrid w:linePitch="312" w:charSpace="0"/>
        </w:sectPr>
      </w:pPr>
    </w:p>
    <w:p>
      <w:pPr>
        <w:pStyle w:val="5"/>
        <w:spacing w:line="360" w:lineRule="exact"/>
        <w:rPr>
          <w:rFonts w:hint="eastAsia" w:ascii="宋体" w:eastAsia="宋体"/>
          <w:sz w:val="36"/>
          <w:szCs w:val="36"/>
          <w:lang w:eastAsia="zh-CN"/>
        </w:rPr>
      </w:pPr>
      <w:bookmarkStart w:id="0" w:name="_Toc224459391"/>
      <w:bookmarkStart w:id="1" w:name="_Toc18427"/>
      <w:bookmarkStart w:id="2" w:name="_Toc4969"/>
      <w:bookmarkStart w:id="3" w:name="_Toc222114566"/>
      <w:r>
        <w:rPr>
          <w:rFonts w:hint="eastAsia" w:ascii="宋体" w:eastAsia="宋体"/>
          <w:sz w:val="36"/>
          <w:szCs w:val="36"/>
        </w:rPr>
        <w:t xml:space="preserve">第一章  </w:t>
      </w:r>
      <w:bookmarkEnd w:id="0"/>
      <w:bookmarkEnd w:id="1"/>
      <w:bookmarkEnd w:id="2"/>
      <w:bookmarkEnd w:id="3"/>
      <w:bookmarkStart w:id="4" w:name="_Toc222114568"/>
      <w:bookmarkStart w:id="5" w:name="_Toc224459392"/>
      <w:r>
        <w:rPr>
          <w:rFonts w:hint="eastAsia" w:ascii="宋体" w:eastAsia="宋体"/>
          <w:sz w:val="36"/>
          <w:szCs w:val="36"/>
          <w:lang w:eastAsia="zh-CN"/>
        </w:rPr>
        <w:t>交易公告</w:t>
      </w:r>
    </w:p>
    <w:p>
      <w:pPr>
        <w:spacing w:line="480" w:lineRule="exact"/>
        <w:rPr>
          <w:rFonts w:ascii="宋体" w:hAnsi="宋体" w:cs="黑体"/>
          <w:b/>
          <w:sz w:val="21"/>
          <w:szCs w:val="21"/>
        </w:rPr>
      </w:pPr>
      <w:bookmarkStart w:id="6" w:name="_Toc28039"/>
      <w:bookmarkStart w:id="7" w:name="_Toc25882"/>
      <w:r>
        <w:rPr>
          <w:rFonts w:hint="eastAsia" w:ascii="宋体" w:hAnsi="宋体" w:cs="黑体"/>
          <w:b/>
          <w:sz w:val="21"/>
          <w:szCs w:val="21"/>
        </w:rPr>
        <w:t>1、招标条件</w:t>
      </w:r>
    </w:p>
    <w:p>
      <w:pPr>
        <w:spacing w:line="480" w:lineRule="exact"/>
        <w:ind w:firstLine="420" w:firstLineChars="200"/>
        <w:rPr>
          <w:rFonts w:ascii="宋体" w:hAnsi="宋体" w:cs="宋体"/>
          <w:sz w:val="21"/>
          <w:szCs w:val="21"/>
          <w:u w:val="single"/>
        </w:rPr>
      </w:pPr>
      <w:r>
        <w:rPr>
          <w:rFonts w:hint="eastAsia" w:ascii="宋体"/>
          <w:sz w:val="21"/>
          <w:szCs w:val="21"/>
          <w:highlight w:val="none"/>
          <w:lang w:eastAsia="zh-CN"/>
        </w:rPr>
        <w:t>双牌县双红线服务区改造装修工程</w:t>
      </w:r>
      <w:r>
        <w:rPr>
          <w:rFonts w:hint="eastAsia" w:ascii="宋体" w:hAnsi="宋体" w:cs="宋体"/>
          <w:sz w:val="21"/>
          <w:szCs w:val="21"/>
          <w:highlight w:val="none"/>
        </w:rPr>
        <w:t>（以下简称“本</w:t>
      </w:r>
      <w:r>
        <w:rPr>
          <w:rFonts w:hint="eastAsia" w:ascii="宋体" w:hAnsi="宋体" w:cs="宋体"/>
          <w:sz w:val="21"/>
          <w:szCs w:val="21"/>
        </w:rPr>
        <w:t>项目”），已由</w:t>
      </w:r>
      <w:r>
        <w:rPr>
          <w:rFonts w:hint="eastAsia" w:ascii="宋体" w:hAnsi="宋体" w:cs="宋体"/>
          <w:sz w:val="21"/>
          <w:szCs w:val="21"/>
          <w:lang w:eastAsia="zh-CN"/>
        </w:rPr>
        <w:t>湘交计统</w:t>
      </w:r>
      <w:r>
        <w:rPr>
          <w:rFonts w:hint="eastAsia" w:ascii="宋体" w:hAnsi="宋体" w:cs="宋体"/>
          <w:sz w:val="21"/>
          <w:szCs w:val="21"/>
          <w:lang w:val="en-US" w:eastAsia="zh-CN"/>
        </w:rPr>
        <w:t>[2019]68</w:t>
      </w:r>
      <w:r>
        <w:rPr>
          <w:rFonts w:hint="eastAsia" w:ascii="宋体" w:hAnsi="宋体" w:cs="宋体"/>
          <w:sz w:val="21"/>
          <w:szCs w:val="21"/>
        </w:rPr>
        <w:t>号文批准建设，</w:t>
      </w:r>
      <w:r>
        <w:rPr>
          <w:rFonts w:hint="eastAsia" w:ascii="宋体" w:hAnsi="宋体" w:cs="宋体"/>
          <w:sz w:val="21"/>
          <w:szCs w:val="21"/>
          <w:lang w:eastAsia="zh-CN"/>
        </w:rPr>
        <w:t>双</w:t>
      </w:r>
      <w:r>
        <w:rPr>
          <w:rFonts w:hint="eastAsia" w:ascii="宋体" w:hAnsi="宋体" w:cs="宋体"/>
          <w:sz w:val="21"/>
          <w:szCs w:val="21"/>
        </w:rPr>
        <w:t>发改</w:t>
      </w:r>
      <w:r>
        <w:rPr>
          <w:rFonts w:hint="eastAsia" w:ascii="宋体" w:hAnsi="宋体" w:cs="宋体"/>
          <w:sz w:val="21"/>
          <w:szCs w:val="21"/>
          <w:lang w:eastAsia="zh-CN"/>
        </w:rPr>
        <w:t>备</w:t>
      </w:r>
      <w:r>
        <w:rPr>
          <w:rFonts w:hint="eastAsia" w:ascii="宋体" w:hAnsi="宋体" w:cs="宋体"/>
          <w:sz w:val="21"/>
          <w:szCs w:val="21"/>
        </w:rPr>
        <w:t>[</w:t>
      </w:r>
      <w:r>
        <w:rPr>
          <w:rFonts w:hint="eastAsia" w:ascii="宋体" w:hAnsi="宋体" w:cs="宋体"/>
          <w:sz w:val="21"/>
          <w:szCs w:val="21"/>
          <w:lang w:val="en-US" w:eastAsia="zh-CN"/>
        </w:rPr>
        <w:t>201</w:t>
      </w:r>
      <w:r>
        <w:rPr>
          <w:rFonts w:hint="eastAsia" w:ascii="宋体" w:hAnsi="宋体" w:cs="宋体"/>
          <w:sz w:val="21"/>
          <w:szCs w:val="21"/>
          <w:u w:val="none"/>
          <w:lang w:val="en-US" w:eastAsia="zh-CN"/>
        </w:rPr>
        <w:t>9</w:t>
      </w:r>
      <w:r>
        <w:rPr>
          <w:rFonts w:hint="eastAsia" w:ascii="宋体" w:hAnsi="宋体" w:cs="宋体"/>
          <w:sz w:val="21"/>
          <w:szCs w:val="21"/>
          <w:u w:val="none"/>
        </w:rPr>
        <w:t>]</w:t>
      </w:r>
      <w:r>
        <w:rPr>
          <w:rFonts w:hint="eastAsia" w:ascii="宋体" w:hAnsi="宋体" w:cs="宋体"/>
          <w:sz w:val="21"/>
          <w:szCs w:val="21"/>
          <w:u w:val="none"/>
          <w:lang w:val="en-US" w:eastAsia="zh-CN"/>
        </w:rPr>
        <w:t xml:space="preserve"> 40</w:t>
      </w:r>
      <w:r>
        <w:rPr>
          <w:rFonts w:hint="eastAsia" w:ascii="宋体" w:hAnsi="宋体" w:cs="宋体"/>
          <w:sz w:val="21"/>
          <w:szCs w:val="21"/>
          <w:u w:val="none"/>
        </w:rPr>
        <w:t>号核准</w:t>
      </w:r>
      <w:r>
        <w:rPr>
          <w:rFonts w:hint="eastAsia" w:ascii="宋体" w:hAnsi="宋体" w:cs="宋体"/>
          <w:sz w:val="21"/>
          <w:szCs w:val="21"/>
        </w:rPr>
        <w:t>招标，建设资金来自</w:t>
      </w:r>
      <w:r>
        <w:rPr>
          <w:rFonts w:hint="eastAsia" w:ascii="宋体" w:hAnsi="宋体" w:cs="宋体"/>
          <w:szCs w:val="21"/>
          <w:lang w:eastAsia="zh-CN"/>
        </w:rPr>
        <w:t>专项</w:t>
      </w:r>
      <w:r>
        <w:rPr>
          <w:rFonts w:hint="eastAsia" w:ascii="宋体" w:hAnsi="宋体" w:cs="宋体"/>
          <w:szCs w:val="21"/>
        </w:rPr>
        <w:t>资金</w:t>
      </w:r>
      <w:r>
        <w:rPr>
          <w:rFonts w:hint="eastAsia" w:ascii="宋体" w:hAnsi="宋体" w:cs="宋体"/>
          <w:sz w:val="21"/>
          <w:szCs w:val="21"/>
        </w:rPr>
        <w:t>。招标人为</w:t>
      </w:r>
      <w:r>
        <w:rPr>
          <w:rFonts w:hint="eastAsia" w:ascii="宋体"/>
          <w:sz w:val="21"/>
          <w:szCs w:val="21"/>
          <w:lang w:eastAsia="zh-CN"/>
        </w:rPr>
        <w:t>双牌县公路管理站</w:t>
      </w:r>
      <w:r>
        <w:rPr>
          <w:rFonts w:hint="eastAsia" w:ascii="宋体" w:hAnsi="宋体" w:cs="宋体"/>
          <w:sz w:val="21"/>
          <w:szCs w:val="21"/>
        </w:rPr>
        <w:t>，招标代理公司为中</w:t>
      </w:r>
      <w:r>
        <w:rPr>
          <w:rFonts w:hint="eastAsia" w:ascii="宋体"/>
          <w:sz w:val="21"/>
          <w:szCs w:val="21"/>
        </w:rPr>
        <w:t>鼎誉润工程咨询有限公司。项目已具备招标条件，现对该项目进行公开招标。</w:t>
      </w:r>
    </w:p>
    <w:p>
      <w:pPr>
        <w:spacing w:line="480" w:lineRule="exact"/>
        <w:rPr>
          <w:rFonts w:ascii="宋体" w:hAnsi="宋体" w:cs="黑体"/>
          <w:b/>
          <w:sz w:val="21"/>
          <w:szCs w:val="21"/>
        </w:rPr>
      </w:pPr>
      <w:bookmarkStart w:id="8" w:name="_Toc234382571"/>
      <w:r>
        <w:rPr>
          <w:rFonts w:hint="eastAsia" w:ascii="宋体" w:hAnsi="宋体" w:cs="黑体"/>
          <w:b/>
          <w:sz w:val="21"/>
          <w:szCs w:val="21"/>
        </w:rPr>
        <w:t>2、项目概况与招标范围</w:t>
      </w:r>
      <w:bookmarkEnd w:id="8"/>
    </w:p>
    <w:p>
      <w:pPr>
        <w:spacing w:line="480" w:lineRule="exact"/>
        <w:ind w:firstLine="420" w:firstLineChars="200"/>
        <w:rPr>
          <w:rFonts w:ascii="宋体" w:hAnsi="宋体"/>
          <w:sz w:val="21"/>
          <w:szCs w:val="21"/>
          <w:u w:val="single"/>
        </w:rPr>
      </w:pPr>
      <w:r>
        <w:rPr>
          <w:rFonts w:hint="eastAsia" w:ascii="宋体" w:hAnsi="宋体" w:cs="黑体"/>
          <w:sz w:val="21"/>
          <w:szCs w:val="21"/>
        </w:rPr>
        <w:t>2.1项目名称：</w:t>
      </w:r>
      <w:r>
        <w:rPr>
          <w:rFonts w:hint="eastAsia" w:ascii="宋体"/>
          <w:sz w:val="21"/>
          <w:szCs w:val="21"/>
          <w:lang w:eastAsia="zh-CN"/>
        </w:rPr>
        <w:t>双牌县双红线服务区改造装修工程</w:t>
      </w:r>
    </w:p>
    <w:p>
      <w:pPr>
        <w:spacing w:line="480" w:lineRule="exact"/>
        <w:ind w:firstLine="420" w:firstLineChars="200"/>
        <w:rPr>
          <w:rFonts w:ascii="宋体" w:hAnsi="宋体" w:cs="宋体"/>
          <w:strike/>
          <w:sz w:val="21"/>
          <w:szCs w:val="21"/>
          <w:u w:val="single"/>
        </w:rPr>
      </w:pPr>
      <w:r>
        <w:rPr>
          <w:rFonts w:ascii="宋体" w:hAnsi="宋体" w:cs="宋体"/>
          <w:sz w:val="21"/>
          <w:szCs w:val="21"/>
        </w:rPr>
        <w:t>2.</w:t>
      </w:r>
      <w:r>
        <w:rPr>
          <w:rFonts w:hint="eastAsia" w:ascii="宋体" w:hAnsi="宋体" w:cs="宋体"/>
          <w:sz w:val="21"/>
          <w:szCs w:val="21"/>
        </w:rPr>
        <w:t>2招标编号：</w:t>
      </w:r>
      <w:r>
        <w:rPr>
          <w:rFonts w:hint="eastAsia" w:ascii="宋体" w:hAnsi="宋体" w:cs="宋体"/>
          <w:sz w:val="21"/>
          <w:szCs w:val="21"/>
          <w:u w:val="single"/>
        </w:rPr>
        <w:t xml:space="preserve"> </w:t>
      </w:r>
      <w:r>
        <w:rPr>
          <w:rFonts w:hint="eastAsia" w:ascii="宋体" w:hAnsi="宋体" w:cs="宋体"/>
          <w:sz w:val="21"/>
          <w:szCs w:val="21"/>
          <w:u w:val="single"/>
          <w:lang w:eastAsia="zh-CN"/>
        </w:rPr>
        <w:t>ZDYR-YZ-19064</w:t>
      </w:r>
      <w:r>
        <w:rPr>
          <w:rFonts w:hint="eastAsia" w:ascii="宋体" w:hAnsi="宋体" w:cs="宋体"/>
          <w:sz w:val="21"/>
          <w:szCs w:val="21"/>
          <w:u w:val="single"/>
        </w:rPr>
        <w:t xml:space="preserve"> </w:t>
      </w:r>
    </w:p>
    <w:p>
      <w:pPr>
        <w:tabs>
          <w:tab w:val="center" w:pos="4273"/>
        </w:tabs>
        <w:spacing w:line="480" w:lineRule="exact"/>
        <w:ind w:firstLine="420" w:firstLineChars="200"/>
        <w:rPr>
          <w:rFonts w:ascii="宋体" w:hAnsi="宋体" w:cs="Calibri"/>
          <w:sz w:val="21"/>
          <w:szCs w:val="21"/>
          <w:u w:val="single"/>
        </w:rPr>
      </w:pPr>
      <w:r>
        <w:rPr>
          <w:rFonts w:hint="eastAsia" w:ascii="宋体" w:hAnsi="宋体"/>
          <w:sz w:val="21"/>
          <w:szCs w:val="21"/>
        </w:rPr>
        <w:t>2.3建设地点：</w:t>
      </w:r>
      <w:r>
        <w:rPr>
          <w:rFonts w:hint="eastAsia" w:ascii="宋体"/>
          <w:sz w:val="21"/>
          <w:szCs w:val="21"/>
          <w:lang w:eastAsia="zh-CN"/>
        </w:rPr>
        <w:t>双牌</w:t>
      </w:r>
      <w:r>
        <w:rPr>
          <w:rFonts w:hint="eastAsia" w:ascii="宋体" w:hAnsi="宋体"/>
          <w:sz w:val="21"/>
          <w:szCs w:val="21"/>
        </w:rPr>
        <w:t>县境内。</w:t>
      </w:r>
      <w:r>
        <w:rPr>
          <w:rFonts w:ascii="宋体" w:hAnsi="宋体"/>
          <w:sz w:val="21"/>
          <w:szCs w:val="21"/>
        </w:rPr>
        <w:tab/>
      </w:r>
    </w:p>
    <w:p>
      <w:pPr>
        <w:spacing w:line="480" w:lineRule="exact"/>
        <w:ind w:firstLine="420" w:firstLineChars="200"/>
        <w:rPr>
          <w:rFonts w:ascii="宋体" w:hAnsi="宋体" w:cs="宋体"/>
          <w:sz w:val="21"/>
          <w:szCs w:val="21"/>
        </w:rPr>
      </w:pPr>
      <w:r>
        <w:rPr>
          <w:rFonts w:ascii="宋体" w:hAnsi="宋体" w:cs="宋体"/>
          <w:sz w:val="21"/>
          <w:szCs w:val="21"/>
        </w:rPr>
        <w:t>2.</w:t>
      </w:r>
      <w:r>
        <w:rPr>
          <w:rFonts w:hint="eastAsia" w:ascii="宋体" w:hAnsi="宋体" w:cs="宋体"/>
          <w:sz w:val="21"/>
          <w:szCs w:val="21"/>
        </w:rPr>
        <w:t>4工程规模：</w:t>
      </w:r>
    </w:p>
    <w:p>
      <w:pPr>
        <w:spacing w:line="480" w:lineRule="exact"/>
        <w:ind w:firstLine="420" w:firstLineChars="200"/>
        <w:rPr>
          <w:rFonts w:ascii="宋体" w:hAnsi="宋体" w:cs="宋体"/>
          <w:sz w:val="21"/>
          <w:szCs w:val="21"/>
        </w:rPr>
      </w:pPr>
      <w:r>
        <w:rPr>
          <w:rFonts w:hint="eastAsia" w:ascii="宋体" w:hAnsi="宋体" w:cs="宋体"/>
          <w:sz w:val="21"/>
          <w:szCs w:val="21"/>
        </w:rPr>
        <w:t>本次招标项目</w:t>
      </w:r>
      <w:r>
        <w:rPr>
          <w:rFonts w:hint="eastAsia" w:ascii="宋体"/>
          <w:sz w:val="21"/>
          <w:szCs w:val="21"/>
          <w:lang w:eastAsia="zh-CN"/>
        </w:rPr>
        <w:t>双牌县双红线服务区改造装修工程</w:t>
      </w:r>
      <w:r>
        <w:rPr>
          <w:rFonts w:hint="eastAsia" w:ascii="宋体" w:hAnsi="宋体" w:cs="宋体"/>
          <w:sz w:val="21"/>
          <w:szCs w:val="21"/>
        </w:rPr>
        <w:t>，工程总投资约</w:t>
      </w:r>
      <w:r>
        <w:rPr>
          <w:rFonts w:hint="eastAsia" w:ascii="宋体" w:hAnsi="宋体" w:cs="宋体"/>
          <w:sz w:val="21"/>
          <w:szCs w:val="21"/>
          <w:u w:val="single"/>
          <w:lang w:val="en-US" w:eastAsia="zh-CN"/>
        </w:rPr>
        <w:t>80.05</w:t>
      </w:r>
      <w:r>
        <w:rPr>
          <w:rFonts w:hint="eastAsia" w:ascii="宋体" w:hAnsi="宋体" w:cs="宋体"/>
          <w:sz w:val="21"/>
          <w:szCs w:val="21"/>
        </w:rPr>
        <w:t>万元。（</w:t>
      </w:r>
      <w:r>
        <w:rPr>
          <w:rFonts w:hint="eastAsia" w:ascii="宋体" w:hAnsi="宋体" w:cs="宋体"/>
          <w:sz w:val="21"/>
          <w:szCs w:val="21"/>
          <w:lang w:eastAsia="zh-CN"/>
        </w:rPr>
        <w:t>招标人可根据具体情况对项目进行调整</w:t>
      </w:r>
      <w:r>
        <w:rPr>
          <w:rFonts w:hint="eastAsia" w:ascii="宋体" w:hAnsi="宋体" w:cs="宋体"/>
          <w:sz w:val="21"/>
          <w:szCs w:val="21"/>
        </w:rPr>
        <w:t>）。</w:t>
      </w:r>
    </w:p>
    <w:p>
      <w:pPr>
        <w:tabs>
          <w:tab w:val="left" w:pos="6698"/>
        </w:tabs>
        <w:spacing w:line="480" w:lineRule="exact"/>
        <w:ind w:firstLine="420" w:firstLineChars="200"/>
        <w:rPr>
          <w:rFonts w:ascii="宋体" w:hAnsi="宋体" w:cs="宋体"/>
          <w:sz w:val="21"/>
          <w:szCs w:val="21"/>
          <w:highlight w:val="none"/>
        </w:rPr>
      </w:pPr>
      <w:r>
        <w:rPr>
          <w:rFonts w:ascii="宋体" w:hAnsi="宋体" w:cs="宋体"/>
          <w:sz w:val="21"/>
          <w:szCs w:val="21"/>
        </w:rPr>
        <w:t>2.</w:t>
      </w:r>
      <w:r>
        <w:rPr>
          <w:rFonts w:hint="eastAsia" w:ascii="宋体" w:hAnsi="宋体" w:cs="宋体"/>
          <w:sz w:val="21"/>
          <w:szCs w:val="21"/>
        </w:rPr>
        <w:t>5计划工</w:t>
      </w:r>
      <w:r>
        <w:rPr>
          <w:rFonts w:hint="eastAsia" w:ascii="宋体" w:hAnsi="宋体" w:cs="宋体"/>
          <w:sz w:val="21"/>
          <w:szCs w:val="21"/>
          <w:highlight w:val="none"/>
        </w:rPr>
        <w:t>期：</w:t>
      </w:r>
      <w:r>
        <w:rPr>
          <w:rFonts w:hint="eastAsia" w:ascii="宋体" w:hAnsi="宋体" w:cs="宋体"/>
          <w:sz w:val="21"/>
          <w:szCs w:val="21"/>
          <w:highlight w:val="none"/>
          <w:lang w:val="en-US" w:eastAsia="zh-CN"/>
        </w:rPr>
        <w:t>2</w:t>
      </w:r>
      <w:r>
        <w:rPr>
          <w:rFonts w:hint="eastAsia" w:ascii="宋体" w:hAnsi="宋体" w:cs="宋体"/>
          <w:sz w:val="21"/>
          <w:szCs w:val="21"/>
          <w:highlight w:val="none"/>
        </w:rPr>
        <w:t>个月（自开工之日起）。</w:t>
      </w:r>
      <w:r>
        <w:rPr>
          <w:rFonts w:ascii="宋体" w:hAnsi="宋体" w:cs="宋体"/>
          <w:sz w:val="21"/>
          <w:szCs w:val="21"/>
          <w:highlight w:val="none"/>
        </w:rPr>
        <w:tab/>
      </w:r>
    </w:p>
    <w:p>
      <w:pPr>
        <w:spacing w:line="480" w:lineRule="exact"/>
        <w:ind w:firstLine="420" w:firstLineChars="200"/>
        <w:rPr>
          <w:rFonts w:ascii="宋体" w:hAnsi="宋体" w:cs="宋体"/>
          <w:sz w:val="21"/>
          <w:szCs w:val="21"/>
          <w:highlight w:val="none"/>
        </w:rPr>
      </w:pPr>
      <w:r>
        <w:rPr>
          <w:rFonts w:hint="eastAsia" w:ascii="宋体" w:hAnsi="宋体" w:cs="宋体"/>
          <w:sz w:val="21"/>
          <w:szCs w:val="21"/>
          <w:highlight w:val="none"/>
        </w:rPr>
        <w:t>2.6缺陷责任期：1年。</w:t>
      </w:r>
    </w:p>
    <w:p>
      <w:pPr>
        <w:spacing w:line="480" w:lineRule="exact"/>
        <w:ind w:firstLine="420" w:firstLineChars="200"/>
        <w:rPr>
          <w:rFonts w:ascii="宋体" w:hAnsi="宋体" w:cs="宋体"/>
          <w:sz w:val="21"/>
          <w:szCs w:val="21"/>
          <w:highlight w:val="none"/>
        </w:rPr>
      </w:pPr>
      <w:r>
        <w:rPr>
          <w:rFonts w:hint="eastAsia" w:ascii="宋体" w:hAnsi="宋体" w:cs="宋体"/>
          <w:sz w:val="21"/>
          <w:szCs w:val="21"/>
          <w:highlight w:val="none"/>
        </w:rPr>
        <w:t>2.6保修期: 2年。</w:t>
      </w:r>
    </w:p>
    <w:p>
      <w:pPr>
        <w:spacing w:line="480" w:lineRule="exact"/>
        <w:ind w:firstLine="420" w:firstLineChars="200"/>
        <w:rPr>
          <w:rFonts w:ascii="宋体" w:hAnsi="宋体" w:cs="宋体"/>
          <w:sz w:val="21"/>
          <w:szCs w:val="21"/>
        </w:rPr>
      </w:pPr>
      <w:r>
        <w:rPr>
          <w:rFonts w:hint="eastAsia" w:ascii="宋体" w:hAnsi="宋体" w:cs="宋体"/>
          <w:sz w:val="21"/>
          <w:szCs w:val="21"/>
        </w:rPr>
        <w:t>2.7 质量要求：合格工程。</w:t>
      </w:r>
    </w:p>
    <w:p>
      <w:pPr>
        <w:spacing w:line="480" w:lineRule="exact"/>
        <w:ind w:firstLine="420" w:firstLineChars="200"/>
        <w:rPr>
          <w:rFonts w:ascii="宋体" w:hAnsi="宋体" w:cs="宋体"/>
          <w:sz w:val="21"/>
          <w:szCs w:val="21"/>
        </w:rPr>
      </w:pPr>
      <w:r>
        <w:rPr>
          <w:rFonts w:ascii="宋体" w:hAnsi="宋体" w:cs="宋体"/>
          <w:sz w:val="21"/>
          <w:szCs w:val="21"/>
        </w:rPr>
        <w:t>2.</w:t>
      </w:r>
      <w:r>
        <w:rPr>
          <w:rFonts w:hint="eastAsia" w:ascii="宋体" w:hAnsi="宋体" w:cs="宋体"/>
          <w:sz w:val="21"/>
          <w:szCs w:val="21"/>
        </w:rPr>
        <w:t>8合同段划分：/。</w:t>
      </w:r>
    </w:p>
    <w:p>
      <w:pPr>
        <w:spacing w:line="480" w:lineRule="exact"/>
        <w:ind w:firstLine="420" w:firstLineChars="200"/>
        <w:rPr>
          <w:rFonts w:ascii="宋体" w:hAnsi="宋体" w:cs="宋体"/>
          <w:sz w:val="21"/>
          <w:szCs w:val="21"/>
        </w:rPr>
      </w:pPr>
      <w:r>
        <w:rPr>
          <w:rFonts w:hint="eastAsia" w:ascii="宋体" w:hAnsi="宋体" w:cs="宋体"/>
          <w:sz w:val="21"/>
          <w:szCs w:val="21"/>
        </w:rPr>
        <w:t>2.9招标范围：</w:t>
      </w:r>
      <w:r>
        <w:rPr>
          <w:rFonts w:hint="eastAsia" w:ascii="宋体"/>
          <w:sz w:val="21"/>
          <w:szCs w:val="21"/>
          <w:lang w:eastAsia="zh-CN"/>
        </w:rPr>
        <w:t>双牌县双红线服务区改造装修工程</w:t>
      </w:r>
      <w:r>
        <w:rPr>
          <w:rFonts w:hint="eastAsia" w:ascii="宋体" w:hAnsi="宋体" w:cs="宋体"/>
          <w:sz w:val="21"/>
          <w:szCs w:val="21"/>
        </w:rPr>
        <w:t>，具体详见施工设计文件和工程量清单。</w:t>
      </w:r>
    </w:p>
    <w:p>
      <w:pPr>
        <w:spacing w:line="480" w:lineRule="exact"/>
        <w:rPr>
          <w:rFonts w:ascii="宋体" w:hAnsi="宋体" w:cs="黑体"/>
          <w:b/>
          <w:sz w:val="21"/>
          <w:szCs w:val="21"/>
        </w:rPr>
      </w:pPr>
      <w:r>
        <w:rPr>
          <w:rFonts w:hint="eastAsia" w:ascii="宋体" w:hAnsi="宋体" w:cs="黑体"/>
          <w:b/>
          <w:sz w:val="21"/>
          <w:szCs w:val="21"/>
        </w:rPr>
        <w:t>3、</w:t>
      </w:r>
      <w:r>
        <w:rPr>
          <w:rFonts w:hint="eastAsia" w:ascii="宋体" w:hAnsi="宋体" w:cs="黑体"/>
          <w:b/>
          <w:sz w:val="21"/>
          <w:szCs w:val="21"/>
          <w:lang w:eastAsia="zh-CN"/>
        </w:rPr>
        <w:t>交易响应单位</w:t>
      </w:r>
      <w:r>
        <w:rPr>
          <w:rFonts w:hint="eastAsia" w:ascii="宋体" w:hAnsi="宋体" w:cs="黑体"/>
          <w:b/>
          <w:sz w:val="21"/>
          <w:szCs w:val="21"/>
        </w:rPr>
        <w:t>资格要求</w:t>
      </w:r>
    </w:p>
    <w:p>
      <w:pPr>
        <w:spacing w:line="480" w:lineRule="exact"/>
        <w:ind w:firstLine="420" w:firstLineChars="200"/>
        <w:rPr>
          <w:rFonts w:ascii="宋体" w:hAnsi="宋体" w:cs="宋体"/>
          <w:sz w:val="21"/>
          <w:szCs w:val="21"/>
        </w:rPr>
      </w:pPr>
      <w:r>
        <w:rPr>
          <w:rFonts w:ascii="宋体" w:hAnsi="宋体"/>
          <w:sz w:val="21"/>
          <w:szCs w:val="21"/>
        </w:rPr>
        <w:t>3</w:t>
      </w:r>
      <w:r>
        <w:rPr>
          <w:rFonts w:ascii="宋体" w:hAnsi="宋体" w:cs="宋体"/>
          <w:sz w:val="21"/>
          <w:szCs w:val="21"/>
        </w:rPr>
        <w:t>.1</w:t>
      </w:r>
      <w:r>
        <w:rPr>
          <w:rFonts w:hint="eastAsia" w:ascii="宋体" w:hAnsi="宋体" w:cs="宋体"/>
          <w:sz w:val="21"/>
          <w:szCs w:val="21"/>
        </w:rPr>
        <w:t>本次招标要求</w:t>
      </w:r>
      <w:r>
        <w:rPr>
          <w:rFonts w:hint="eastAsia" w:ascii="宋体" w:hAnsi="宋体" w:cs="宋体"/>
          <w:sz w:val="21"/>
          <w:szCs w:val="21"/>
          <w:lang w:eastAsia="zh-CN"/>
        </w:rPr>
        <w:t>交易响应单位</w:t>
      </w:r>
      <w:r>
        <w:rPr>
          <w:rFonts w:hint="eastAsia" w:ascii="宋体" w:hAnsi="宋体" w:cs="宋体"/>
          <w:sz w:val="21"/>
          <w:szCs w:val="21"/>
        </w:rPr>
        <w:t>具备有效的营业执照、安全生产许可证（按照“三证合一”或“五证合一”登记制度进行登记的，可仅提供营业执照副本），同时具有建设行政主管部门颁发的</w:t>
      </w:r>
      <w:r>
        <w:rPr>
          <w:rFonts w:hint="eastAsia" w:ascii="宋体" w:hAnsi="宋体" w:cs="宋体"/>
          <w:b/>
          <w:sz w:val="21"/>
          <w:szCs w:val="21"/>
          <w:lang w:eastAsia="zh-CN"/>
        </w:rPr>
        <w:t>公路工程施工总承包叁级及以上</w:t>
      </w:r>
      <w:r>
        <w:rPr>
          <w:rFonts w:hint="eastAsia" w:ascii="宋体" w:hAnsi="宋体" w:cs="宋体"/>
          <w:sz w:val="21"/>
          <w:szCs w:val="21"/>
        </w:rPr>
        <w:t>并在人员、设备、资金等方面具有相应的施工能力；湖南省外企业须按照省住房和城乡建设厅湘建建</w:t>
      </w:r>
      <w:r>
        <w:rPr>
          <w:rFonts w:ascii="宋体" w:hAnsi="宋体" w:cs="宋体"/>
          <w:sz w:val="21"/>
          <w:szCs w:val="21"/>
        </w:rPr>
        <w:t>[2015]190</w:t>
      </w:r>
      <w:r>
        <w:rPr>
          <w:rFonts w:hint="eastAsia" w:ascii="宋体" w:hAnsi="宋体" w:cs="宋体"/>
          <w:sz w:val="21"/>
          <w:szCs w:val="21"/>
        </w:rPr>
        <w:t>号文件要求办理入湘备案手续（以“湖南省住房和城乡建设网”查询为准）或具有有效的入湘施工登记证。</w:t>
      </w:r>
      <w:r>
        <w:rPr>
          <w:rFonts w:hint="eastAsia" w:ascii="宋体" w:hAnsi="宋体" w:cs="宋体"/>
          <w:sz w:val="21"/>
          <w:szCs w:val="21"/>
          <w:lang w:eastAsia="zh-CN"/>
        </w:rPr>
        <w:t>交易响应单位应在</w:t>
      </w:r>
      <w:r>
        <w:rPr>
          <w:rFonts w:hint="eastAsia" w:ascii="宋体" w:hAnsi="宋体" w:eastAsia="宋体" w:cs="Times New Roman"/>
          <w:kern w:val="2"/>
          <w:sz w:val="21"/>
          <w:szCs w:val="21"/>
          <w:lang w:val="en-US" w:eastAsia="zh-CN" w:bidi="ar-SA"/>
        </w:rPr>
        <w:t>全国公路建设市场信用信息管理系统或湖南省公路建设市场信用信息管理系统中查询到企业业绩信息</w:t>
      </w:r>
    </w:p>
    <w:p>
      <w:pPr>
        <w:spacing w:line="480" w:lineRule="exact"/>
        <w:ind w:firstLine="420" w:firstLineChars="200"/>
        <w:rPr>
          <w:rFonts w:ascii="宋体" w:hAnsi="宋体" w:cs="宋体"/>
          <w:sz w:val="21"/>
          <w:szCs w:val="21"/>
        </w:rPr>
      </w:pPr>
      <w:r>
        <w:rPr>
          <w:rFonts w:hint="eastAsia" w:ascii="宋体" w:hAnsi="宋体" w:cs="宋体"/>
          <w:sz w:val="21"/>
          <w:szCs w:val="21"/>
        </w:rPr>
        <w:t>3.</w:t>
      </w:r>
      <w:r>
        <w:rPr>
          <w:rFonts w:hint="eastAsia" w:ascii="宋体" w:hAnsi="宋体" w:cs="宋体"/>
          <w:sz w:val="21"/>
          <w:szCs w:val="21"/>
          <w:lang w:val="en-US" w:eastAsia="zh-CN"/>
        </w:rPr>
        <w:t>2</w:t>
      </w:r>
      <w:r>
        <w:rPr>
          <w:rFonts w:hint="eastAsia" w:ascii="宋体" w:hAnsi="宋体" w:cs="宋体"/>
          <w:sz w:val="21"/>
          <w:szCs w:val="21"/>
        </w:rPr>
        <w:t>财务要求：</w:t>
      </w:r>
      <w:r>
        <w:rPr>
          <w:rFonts w:hint="eastAsia" w:ascii="宋体" w:hAnsi="宋体" w:cs="宋体"/>
          <w:sz w:val="21"/>
          <w:szCs w:val="21"/>
          <w:lang w:eastAsia="zh-CN"/>
        </w:rPr>
        <w:t>交易响应单位</w:t>
      </w:r>
      <w:r>
        <w:rPr>
          <w:rFonts w:hint="eastAsia" w:ascii="宋体" w:hAnsi="宋体" w:cs="宋体"/>
          <w:sz w:val="21"/>
          <w:szCs w:val="21"/>
        </w:rPr>
        <w:t>须提交</w:t>
      </w:r>
      <w:r>
        <w:rPr>
          <w:rFonts w:ascii="宋体" w:hAnsi="宋体" w:cs="宋体"/>
          <w:sz w:val="21"/>
          <w:szCs w:val="21"/>
        </w:rPr>
        <w:t>近</w:t>
      </w:r>
      <w:r>
        <w:rPr>
          <w:rFonts w:hint="eastAsia" w:ascii="宋体" w:hAnsi="宋体" w:cs="宋体"/>
          <w:sz w:val="21"/>
          <w:szCs w:val="21"/>
        </w:rPr>
        <w:t>三</w:t>
      </w:r>
      <w:r>
        <w:rPr>
          <w:rFonts w:ascii="宋体" w:hAnsi="宋体" w:cs="宋体"/>
          <w:sz w:val="21"/>
          <w:szCs w:val="21"/>
        </w:rPr>
        <w:t>年</w:t>
      </w:r>
      <w:r>
        <w:rPr>
          <w:rFonts w:hint="eastAsia" w:ascii="宋体" w:hAnsi="宋体" w:cs="宋体"/>
          <w:sz w:val="21"/>
          <w:szCs w:val="21"/>
        </w:rPr>
        <w:t>（</w:t>
      </w:r>
      <w:r>
        <w:rPr>
          <w:rFonts w:hint="eastAsia" w:ascii="宋体" w:hAnsi="宋体" w:cs="宋体"/>
          <w:sz w:val="21"/>
          <w:szCs w:val="21"/>
          <w:lang w:eastAsia="zh-CN"/>
        </w:rPr>
        <w:t>2016年—2018年</w:t>
      </w:r>
      <w:r>
        <w:rPr>
          <w:rFonts w:hint="eastAsia" w:ascii="宋体" w:hAnsi="宋体" w:cs="宋体"/>
          <w:sz w:val="21"/>
          <w:szCs w:val="21"/>
        </w:rPr>
        <w:t>）经会计事务所</w:t>
      </w:r>
      <w:r>
        <w:rPr>
          <w:rFonts w:ascii="宋体" w:hAnsi="宋体" w:cs="宋体"/>
          <w:sz w:val="21"/>
          <w:szCs w:val="21"/>
        </w:rPr>
        <w:t>或</w:t>
      </w:r>
      <w:r>
        <w:rPr>
          <w:rFonts w:hint="eastAsia" w:ascii="宋体" w:hAnsi="宋体" w:cs="宋体"/>
          <w:sz w:val="21"/>
          <w:szCs w:val="21"/>
        </w:rPr>
        <w:t>审计机构审计</w:t>
      </w:r>
      <w:r>
        <w:rPr>
          <w:rFonts w:ascii="宋体" w:hAnsi="宋体" w:cs="宋体"/>
          <w:sz w:val="21"/>
          <w:szCs w:val="21"/>
        </w:rPr>
        <w:t>的财务</w:t>
      </w:r>
      <w:r>
        <w:rPr>
          <w:rFonts w:hint="eastAsia" w:ascii="宋体" w:hAnsi="宋体" w:cs="宋体"/>
          <w:sz w:val="21"/>
          <w:szCs w:val="21"/>
        </w:rPr>
        <w:t>会计</w:t>
      </w:r>
      <w:r>
        <w:rPr>
          <w:rFonts w:ascii="宋体" w:hAnsi="宋体" w:cs="宋体"/>
          <w:sz w:val="21"/>
          <w:szCs w:val="21"/>
        </w:rPr>
        <w:t>报告，包括</w:t>
      </w:r>
      <w:r>
        <w:rPr>
          <w:rFonts w:hint="eastAsia" w:ascii="宋体" w:hAnsi="宋体" w:cs="宋体"/>
          <w:sz w:val="21"/>
          <w:szCs w:val="21"/>
        </w:rPr>
        <w:t>利润表、</w:t>
      </w:r>
      <w:r>
        <w:rPr>
          <w:rFonts w:ascii="宋体" w:hAnsi="宋体" w:cs="宋体"/>
          <w:sz w:val="21"/>
          <w:szCs w:val="21"/>
        </w:rPr>
        <w:t>损益表、现金流量表、资产负债表</w:t>
      </w:r>
      <w:r>
        <w:rPr>
          <w:rFonts w:hint="eastAsia" w:ascii="宋体" w:hAnsi="宋体" w:cs="宋体"/>
          <w:sz w:val="21"/>
          <w:szCs w:val="21"/>
        </w:rPr>
        <w:t>、财务情况说明书</w:t>
      </w:r>
      <w:r>
        <w:rPr>
          <w:rFonts w:ascii="宋体" w:hAnsi="宋体" w:cs="宋体"/>
          <w:sz w:val="21"/>
          <w:szCs w:val="21"/>
        </w:rPr>
        <w:t>及</w:t>
      </w:r>
      <w:r>
        <w:rPr>
          <w:rFonts w:ascii="宋体" w:hAnsi="宋体"/>
          <w:sz w:val="21"/>
          <w:szCs w:val="21"/>
          <w:lang w:val="zh-CN"/>
        </w:rPr>
        <w:t>其它财务资料。</w:t>
      </w:r>
    </w:p>
    <w:p>
      <w:pPr>
        <w:keepNext w:val="0"/>
        <w:keepLines w:val="0"/>
        <w:pageBreakBefore w:val="0"/>
        <w:widowControl w:val="0"/>
        <w:kinsoku/>
        <w:wordWrap/>
        <w:overflowPunct/>
        <w:topLinePunct w:val="0"/>
        <w:bidi w:val="0"/>
        <w:snapToGrid/>
        <w:spacing w:line="460" w:lineRule="exact"/>
        <w:ind w:firstLine="420" w:firstLineChars="200"/>
        <w:rPr>
          <w:rFonts w:hint="eastAsia" w:ascii="宋体" w:hAnsi="宋体" w:cs="宋体"/>
          <w:color w:val="000000" w:themeColor="text1"/>
          <w:sz w:val="21"/>
          <w:szCs w:val="21"/>
          <w14:textFill>
            <w14:solidFill>
              <w14:schemeClr w14:val="tx1"/>
            </w14:solidFill>
          </w14:textFill>
        </w:rPr>
      </w:pPr>
      <w:r>
        <w:rPr>
          <w:rFonts w:ascii="宋体" w:hAnsi="宋体" w:cs="宋体"/>
          <w:sz w:val="21"/>
          <w:szCs w:val="21"/>
        </w:rPr>
        <w:t>3.</w:t>
      </w:r>
      <w:r>
        <w:rPr>
          <w:rFonts w:hint="eastAsia" w:ascii="宋体" w:hAnsi="宋体" w:cs="宋体"/>
          <w:sz w:val="21"/>
          <w:szCs w:val="21"/>
          <w:lang w:val="en-US" w:eastAsia="zh-CN"/>
        </w:rPr>
        <w:t>3</w:t>
      </w:r>
      <w:r>
        <w:rPr>
          <w:rFonts w:hint="eastAsia" w:ascii="宋体" w:hAnsi="宋体" w:cs="宋体"/>
          <w:sz w:val="21"/>
          <w:szCs w:val="21"/>
        </w:rPr>
        <w:t>主要人员要求：拟任本项目的项目经理须具有</w:t>
      </w:r>
      <w:r>
        <w:rPr>
          <w:rFonts w:hint="eastAsia" w:ascii="宋体" w:hAnsi="宋体" w:eastAsia="宋体" w:cs="宋体"/>
          <w:kern w:val="2"/>
          <w:sz w:val="21"/>
          <w:szCs w:val="21"/>
          <w:shd w:val="clear" w:fill="FFFFFF"/>
          <w:lang w:val="en-US" w:eastAsia="zh-CN" w:bidi="ar"/>
        </w:rPr>
        <w:t>公路工程二级及以上注册建造师执业资格及有效的B类安全生产考核合格证书</w:t>
      </w:r>
      <w:r>
        <w:rPr>
          <w:rFonts w:hint="eastAsia" w:ascii="宋体" w:hAnsi="宋体" w:cs="宋体"/>
          <w:kern w:val="2"/>
          <w:sz w:val="21"/>
          <w:szCs w:val="21"/>
          <w:shd w:val="clear" w:fill="FFFFFF"/>
          <w:lang w:val="en-US" w:eastAsia="zh-CN" w:bidi="ar"/>
        </w:rPr>
        <w:t>。</w:t>
      </w:r>
      <w:r>
        <w:rPr>
          <w:rFonts w:hint="eastAsia" w:ascii="宋体" w:hAnsi="宋体" w:cs="宋体"/>
          <w:color w:val="000000" w:themeColor="text1"/>
          <w:sz w:val="21"/>
          <w:szCs w:val="21"/>
          <w14:textFill>
            <w14:solidFill>
              <w14:schemeClr w14:val="tx1"/>
            </w14:solidFill>
          </w14:textFill>
        </w:rPr>
        <w:t>拟任本项目的</w:t>
      </w:r>
      <w:r>
        <w:rPr>
          <w:rFonts w:hint="eastAsia" w:ascii="宋体" w:hAnsi="宋体" w:cs="宋体"/>
          <w:color w:val="000000" w:themeColor="text1"/>
          <w:sz w:val="21"/>
          <w:szCs w:val="21"/>
          <w:lang w:eastAsia="zh-CN"/>
          <w14:textFill>
            <w14:solidFill>
              <w14:schemeClr w14:val="tx1"/>
            </w14:solidFill>
          </w14:textFill>
        </w:rPr>
        <w:t>总工程师</w:t>
      </w:r>
      <w:r>
        <w:rPr>
          <w:rFonts w:hint="eastAsia" w:ascii="宋体" w:hAnsi="宋体" w:cs="宋体"/>
          <w:color w:val="000000" w:themeColor="text1"/>
          <w:sz w:val="21"/>
          <w:szCs w:val="21"/>
          <w14:textFill>
            <w14:solidFill>
              <w14:schemeClr w14:val="tx1"/>
            </w14:solidFill>
          </w14:textFill>
        </w:rPr>
        <w:t>须具有</w:t>
      </w:r>
      <w:r>
        <w:rPr>
          <w:rFonts w:hint="eastAsia" w:ascii="宋体" w:hAnsi="宋体" w:cs="宋体"/>
          <w:b/>
          <w:bCs/>
          <w:color w:val="000000" w:themeColor="text1"/>
          <w:sz w:val="21"/>
          <w:szCs w:val="21"/>
          <w:lang w:eastAsia="zh-CN"/>
          <w14:textFill>
            <w14:solidFill>
              <w14:schemeClr w14:val="tx1"/>
            </w14:solidFill>
          </w14:textFill>
        </w:rPr>
        <w:t>公路工程相关专业中级以上职称</w:t>
      </w:r>
      <w:r>
        <w:rPr>
          <w:rFonts w:hint="eastAsia" w:ascii="宋体" w:hAnsi="宋体" w:cs="宋体"/>
          <w:color w:val="000000" w:themeColor="text1"/>
          <w:sz w:val="21"/>
          <w:szCs w:val="21"/>
          <w14:textFill>
            <w14:solidFill>
              <w14:schemeClr w14:val="tx1"/>
            </w14:solidFill>
          </w14:textFill>
        </w:rPr>
        <w:t>。项目经理及</w:t>
      </w:r>
      <w:r>
        <w:rPr>
          <w:rFonts w:hint="eastAsia" w:ascii="宋体" w:hAnsi="宋体" w:cs="宋体"/>
          <w:color w:val="000000" w:themeColor="text1"/>
          <w:sz w:val="21"/>
          <w:szCs w:val="21"/>
          <w:lang w:eastAsia="zh-CN"/>
          <w14:textFill>
            <w14:solidFill>
              <w14:schemeClr w14:val="tx1"/>
            </w14:solidFill>
          </w14:textFill>
        </w:rPr>
        <w:t>总工程师</w:t>
      </w:r>
      <w:r>
        <w:rPr>
          <w:rFonts w:hint="eastAsia" w:ascii="宋体" w:hAnsi="宋体" w:cs="宋体"/>
          <w:color w:val="000000" w:themeColor="text1"/>
          <w:sz w:val="21"/>
          <w:szCs w:val="21"/>
          <w14:textFill>
            <w14:solidFill>
              <w14:schemeClr w14:val="tx1"/>
            </w14:solidFill>
          </w14:textFill>
        </w:rPr>
        <w:t>均须为</w:t>
      </w:r>
      <w:r>
        <w:rPr>
          <w:rFonts w:hint="eastAsia" w:ascii="宋体" w:hAnsi="宋体" w:cs="宋体"/>
          <w:color w:val="000000" w:themeColor="text1"/>
          <w:sz w:val="21"/>
          <w:szCs w:val="21"/>
          <w:lang w:eastAsia="zh-CN"/>
          <w14:textFill>
            <w14:solidFill>
              <w14:schemeClr w14:val="tx1"/>
            </w14:solidFill>
          </w14:textFill>
        </w:rPr>
        <w:t>交易响应单位</w:t>
      </w:r>
      <w:r>
        <w:rPr>
          <w:rFonts w:hint="eastAsia" w:ascii="宋体" w:hAnsi="宋体" w:cs="宋体"/>
          <w:color w:val="000000" w:themeColor="text1"/>
          <w:sz w:val="21"/>
          <w:szCs w:val="21"/>
          <w14:textFill>
            <w14:solidFill>
              <w14:schemeClr w14:val="tx1"/>
            </w14:solidFill>
          </w14:textFill>
        </w:rPr>
        <w:t>企业员工，</w:t>
      </w:r>
      <w:r>
        <w:rPr>
          <w:rFonts w:hint="eastAsia" w:ascii="宋体" w:hAnsi="宋体"/>
          <w:color w:val="000000" w:themeColor="text1"/>
          <w:sz w:val="21"/>
          <w:szCs w:val="21"/>
          <w14:textFill>
            <w14:solidFill>
              <w14:schemeClr w14:val="tx1"/>
            </w14:solidFill>
          </w14:textFill>
        </w:rPr>
        <w:t>提供最近</w:t>
      </w:r>
      <w:r>
        <w:rPr>
          <w:rFonts w:hint="eastAsia" w:ascii="宋体" w:hAnsi="宋体"/>
          <w:color w:val="000000" w:themeColor="text1"/>
          <w:sz w:val="21"/>
          <w:szCs w:val="21"/>
          <w:lang w:eastAsia="zh-CN"/>
          <w14:textFill>
            <w14:solidFill>
              <w14:schemeClr w14:val="tx1"/>
            </w14:solidFill>
          </w14:textFill>
        </w:rPr>
        <w:t>2019年4月1日起连续六个</w:t>
      </w:r>
      <w:r>
        <w:rPr>
          <w:rFonts w:hint="eastAsia" w:ascii="宋体" w:hAnsi="宋体"/>
          <w:color w:val="000000" w:themeColor="text1"/>
          <w:sz w:val="21"/>
          <w:szCs w:val="21"/>
          <w14:textFill>
            <w14:solidFill>
              <w14:schemeClr w14:val="tx1"/>
            </w14:solidFill>
          </w14:textFill>
        </w:rPr>
        <w:t>月的社保缴费证明并加盖缴费证明专用章或社保机构出具的拟任项目经理和</w:t>
      </w:r>
      <w:r>
        <w:rPr>
          <w:rFonts w:hint="eastAsia" w:ascii="宋体" w:hAnsi="宋体"/>
          <w:color w:val="000000" w:themeColor="text1"/>
          <w:sz w:val="21"/>
          <w:szCs w:val="21"/>
          <w:lang w:eastAsia="zh-CN"/>
          <w14:textFill>
            <w14:solidFill>
              <w14:schemeClr w14:val="tx1"/>
            </w14:solidFill>
          </w14:textFill>
        </w:rPr>
        <w:t>总工程师</w:t>
      </w:r>
      <w:r>
        <w:rPr>
          <w:rFonts w:hint="eastAsia" w:ascii="宋体" w:hAnsi="宋体"/>
          <w:color w:val="000000" w:themeColor="text1"/>
          <w:sz w:val="21"/>
          <w:szCs w:val="21"/>
          <w14:textFill>
            <w14:solidFill>
              <w14:schemeClr w14:val="tx1"/>
            </w14:solidFill>
          </w14:textFill>
        </w:rPr>
        <w:t>参加社保的有效证明材料并加盖社保机构单位章。</w:t>
      </w:r>
      <w:r>
        <w:rPr>
          <w:rFonts w:hint="eastAsia" w:ascii="宋体" w:hAnsi="宋体" w:cs="宋体"/>
          <w:color w:val="000000" w:themeColor="text1"/>
          <w:sz w:val="21"/>
          <w:szCs w:val="21"/>
          <w14:textFill>
            <w14:solidFill>
              <w14:schemeClr w14:val="tx1"/>
            </w14:solidFill>
          </w14:textFill>
        </w:rPr>
        <w:t>项目经理及</w:t>
      </w:r>
      <w:r>
        <w:rPr>
          <w:rFonts w:hint="eastAsia" w:ascii="宋体" w:hAnsi="宋体" w:cs="宋体"/>
          <w:color w:val="000000" w:themeColor="text1"/>
          <w:sz w:val="21"/>
          <w:szCs w:val="21"/>
          <w:lang w:eastAsia="zh-CN"/>
          <w14:textFill>
            <w14:solidFill>
              <w14:schemeClr w14:val="tx1"/>
            </w14:solidFill>
          </w14:textFill>
        </w:rPr>
        <w:t>总工程师</w:t>
      </w:r>
      <w:r>
        <w:rPr>
          <w:rFonts w:hint="eastAsia" w:ascii="宋体" w:hAnsi="宋体" w:cs="宋体"/>
          <w:color w:val="000000" w:themeColor="text1"/>
          <w:sz w:val="21"/>
          <w:szCs w:val="21"/>
          <w14:textFill>
            <w14:solidFill>
              <w14:schemeClr w14:val="tx1"/>
            </w14:solidFill>
          </w14:textFill>
        </w:rPr>
        <w:t>均无在建项目。</w:t>
      </w:r>
    </w:p>
    <w:p>
      <w:pPr>
        <w:pStyle w:val="15"/>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3.4业绩要求：投标人近</w:t>
      </w:r>
      <w:r>
        <w:rPr>
          <w:rFonts w:hint="eastAsia" w:ascii="宋体" w:hAnsi="宋体" w:cs="Times New Roman"/>
          <w:kern w:val="2"/>
          <w:sz w:val="21"/>
          <w:szCs w:val="21"/>
          <w:lang w:val="en-US" w:eastAsia="zh-CN" w:bidi="ar-SA"/>
        </w:rPr>
        <w:t>3</w:t>
      </w:r>
      <w:r>
        <w:rPr>
          <w:rFonts w:hint="eastAsia" w:ascii="宋体" w:hAnsi="宋体" w:eastAsia="宋体" w:cs="Times New Roman"/>
          <w:kern w:val="2"/>
          <w:sz w:val="21"/>
          <w:szCs w:val="21"/>
          <w:lang w:val="en-US" w:eastAsia="zh-CN" w:bidi="ar-SA"/>
        </w:rPr>
        <w:t>年（投标截止前</w:t>
      </w:r>
      <w:r>
        <w:rPr>
          <w:rFonts w:hint="eastAsia" w:ascii="宋体" w:hAnsi="宋体" w:cs="Times New Roman"/>
          <w:kern w:val="2"/>
          <w:sz w:val="21"/>
          <w:szCs w:val="21"/>
          <w:lang w:val="en-US" w:eastAsia="zh-CN" w:bidi="ar-SA"/>
        </w:rPr>
        <w:t>36</w:t>
      </w:r>
      <w:r>
        <w:rPr>
          <w:rFonts w:hint="eastAsia" w:ascii="宋体" w:hAnsi="宋体" w:eastAsia="宋体" w:cs="Times New Roman"/>
          <w:kern w:val="2"/>
          <w:sz w:val="21"/>
          <w:szCs w:val="21"/>
          <w:lang w:val="en-US" w:eastAsia="zh-CN" w:bidi="ar-SA"/>
        </w:rPr>
        <w:t>个月之前交（竣）工验收合格止）内，至少独立地完成过</w:t>
      </w:r>
      <w:r>
        <w:rPr>
          <w:rFonts w:hint="eastAsia" w:ascii="宋体" w:hAnsi="宋体" w:cs="Times New Roman"/>
          <w:kern w:val="2"/>
          <w:sz w:val="21"/>
          <w:szCs w:val="21"/>
          <w:lang w:val="en-US" w:eastAsia="zh-CN" w:bidi="ar-SA"/>
        </w:rPr>
        <w:t>一</w:t>
      </w:r>
      <w:r>
        <w:rPr>
          <w:rFonts w:hint="eastAsia" w:ascii="宋体" w:hAnsi="宋体" w:eastAsia="宋体" w:cs="Times New Roman"/>
          <w:kern w:val="2"/>
          <w:sz w:val="21"/>
          <w:szCs w:val="21"/>
          <w:lang w:val="en-US" w:eastAsia="zh-CN" w:bidi="ar-SA"/>
        </w:rPr>
        <w:t>项类似工程合同额80万元及以上四级及以上等级公路。内容以全国公路建设市场信用信息管理系统或湖南省公路建设市场信用信息管理系统中查询到企业业绩信息相关项目为准。</w:t>
      </w:r>
    </w:p>
    <w:p>
      <w:pPr>
        <w:spacing w:line="480" w:lineRule="exact"/>
        <w:ind w:firstLine="420" w:firstLineChars="200"/>
        <w:rPr>
          <w:rFonts w:hint="eastAsia" w:ascii="宋体" w:hAnsi="宋体" w:cs="Times New Roman"/>
          <w:sz w:val="21"/>
          <w:szCs w:val="21"/>
          <w:lang w:val="zh-CN"/>
        </w:rPr>
      </w:pPr>
      <w:r>
        <w:rPr>
          <w:rFonts w:hint="eastAsia" w:ascii="宋体" w:hAnsi="宋体" w:eastAsia="宋体" w:cs="Times New Roman"/>
          <w:kern w:val="2"/>
          <w:sz w:val="21"/>
          <w:szCs w:val="21"/>
          <w:lang w:val="en-US" w:eastAsia="zh-CN" w:bidi="ar-SA"/>
        </w:rPr>
        <w:t>3.</w:t>
      </w:r>
      <w:r>
        <w:rPr>
          <w:rFonts w:hint="eastAsia" w:ascii="宋体" w:hAnsi="宋体" w:cs="Times New Roman"/>
          <w:kern w:val="2"/>
          <w:sz w:val="21"/>
          <w:szCs w:val="21"/>
          <w:lang w:val="en-US" w:eastAsia="zh-CN" w:bidi="ar-SA"/>
        </w:rPr>
        <w:t>5本次交易不接受被湖南省交通运输主管部门评为2018年度D级、连续两年（2017年和2018年）评为C级、连续三年（2016～2018）评为B级及以下信用等级的交易响应单位交易。</w:t>
      </w:r>
    </w:p>
    <w:p>
      <w:pPr>
        <w:spacing w:line="480" w:lineRule="exact"/>
        <w:ind w:firstLine="420" w:firstLineChars="200"/>
        <w:rPr>
          <w:rFonts w:hint="eastAsia" w:ascii="宋体" w:hAnsi="宋体" w:cs="Times New Roman"/>
          <w:sz w:val="21"/>
          <w:szCs w:val="21"/>
        </w:rPr>
      </w:pPr>
      <w:r>
        <w:rPr>
          <w:rFonts w:hint="eastAsia" w:ascii="宋体" w:hAnsi="宋体" w:cs="Times New Roman"/>
          <w:sz w:val="21"/>
          <w:szCs w:val="21"/>
        </w:rPr>
        <w:t>3</w:t>
      </w:r>
      <w:r>
        <w:rPr>
          <w:rFonts w:hint="eastAsia" w:ascii="宋体" w:hAnsi="宋体" w:cs="Times New Roman"/>
          <w:sz w:val="21"/>
          <w:szCs w:val="21"/>
          <w:lang w:val="zh-CN"/>
        </w:rPr>
        <w:t>.</w:t>
      </w:r>
      <w:r>
        <w:rPr>
          <w:rFonts w:hint="eastAsia" w:ascii="宋体" w:hAnsi="宋体" w:cs="Times New Roman"/>
          <w:sz w:val="21"/>
          <w:szCs w:val="21"/>
          <w:lang w:val="en-US" w:eastAsia="zh-CN"/>
        </w:rPr>
        <w:t>6</w:t>
      </w:r>
      <w:r>
        <w:rPr>
          <w:rFonts w:hint="eastAsia" w:ascii="宋体" w:hAnsi="宋体" w:cs="Times New Roman"/>
          <w:sz w:val="21"/>
          <w:szCs w:val="21"/>
        </w:rPr>
        <w:t>与交易单位存在利害关系可能影响交易公正性的单位，不得参加交易。单位负责人为同一人或存在控股、管理关系的不同单位，不得参加同一标段交易，否则，相关交易均无效。</w:t>
      </w:r>
    </w:p>
    <w:p>
      <w:pPr>
        <w:snapToGrid w:val="0"/>
        <w:spacing w:line="460" w:lineRule="exact"/>
        <w:ind w:firstLine="420" w:firstLineChars="200"/>
        <w:jc w:val="left"/>
        <w:rPr>
          <w:rFonts w:hint="eastAsia" w:ascii="宋体" w:hAnsi="宋体" w:cs="Times New Roman"/>
          <w:sz w:val="21"/>
          <w:szCs w:val="21"/>
        </w:rPr>
      </w:pPr>
      <w:r>
        <w:rPr>
          <w:rFonts w:hint="eastAsia" w:ascii="宋体" w:hAnsi="宋体" w:cs="Times New Roman"/>
          <w:sz w:val="21"/>
          <w:szCs w:val="21"/>
        </w:rPr>
        <w:t>3.</w:t>
      </w:r>
      <w:r>
        <w:rPr>
          <w:rFonts w:hint="eastAsia" w:ascii="宋体" w:hAnsi="宋体" w:cs="Times New Roman"/>
          <w:sz w:val="21"/>
          <w:szCs w:val="21"/>
          <w:lang w:val="en-US" w:eastAsia="zh-CN"/>
        </w:rPr>
        <w:t>7</w:t>
      </w:r>
      <w:r>
        <w:rPr>
          <w:rFonts w:hint="eastAsia" w:ascii="宋体" w:hAnsi="宋体" w:cs="Times New Roman"/>
          <w:sz w:val="21"/>
          <w:szCs w:val="21"/>
        </w:rPr>
        <w:t>在“信用中国”网站（http://www.creditchina.gov.cn/）中被列入失信被执行人名单的交易响应单位，不得参加交易。</w:t>
      </w:r>
    </w:p>
    <w:p>
      <w:pPr>
        <w:snapToGrid w:val="0"/>
        <w:spacing w:line="460" w:lineRule="exact"/>
        <w:ind w:firstLine="420" w:firstLineChars="200"/>
        <w:jc w:val="left"/>
        <w:rPr>
          <w:rFonts w:ascii="宋体" w:hAnsi="宋体" w:cs="宋体"/>
          <w:sz w:val="21"/>
          <w:szCs w:val="21"/>
        </w:rPr>
      </w:pPr>
      <w:r>
        <w:rPr>
          <w:rFonts w:hint="eastAsia" w:ascii="宋体" w:hAnsi="宋体" w:cs="宋体"/>
          <w:bCs/>
          <w:sz w:val="21"/>
          <w:szCs w:val="21"/>
          <w:u w:val="none"/>
        </w:rPr>
        <w:t>3.</w:t>
      </w:r>
      <w:r>
        <w:rPr>
          <w:rFonts w:hint="eastAsia" w:ascii="宋体" w:hAnsi="宋体" w:cs="宋体"/>
          <w:bCs/>
          <w:sz w:val="21"/>
          <w:szCs w:val="21"/>
          <w:u w:val="none"/>
          <w:lang w:val="en-US" w:eastAsia="zh-CN"/>
        </w:rPr>
        <w:t>8</w:t>
      </w:r>
      <w:r>
        <w:rPr>
          <w:rFonts w:hint="eastAsia" w:ascii="宋体" w:hAnsi="宋体" w:cs="宋体"/>
          <w:bCs/>
          <w:sz w:val="21"/>
          <w:szCs w:val="21"/>
          <w:u w:val="none"/>
        </w:rPr>
        <w:t xml:space="preserve"> 鉴于工程的复杂性，潜在投标人应委托法定代表人</w:t>
      </w:r>
      <w:r>
        <w:rPr>
          <w:rFonts w:hint="eastAsia" w:ascii="宋体" w:hAnsi="宋体" w:cs="宋体"/>
          <w:bCs/>
          <w:sz w:val="21"/>
          <w:szCs w:val="21"/>
          <w:u w:val="none"/>
          <w:lang w:eastAsia="zh-CN"/>
        </w:rPr>
        <w:t>或</w:t>
      </w:r>
      <w:r>
        <w:rPr>
          <w:rFonts w:hint="eastAsia" w:ascii="宋体" w:hAnsi="宋体" w:cs="宋体"/>
          <w:bCs/>
          <w:sz w:val="21"/>
          <w:szCs w:val="21"/>
          <w:u w:val="none"/>
        </w:rPr>
        <w:t>项目总负责人前去项目所在地进行踏勘，考虑项目存在的所有风险。为了保障潜在投标人的利益和本项目的建设质量和进度，请有意参加本标段投标的单位</w:t>
      </w:r>
      <w:r>
        <w:rPr>
          <w:rFonts w:hint="eastAsia" w:ascii="宋体" w:hAnsi="宋体" w:cs="宋体"/>
          <w:bCs/>
          <w:sz w:val="21"/>
          <w:szCs w:val="21"/>
          <w:highlight w:val="none"/>
          <w:u w:val="none"/>
        </w:rPr>
        <w:t xml:space="preserve">在2019年 </w:t>
      </w:r>
      <w:r>
        <w:rPr>
          <w:rFonts w:hint="eastAsia" w:ascii="宋体" w:hAnsi="宋体" w:cs="宋体"/>
          <w:bCs/>
          <w:sz w:val="21"/>
          <w:szCs w:val="21"/>
          <w:highlight w:val="none"/>
          <w:u w:val="none"/>
          <w:lang w:val="en-US" w:eastAsia="zh-CN"/>
        </w:rPr>
        <w:t>12</w:t>
      </w:r>
      <w:r>
        <w:rPr>
          <w:rFonts w:hint="eastAsia" w:ascii="宋体" w:hAnsi="宋体" w:cs="宋体"/>
          <w:bCs/>
          <w:sz w:val="21"/>
          <w:szCs w:val="21"/>
          <w:highlight w:val="none"/>
          <w:u w:val="none"/>
          <w:lang w:eastAsia="zh-CN"/>
        </w:rPr>
        <w:t>　</w:t>
      </w:r>
      <w:r>
        <w:rPr>
          <w:rFonts w:hint="eastAsia" w:ascii="宋体" w:hAnsi="宋体" w:cs="宋体"/>
          <w:bCs/>
          <w:sz w:val="21"/>
          <w:szCs w:val="21"/>
          <w:highlight w:val="none"/>
          <w:u w:val="none"/>
        </w:rPr>
        <w:t xml:space="preserve">月 </w:t>
      </w:r>
      <w:r>
        <w:rPr>
          <w:rFonts w:hint="eastAsia" w:ascii="宋体" w:hAnsi="宋体" w:cs="宋体"/>
          <w:bCs/>
          <w:sz w:val="21"/>
          <w:szCs w:val="21"/>
          <w:highlight w:val="none"/>
          <w:u w:val="none"/>
          <w:lang w:val="en-US" w:eastAsia="zh-CN"/>
        </w:rPr>
        <w:t>02</w:t>
      </w:r>
      <w:r>
        <w:rPr>
          <w:rFonts w:hint="eastAsia" w:ascii="宋体" w:hAnsi="宋体" w:cs="宋体"/>
          <w:bCs/>
          <w:sz w:val="21"/>
          <w:szCs w:val="21"/>
          <w:highlight w:val="none"/>
          <w:u w:val="none"/>
        </w:rPr>
        <w:t xml:space="preserve">  日上午9：30（授权</w:t>
      </w:r>
      <w:r>
        <w:rPr>
          <w:rFonts w:hint="eastAsia" w:ascii="宋体" w:hAnsi="宋体" w:cs="宋体"/>
          <w:bCs/>
          <w:sz w:val="21"/>
          <w:szCs w:val="21"/>
          <w:u w:val="none"/>
        </w:rPr>
        <w:t>代理人必须为本项目拟任施工项目负责人）携带法定代表人身份证明原件或授权委托书原件及本人身份证、营业执照复印件到项目地与招标人联系了解本项目详细情况和要求，现场勘察获取建设单位及施工现场相关信息等。统一踏勘了解期间的费用及安全问题由投标人自行负责</w:t>
      </w:r>
    </w:p>
    <w:p>
      <w:pPr>
        <w:spacing w:line="480" w:lineRule="exact"/>
        <w:ind w:firstLine="420" w:firstLineChars="200"/>
        <w:rPr>
          <w:rFonts w:ascii="宋体" w:hAnsi="宋体" w:cs="宋体"/>
          <w:sz w:val="21"/>
          <w:szCs w:val="21"/>
        </w:rPr>
      </w:pPr>
      <w:r>
        <w:rPr>
          <w:rFonts w:hint="eastAsia" w:ascii="宋体" w:hAnsi="宋体" w:cs="宋体"/>
          <w:sz w:val="21"/>
          <w:szCs w:val="21"/>
        </w:rPr>
        <w:t>3.</w:t>
      </w:r>
      <w:r>
        <w:rPr>
          <w:rFonts w:hint="eastAsia" w:ascii="宋体" w:hAnsi="宋体" w:cs="宋体"/>
          <w:sz w:val="21"/>
          <w:szCs w:val="21"/>
          <w:lang w:val="en-US" w:eastAsia="zh-CN"/>
        </w:rPr>
        <w:t>9</w:t>
      </w:r>
      <w:r>
        <w:rPr>
          <w:rFonts w:hint="eastAsia" w:ascii="宋体" w:hAnsi="宋体" w:cs="宋体"/>
          <w:sz w:val="21"/>
          <w:szCs w:val="21"/>
        </w:rPr>
        <w:t xml:space="preserve"> 本次招标不接受联合体投标。</w:t>
      </w:r>
    </w:p>
    <w:p>
      <w:pPr>
        <w:spacing w:line="480" w:lineRule="exact"/>
        <w:rPr>
          <w:rFonts w:ascii="宋体" w:hAnsi="宋体" w:cs="黑体"/>
          <w:b/>
          <w:sz w:val="21"/>
          <w:szCs w:val="21"/>
        </w:rPr>
      </w:pPr>
      <w:r>
        <w:rPr>
          <w:rFonts w:hint="eastAsia" w:ascii="宋体" w:hAnsi="宋体" w:cs="黑体"/>
          <w:b/>
          <w:sz w:val="21"/>
          <w:szCs w:val="21"/>
        </w:rPr>
        <w:t>4、评标办法</w:t>
      </w:r>
    </w:p>
    <w:p>
      <w:pPr>
        <w:spacing w:line="480" w:lineRule="exact"/>
        <w:ind w:firstLine="420" w:firstLineChars="200"/>
        <w:rPr>
          <w:rFonts w:ascii="宋体" w:hAnsi="宋体" w:cs="宋体"/>
          <w:kern w:val="0"/>
          <w:sz w:val="21"/>
          <w:szCs w:val="21"/>
        </w:rPr>
      </w:pPr>
      <w:bookmarkStart w:id="9" w:name="_Toc234382573"/>
      <w:r>
        <w:rPr>
          <w:rFonts w:hint="eastAsia" w:ascii="宋体" w:hAnsi="宋体" w:cs="宋体"/>
          <w:kern w:val="0"/>
          <w:sz w:val="21"/>
          <w:szCs w:val="21"/>
        </w:rPr>
        <w:t>本项目资格审查方式为资格后审，评标办法采用</w:t>
      </w:r>
      <w:r>
        <w:rPr>
          <w:rFonts w:hint="eastAsia" w:ascii="宋体" w:hAnsi="宋体" w:cs="宋体"/>
          <w:sz w:val="21"/>
          <w:szCs w:val="21"/>
          <w:u w:val="none"/>
          <w:lang w:eastAsia="zh-CN"/>
        </w:rPr>
        <w:t>技术评分最低标价法</w:t>
      </w:r>
      <w:r>
        <w:rPr>
          <w:rFonts w:hint="eastAsia" w:ascii="宋体" w:hAnsi="宋体" w:cs="宋体"/>
          <w:kern w:val="0"/>
          <w:sz w:val="21"/>
          <w:szCs w:val="21"/>
        </w:rPr>
        <w:t>。</w:t>
      </w:r>
    </w:p>
    <w:p>
      <w:pPr>
        <w:spacing w:line="480" w:lineRule="exact"/>
        <w:rPr>
          <w:rFonts w:ascii="宋体" w:hAnsi="宋体" w:cs="黑体"/>
          <w:b/>
          <w:sz w:val="21"/>
          <w:szCs w:val="21"/>
        </w:rPr>
      </w:pPr>
      <w:r>
        <w:rPr>
          <w:rFonts w:hint="eastAsia" w:ascii="宋体" w:hAnsi="宋体" w:cs="黑体"/>
          <w:b/>
          <w:sz w:val="21"/>
          <w:szCs w:val="21"/>
        </w:rPr>
        <w:t>5、</w:t>
      </w:r>
      <w:r>
        <w:rPr>
          <w:rFonts w:hint="eastAsia" w:ascii="宋体" w:hAnsi="宋体" w:cs="黑体"/>
          <w:b/>
          <w:sz w:val="21"/>
          <w:szCs w:val="21"/>
          <w:lang w:eastAsia="zh-CN"/>
        </w:rPr>
        <w:t>交易文件</w:t>
      </w:r>
      <w:r>
        <w:rPr>
          <w:rFonts w:hint="eastAsia" w:ascii="宋体" w:hAnsi="宋体" w:cs="黑体"/>
          <w:b/>
          <w:sz w:val="21"/>
          <w:szCs w:val="21"/>
        </w:rPr>
        <w:t>的获取</w:t>
      </w:r>
      <w:bookmarkEnd w:id="9"/>
      <w:r>
        <w:rPr>
          <w:rFonts w:hint="eastAsia" w:ascii="宋体" w:hAnsi="宋体" w:cs="黑体"/>
          <w:b/>
          <w:sz w:val="21"/>
          <w:szCs w:val="21"/>
        </w:rPr>
        <w:t>与澄清答疑发布</w:t>
      </w:r>
    </w:p>
    <w:p>
      <w:pPr>
        <w:spacing w:line="460" w:lineRule="exact"/>
        <w:ind w:firstLine="420" w:firstLineChars="200"/>
        <w:jc w:val="left"/>
        <w:rPr>
          <w:rFonts w:ascii="宋体" w:hAnsi="宋体" w:cs="宋体"/>
          <w:sz w:val="21"/>
          <w:szCs w:val="21"/>
        </w:rPr>
      </w:pPr>
      <w:bookmarkStart w:id="10" w:name="OLE_LINK5"/>
      <w:bookmarkStart w:id="11" w:name="_Toc234382576"/>
      <w:r>
        <w:rPr>
          <w:rFonts w:hint="eastAsia" w:ascii="宋体" w:hAnsi="宋体" w:cs="宋体"/>
          <w:color w:val="000000"/>
          <w:sz w:val="21"/>
          <w:szCs w:val="21"/>
          <w:u w:val="none"/>
          <w:lang w:val="en-US" w:eastAsia="zh-CN"/>
        </w:rPr>
        <w:t>5</w:t>
      </w:r>
      <w:r>
        <w:rPr>
          <w:rFonts w:hint="eastAsia" w:ascii="宋体" w:hAnsi="宋体" w:cs="宋体"/>
          <w:color w:val="000000"/>
          <w:sz w:val="21"/>
          <w:szCs w:val="21"/>
          <w:u w:val="none"/>
        </w:rPr>
        <w:t>.1  请各投标人于投标截止时间前在</w:t>
      </w:r>
      <w:r>
        <w:rPr>
          <w:rFonts w:hint="eastAsia" w:ascii="宋体" w:hAnsi="宋体" w:cs="宋体"/>
          <w:b/>
          <w:bCs/>
          <w:color w:val="000000"/>
          <w:sz w:val="21"/>
          <w:szCs w:val="21"/>
          <w:u w:val="none"/>
        </w:rPr>
        <w:t>永州市公共资源交易中心网进行网上下载/获取招标文件、图纸及工程量清单</w:t>
      </w:r>
      <w:r>
        <w:rPr>
          <w:rFonts w:hint="eastAsia" w:ascii="宋体" w:hAnsi="宋体" w:cs="宋体"/>
          <w:color w:val="000000"/>
          <w:sz w:val="21"/>
          <w:szCs w:val="21"/>
          <w:u w:val="none"/>
        </w:rPr>
        <w:t>。</w:t>
      </w:r>
      <w:r>
        <w:rPr>
          <w:rFonts w:hint="eastAsia" w:ascii="宋体" w:hAnsi="宋体" w:cs="宋体"/>
          <w:b/>
          <w:bCs/>
          <w:color w:val="000000"/>
          <w:sz w:val="21"/>
          <w:szCs w:val="21"/>
        </w:rPr>
        <w:t>（投标人首次登陆需注册，完成注册并绑定CA等相关手续后进入交易系统后方可下载招标文件）</w:t>
      </w:r>
      <w:r>
        <w:rPr>
          <w:rFonts w:hint="eastAsia" w:ascii="宋体" w:hAnsi="宋体" w:cs="宋体"/>
          <w:color w:val="000000"/>
          <w:sz w:val="21"/>
          <w:szCs w:val="21"/>
        </w:rPr>
        <w:t>如通过网络下载，其招标文件、图纸及工程量清单与书面招标文件、图纸及工程量清单具有同等法律效力。</w:t>
      </w:r>
      <w:bookmarkEnd w:id="10"/>
    </w:p>
    <w:p>
      <w:pPr>
        <w:spacing w:line="460" w:lineRule="exact"/>
        <w:ind w:firstLine="420" w:firstLineChars="200"/>
        <w:jc w:val="left"/>
        <w:rPr>
          <w:rFonts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 xml:space="preserve">.2  </w:t>
      </w:r>
      <w:r>
        <w:rPr>
          <w:rFonts w:hint="eastAsia" w:ascii="宋体" w:hAnsi="宋体" w:cs="宋体"/>
          <w:color w:val="000000"/>
          <w:sz w:val="21"/>
          <w:szCs w:val="21"/>
        </w:rPr>
        <w:t>招标文件每套售价</w:t>
      </w:r>
      <w:r>
        <w:rPr>
          <w:rFonts w:hint="eastAsia" w:ascii="宋体" w:hAnsi="宋体" w:cs="宋体"/>
          <w:color w:val="000000"/>
          <w:sz w:val="21"/>
          <w:szCs w:val="21"/>
          <w:lang w:val="en-US" w:eastAsia="zh-CN"/>
        </w:rPr>
        <w:t>6</w:t>
      </w:r>
      <w:r>
        <w:rPr>
          <w:rFonts w:hint="eastAsia" w:ascii="宋体" w:hAnsi="宋体" w:cs="宋体"/>
          <w:color w:val="000000"/>
          <w:sz w:val="21"/>
          <w:szCs w:val="21"/>
        </w:rPr>
        <w:t>00元，递交投标文件时缴纳，否则拒绝接受其投标文件。招标文件售后不退</w:t>
      </w:r>
      <w:r>
        <w:rPr>
          <w:rFonts w:hint="eastAsia" w:ascii="宋体" w:hAnsi="宋体" w:cs="宋体"/>
          <w:sz w:val="21"/>
          <w:szCs w:val="21"/>
        </w:rPr>
        <w:t>。</w:t>
      </w:r>
    </w:p>
    <w:p>
      <w:pPr>
        <w:spacing w:line="46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 xml:space="preserve">.3  澄清答疑采用 </w:t>
      </w:r>
      <w:r>
        <w:rPr>
          <w:rFonts w:hint="eastAsia" w:ascii="宋体" w:hAnsi="宋体" w:cs="宋体"/>
          <w:b/>
          <w:bCs/>
          <w:sz w:val="21"/>
          <w:szCs w:val="21"/>
          <w:u w:val="single"/>
        </w:rPr>
        <w:t xml:space="preserve">电子邮件 </w:t>
      </w:r>
      <w:r>
        <w:rPr>
          <w:rFonts w:hint="eastAsia" w:ascii="宋体" w:hAnsi="宋体" w:cs="宋体"/>
          <w:sz w:val="21"/>
          <w:szCs w:val="21"/>
        </w:rPr>
        <w:t xml:space="preserve"> 方式。</w:t>
      </w:r>
    </w:p>
    <w:p>
      <w:pPr>
        <w:spacing w:line="460" w:lineRule="exact"/>
        <w:jc w:val="left"/>
        <w:rPr>
          <w:rFonts w:hint="eastAsia" w:ascii="宋体" w:hAnsi="宋体" w:eastAsia="宋体" w:cs="宋体"/>
          <w:b/>
          <w:kern w:val="2"/>
          <w:sz w:val="21"/>
          <w:szCs w:val="21"/>
          <w:u w:val="none"/>
          <w:lang w:val="en-US" w:eastAsia="zh-CN" w:bidi="ar-SA"/>
        </w:rPr>
      </w:pPr>
      <w:r>
        <w:rPr>
          <w:rFonts w:hint="eastAsia" w:ascii="宋体" w:hAnsi="宋体" w:cs="宋体"/>
          <w:b/>
          <w:kern w:val="2"/>
          <w:sz w:val="21"/>
          <w:szCs w:val="21"/>
          <w:u w:val="none"/>
          <w:lang w:val="en-US" w:eastAsia="zh-CN" w:bidi="ar-SA"/>
        </w:rPr>
        <w:t>6</w:t>
      </w:r>
      <w:r>
        <w:rPr>
          <w:rFonts w:hint="eastAsia" w:ascii="宋体" w:hAnsi="宋体" w:eastAsia="宋体" w:cs="宋体"/>
          <w:b/>
          <w:kern w:val="2"/>
          <w:sz w:val="21"/>
          <w:szCs w:val="21"/>
          <w:u w:val="none"/>
          <w:lang w:val="en-US" w:eastAsia="zh-CN" w:bidi="ar-SA"/>
        </w:rPr>
        <w:t>、交易保证金</w:t>
      </w:r>
    </w:p>
    <w:p>
      <w:pPr>
        <w:spacing w:line="46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lang w:val="en-US" w:eastAsia="zh-CN"/>
        </w:rPr>
        <w:t>6</w:t>
      </w:r>
      <w:r>
        <w:rPr>
          <w:rFonts w:hint="eastAsia" w:ascii="宋体" w:hAnsi="宋体" w:cs="宋体"/>
          <w:color w:val="000000"/>
          <w:sz w:val="21"/>
          <w:szCs w:val="21"/>
        </w:rPr>
        <w:t>.1交易保证金金额：</w:t>
      </w:r>
      <w:r>
        <w:rPr>
          <w:rFonts w:hint="eastAsia" w:ascii="宋体" w:hAnsi="宋体" w:cs="宋体"/>
          <w:sz w:val="21"/>
          <w:szCs w:val="21"/>
        </w:rPr>
        <w:t>人民币</w:t>
      </w:r>
      <w:r>
        <w:rPr>
          <w:rFonts w:hint="eastAsia" w:ascii="宋体" w:hAnsi="宋体" w:cs="宋体"/>
          <w:sz w:val="21"/>
          <w:szCs w:val="21"/>
          <w:lang w:eastAsia="zh-CN"/>
        </w:rPr>
        <w:t>壹万伍</w:t>
      </w:r>
      <w:r>
        <w:rPr>
          <w:rFonts w:hint="eastAsia" w:ascii="宋体" w:hAnsi="宋体" w:cs="宋体"/>
          <w:sz w:val="21"/>
          <w:szCs w:val="21"/>
        </w:rPr>
        <w:t>仟元整（￥</w:t>
      </w:r>
      <w:r>
        <w:rPr>
          <w:rFonts w:hint="eastAsia" w:ascii="宋体" w:hAnsi="宋体" w:cs="宋体"/>
          <w:sz w:val="21"/>
          <w:szCs w:val="21"/>
          <w:lang w:val="en-US" w:eastAsia="zh-CN"/>
        </w:rPr>
        <w:t>15</w:t>
      </w:r>
      <w:r>
        <w:rPr>
          <w:rFonts w:hint="eastAsia" w:ascii="宋体" w:hAnsi="宋体" w:cs="宋体"/>
          <w:sz w:val="21"/>
          <w:szCs w:val="21"/>
        </w:rPr>
        <w:t>000.00元）</w:t>
      </w:r>
      <w:r>
        <w:rPr>
          <w:rFonts w:hint="eastAsia" w:ascii="宋体" w:hAnsi="宋体" w:cs="宋体"/>
          <w:color w:val="000000"/>
          <w:sz w:val="21"/>
          <w:szCs w:val="21"/>
        </w:rPr>
        <w:t>。根据湘建监督【2018】244号，本项目投标保证金采用投标承诺形式递交。</w:t>
      </w:r>
    </w:p>
    <w:p>
      <w:pPr>
        <w:pStyle w:val="5"/>
        <w:spacing w:line="460" w:lineRule="exact"/>
        <w:jc w:val="left"/>
        <w:rPr>
          <w:rFonts w:ascii="宋体" w:hAnsi="宋体" w:eastAsia="宋体" w:cs="宋体"/>
          <w:sz w:val="21"/>
          <w:szCs w:val="21"/>
          <w:highlight w:val="none"/>
          <w:u w:val="none"/>
        </w:rPr>
      </w:pPr>
      <w:bookmarkStart w:id="12" w:name="_Toc300677966"/>
      <w:bookmarkStart w:id="13" w:name="_Toc429827492"/>
      <w:r>
        <w:rPr>
          <w:rFonts w:hint="eastAsia" w:ascii="宋体" w:hAnsi="宋体" w:eastAsia="宋体" w:cs="宋体"/>
          <w:sz w:val="21"/>
          <w:szCs w:val="21"/>
          <w:u w:val="none"/>
          <w:lang w:val="en-US" w:eastAsia="zh-CN"/>
        </w:rPr>
        <w:t>7</w:t>
      </w:r>
      <w:r>
        <w:rPr>
          <w:rFonts w:hint="eastAsia" w:ascii="宋体" w:hAnsi="宋体" w:eastAsia="宋体" w:cs="宋体"/>
          <w:sz w:val="21"/>
          <w:szCs w:val="21"/>
          <w:u w:val="none"/>
        </w:rPr>
        <w:t>.投标文件的递交</w:t>
      </w:r>
      <w:bookmarkEnd w:id="12"/>
      <w:bookmarkEnd w:id="13"/>
    </w:p>
    <w:p>
      <w:pPr>
        <w:spacing w:line="460" w:lineRule="exact"/>
        <w:ind w:firstLine="420" w:firstLineChars="200"/>
        <w:jc w:val="left"/>
        <w:rPr>
          <w:rFonts w:hint="eastAsia" w:ascii="宋体" w:hAnsi="宋体" w:eastAsia="宋体" w:cs="宋体"/>
          <w:sz w:val="21"/>
          <w:szCs w:val="21"/>
          <w:highlight w:val="none"/>
          <w:u w:val="none"/>
          <w:lang w:eastAsia="zh-CN"/>
        </w:rPr>
      </w:pPr>
      <w:r>
        <w:rPr>
          <w:rFonts w:hint="eastAsia" w:ascii="宋体" w:hAnsi="宋体" w:cs="宋体"/>
          <w:sz w:val="21"/>
          <w:szCs w:val="21"/>
          <w:highlight w:val="none"/>
          <w:u w:val="none"/>
          <w:lang w:val="en-US" w:eastAsia="zh-CN"/>
        </w:rPr>
        <w:t>7</w:t>
      </w:r>
      <w:r>
        <w:rPr>
          <w:rFonts w:hint="eastAsia" w:ascii="宋体" w:hAnsi="宋体" w:cs="宋体"/>
          <w:sz w:val="21"/>
          <w:szCs w:val="21"/>
          <w:highlight w:val="none"/>
          <w:u w:val="none"/>
        </w:rPr>
        <w:t>.1  投标文件递交的截止时间（投标截止时间，下同）及开标时间</w:t>
      </w:r>
      <w:r>
        <w:rPr>
          <w:rFonts w:hint="eastAsia" w:ascii="宋体" w:hAnsi="宋体" w:cs="宋体"/>
          <w:sz w:val="21"/>
          <w:szCs w:val="21"/>
          <w:highlight w:val="none"/>
          <w:u w:val="none"/>
          <w:lang w:eastAsia="zh-CN"/>
        </w:rPr>
        <w:t>：</w:t>
      </w:r>
      <w:r>
        <w:rPr>
          <w:rFonts w:hint="eastAsia" w:ascii="宋体" w:hAnsi="宋体" w:cs="宋体"/>
          <w:sz w:val="21"/>
          <w:szCs w:val="21"/>
          <w:highlight w:val="none"/>
          <w:u w:val="none"/>
          <w:lang w:val="en-US" w:eastAsia="zh-CN"/>
        </w:rPr>
        <w:t>2019年12月5日9时30分</w:t>
      </w:r>
      <w:bookmarkStart w:id="227" w:name="_GoBack"/>
      <w:bookmarkEnd w:id="227"/>
      <w:r>
        <w:rPr>
          <w:rFonts w:hint="eastAsia" w:ascii="宋体" w:hAnsi="宋体" w:cs="宋体"/>
          <w:sz w:val="21"/>
          <w:szCs w:val="21"/>
          <w:highlight w:val="none"/>
          <w:u w:val="none"/>
          <w:lang w:val="en-US" w:eastAsia="zh-CN"/>
        </w:rPr>
        <w:t>（北京时间）</w:t>
      </w:r>
      <w:r>
        <w:rPr>
          <w:rFonts w:hint="eastAsia" w:ascii="宋体" w:hAnsi="宋体" w:cs="宋体"/>
          <w:sz w:val="21"/>
          <w:szCs w:val="21"/>
          <w:highlight w:val="none"/>
          <w:u w:val="none"/>
        </w:rPr>
        <w:t>，地点为</w:t>
      </w:r>
      <w:r>
        <w:rPr>
          <w:rFonts w:hint="eastAsia" w:ascii="宋体" w:hAnsi="宋体" w:cs="宋体"/>
          <w:sz w:val="21"/>
          <w:szCs w:val="21"/>
          <w:highlight w:val="none"/>
          <w:u w:val="none"/>
          <w:lang w:eastAsia="zh-CN"/>
        </w:rPr>
        <w:t>：双牌县潇水大厦老政务中心二楼。</w:t>
      </w:r>
    </w:p>
    <w:p>
      <w:pPr>
        <w:spacing w:line="460" w:lineRule="exact"/>
        <w:ind w:firstLine="420" w:firstLineChars="200"/>
        <w:jc w:val="left"/>
        <w:rPr>
          <w:rFonts w:ascii="宋体" w:hAnsi="宋体" w:cs="宋体"/>
          <w:sz w:val="21"/>
          <w:szCs w:val="21"/>
          <w:highlight w:val="none"/>
          <w:u w:val="none"/>
        </w:rPr>
      </w:pPr>
      <w:r>
        <w:rPr>
          <w:rFonts w:hint="eastAsia" w:ascii="宋体" w:hAnsi="宋体" w:cs="宋体"/>
          <w:sz w:val="21"/>
          <w:szCs w:val="21"/>
          <w:highlight w:val="none"/>
          <w:u w:val="none"/>
          <w:lang w:val="en-US" w:eastAsia="zh-CN"/>
        </w:rPr>
        <w:t>7</w:t>
      </w:r>
      <w:r>
        <w:rPr>
          <w:rFonts w:hint="eastAsia" w:ascii="宋体" w:hAnsi="宋体" w:cs="宋体"/>
          <w:sz w:val="21"/>
          <w:szCs w:val="21"/>
          <w:highlight w:val="none"/>
          <w:u w:val="none"/>
        </w:rPr>
        <w:t>.2  逾期送达的或者未送达指定地点或未按要求密封的投标文件，或投标人未按本项目招标公告第6.1款规定获取招标文件的，招标人将拒收。</w:t>
      </w:r>
    </w:p>
    <w:p>
      <w:pPr>
        <w:spacing w:line="460" w:lineRule="exact"/>
        <w:ind w:firstLine="420" w:firstLineChars="200"/>
        <w:jc w:val="left"/>
        <w:rPr>
          <w:rFonts w:hint="eastAsia" w:ascii="宋体" w:hAnsi="宋体" w:eastAsia="宋体" w:cs="宋体"/>
          <w:sz w:val="21"/>
          <w:szCs w:val="21"/>
          <w:highlight w:val="none"/>
          <w:u w:val="none"/>
          <w:lang w:eastAsia="zh-CN"/>
        </w:rPr>
      </w:pPr>
      <w:r>
        <w:rPr>
          <w:rFonts w:hint="eastAsia" w:ascii="宋体" w:hAnsi="宋体" w:cs="宋体"/>
          <w:sz w:val="21"/>
          <w:szCs w:val="21"/>
          <w:highlight w:val="none"/>
          <w:u w:val="none"/>
          <w:lang w:val="en-US" w:eastAsia="zh-CN"/>
        </w:rPr>
        <w:t>7</w:t>
      </w:r>
      <w:r>
        <w:rPr>
          <w:rFonts w:hint="eastAsia" w:ascii="宋体" w:hAnsi="宋体" w:cs="宋体"/>
          <w:sz w:val="21"/>
          <w:szCs w:val="21"/>
          <w:highlight w:val="none"/>
          <w:u w:val="none"/>
        </w:rPr>
        <w:t xml:space="preserve">.3  </w:t>
      </w:r>
      <w:r>
        <w:rPr>
          <w:rFonts w:hint="eastAsia" w:ascii="宋体" w:hAnsi="宋体" w:cs="宋体"/>
          <w:b/>
          <w:bCs/>
          <w:sz w:val="21"/>
          <w:szCs w:val="21"/>
          <w:highlight w:val="none"/>
          <w:u w:val="none"/>
        </w:rPr>
        <w:t>投标人法定代表人或</w:t>
      </w:r>
      <w:r>
        <w:rPr>
          <w:rFonts w:hint="eastAsia" w:ascii="宋体" w:hAnsi="宋体" w:cs="宋体"/>
          <w:b/>
          <w:bCs/>
          <w:sz w:val="21"/>
          <w:szCs w:val="21"/>
          <w:highlight w:val="none"/>
          <w:u w:val="none"/>
          <w:lang w:eastAsia="zh-CN"/>
        </w:rPr>
        <w:t>委托</w:t>
      </w:r>
      <w:r>
        <w:rPr>
          <w:rFonts w:hint="eastAsia" w:ascii="宋体" w:hAnsi="宋体" w:cs="宋体"/>
          <w:b/>
          <w:bCs/>
          <w:sz w:val="21"/>
          <w:szCs w:val="21"/>
          <w:highlight w:val="none"/>
          <w:u w:val="none"/>
        </w:rPr>
        <w:t>人须亲自到场参加投标</w:t>
      </w:r>
      <w:r>
        <w:rPr>
          <w:rFonts w:hint="eastAsia" w:ascii="宋体" w:hAnsi="宋体" w:cs="宋体"/>
          <w:b/>
          <w:bCs/>
          <w:sz w:val="21"/>
          <w:szCs w:val="21"/>
          <w:highlight w:val="none"/>
          <w:u w:val="none"/>
          <w:lang w:eastAsia="zh-CN"/>
        </w:rPr>
        <w:t>。</w:t>
      </w:r>
    </w:p>
    <w:p>
      <w:pPr>
        <w:spacing w:line="480" w:lineRule="exact"/>
        <w:rPr>
          <w:rFonts w:ascii="宋体" w:hAnsi="宋体" w:cs="宋体"/>
          <w:b/>
          <w:sz w:val="21"/>
          <w:szCs w:val="21"/>
        </w:rPr>
      </w:pPr>
      <w:r>
        <w:rPr>
          <w:rFonts w:hint="eastAsia" w:ascii="宋体" w:hAnsi="宋体" w:cs="宋体"/>
          <w:b/>
          <w:sz w:val="21"/>
          <w:szCs w:val="21"/>
          <w:lang w:val="en-US" w:eastAsia="zh-CN"/>
        </w:rPr>
        <w:t>8</w:t>
      </w:r>
      <w:r>
        <w:rPr>
          <w:rFonts w:hint="eastAsia" w:ascii="宋体" w:hAnsi="宋体" w:cs="宋体"/>
          <w:b/>
          <w:sz w:val="21"/>
          <w:szCs w:val="21"/>
        </w:rPr>
        <w:t>、发布公告的媒介</w:t>
      </w:r>
    </w:p>
    <w:p>
      <w:pPr>
        <w:spacing w:line="480" w:lineRule="exact"/>
        <w:ind w:firstLine="420" w:firstLineChars="200"/>
        <w:rPr>
          <w:rFonts w:ascii="宋体" w:hAnsi="宋体" w:cs="宋体"/>
          <w:sz w:val="21"/>
          <w:szCs w:val="21"/>
        </w:rPr>
      </w:pPr>
      <w:r>
        <w:rPr>
          <w:rFonts w:hint="eastAsia" w:ascii="宋体" w:hAnsi="宋体" w:cs="宋体"/>
          <w:sz w:val="21"/>
          <w:szCs w:val="21"/>
        </w:rPr>
        <w:t>本次</w:t>
      </w:r>
      <w:r>
        <w:rPr>
          <w:rFonts w:hint="eastAsia" w:ascii="宋体" w:hAnsi="宋体" w:cs="宋体"/>
          <w:sz w:val="21"/>
          <w:szCs w:val="21"/>
          <w:lang w:eastAsia="zh-CN"/>
        </w:rPr>
        <w:t>交易公告</w:t>
      </w:r>
      <w:r>
        <w:rPr>
          <w:rFonts w:hint="eastAsia" w:ascii="宋体" w:hAnsi="宋体" w:cs="宋体"/>
          <w:sz w:val="21"/>
          <w:szCs w:val="21"/>
        </w:rPr>
        <w:t>同时在《永州公共资源交易网》（</w:t>
      </w:r>
      <w:r>
        <w:rPr>
          <w:rStyle w:val="25"/>
          <w:rFonts w:hint="eastAsia" w:ascii="宋体" w:hAnsi="宋体" w:cs="宋体"/>
          <w:sz w:val="21"/>
          <w:szCs w:val="21"/>
        </w:rPr>
        <w:fldChar w:fldCharType="begin"/>
      </w:r>
      <w:r>
        <w:rPr>
          <w:rStyle w:val="25"/>
          <w:rFonts w:hint="eastAsia" w:ascii="宋体" w:hAnsi="宋体" w:cs="宋体"/>
          <w:sz w:val="21"/>
          <w:szCs w:val="21"/>
        </w:rPr>
        <w:instrText xml:space="preserve"> HYPERLINK "http://www.bidding.huan.gov.cn" </w:instrText>
      </w:r>
      <w:r>
        <w:rPr>
          <w:rStyle w:val="25"/>
          <w:rFonts w:hint="eastAsia" w:ascii="宋体" w:hAnsi="宋体" w:cs="宋体"/>
          <w:sz w:val="21"/>
          <w:szCs w:val="21"/>
        </w:rPr>
        <w:fldChar w:fldCharType="separate"/>
      </w:r>
      <w:r>
        <w:rPr>
          <w:rStyle w:val="25"/>
          <w:rFonts w:hint="eastAsia" w:ascii="宋体" w:hAnsi="宋体" w:cs="宋体"/>
          <w:sz w:val="21"/>
          <w:szCs w:val="21"/>
        </w:rPr>
        <w:t>http://ggzyjy.xxz.gov.cn</w:t>
      </w:r>
      <w:r>
        <w:rPr>
          <w:rStyle w:val="25"/>
          <w:rFonts w:hint="eastAsia" w:ascii="宋体" w:hAnsi="宋体" w:cs="宋体"/>
          <w:sz w:val="21"/>
          <w:szCs w:val="21"/>
        </w:rPr>
        <w:fldChar w:fldCharType="end"/>
      </w:r>
      <w:r>
        <w:rPr>
          <w:rStyle w:val="25"/>
          <w:rFonts w:hint="eastAsia" w:ascii="宋体" w:hAnsi="宋体" w:cs="宋体"/>
          <w:sz w:val="21"/>
          <w:szCs w:val="21"/>
        </w:rPr>
        <w:t>）</w:t>
      </w:r>
      <w:r>
        <w:rPr>
          <w:rStyle w:val="25"/>
          <w:rFonts w:hint="eastAsia" w:ascii="宋体" w:hAnsi="宋体" w:cs="宋体"/>
          <w:sz w:val="21"/>
          <w:szCs w:val="21"/>
          <w:lang w:eastAsia="zh-CN"/>
        </w:rPr>
        <w:t>、</w:t>
      </w:r>
      <w:r>
        <w:rPr>
          <w:rStyle w:val="25"/>
          <w:rFonts w:hint="eastAsia" w:ascii="宋体" w:hAnsi="宋体" w:cs="宋体"/>
          <w:sz w:val="21"/>
          <w:szCs w:val="21"/>
        </w:rPr>
        <w:t>双牌县人民政府网</w:t>
      </w:r>
      <w:r>
        <w:rPr>
          <w:rFonts w:hint="eastAsia" w:ascii="宋体" w:hAnsi="宋体" w:cs="宋体"/>
          <w:sz w:val="21"/>
          <w:szCs w:val="21"/>
        </w:rPr>
        <w:t>（http://www.sp.gov.cn/）上发布。（若出现发布时间不同步，以《永州公共资源交易网》发布为准。）</w:t>
      </w:r>
    </w:p>
    <w:p>
      <w:pPr>
        <w:spacing w:line="480" w:lineRule="exact"/>
        <w:rPr>
          <w:rFonts w:ascii="宋体" w:hAnsi="宋体" w:cs="黑体"/>
          <w:b/>
          <w:sz w:val="21"/>
          <w:szCs w:val="21"/>
        </w:rPr>
      </w:pPr>
      <w:r>
        <w:rPr>
          <w:rFonts w:hint="eastAsia" w:ascii="宋体" w:hAnsi="宋体" w:cs="黑体"/>
          <w:b/>
          <w:sz w:val="21"/>
          <w:szCs w:val="21"/>
          <w:lang w:val="en-US" w:eastAsia="zh-CN"/>
        </w:rPr>
        <w:t>9</w:t>
      </w:r>
      <w:r>
        <w:rPr>
          <w:rFonts w:hint="eastAsia" w:ascii="宋体" w:hAnsi="宋体" w:cs="黑体"/>
          <w:b/>
          <w:sz w:val="21"/>
          <w:szCs w:val="21"/>
        </w:rPr>
        <w:t>、行政监管</w:t>
      </w:r>
    </w:p>
    <w:p>
      <w:pPr>
        <w:pStyle w:val="15"/>
        <w:spacing w:beforeAutospacing="0" w:afterAutospacing="0" w:line="480" w:lineRule="exact"/>
        <w:ind w:firstLine="420" w:firstLineChars="200"/>
        <w:rPr>
          <w:sz w:val="21"/>
          <w:szCs w:val="21"/>
        </w:rPr>
      </w:pPr>
      <w:r>
        <w:rPr>
          <w:rFonts w:hint="eastAsia"/>
          <w:sz w:val="21"/>
          <w:szCs w:val="21"/>
        </w:rPr>
        <w:t>本次招标投标监督机构为：</w:t>
      </w:r>
      <w:r>
        <w:rPr>
          <w:rFonts w:hint="eastAsia"/>
          <w:sz w:val="21"/>
          <w:szCs w:val="21"/>
          <w:lang w:eastAsia="zh-CN"/>
        </w:rPr>
        <w:t>双牌</w:t>
      </w:r>
      <w:r>
        <w:rPr>
          <w:rFonts w:hint="eastAsia"/>
          <w:sz w:val="21"/>
          <w:szCs w:val="21"/>
        </w:rPr>
        <w:t>县发改委，监督电话：0746-7723763。</w:t>
      </w:r>
    </w:p>
    <w:p>
      <w:pPr>
        <w:spacing w:line="480" w:lineRule="exact"/>
        <w:rPr>
          <w:rFonts w:ascii="宋体" w:hAnsi="宋体" w:cs="黑体"/>
          <w:b/>
          <w:sz w:val="21"/>
          <w:szCs w:val="21"/>
        </w:rPr>
      </w:pPr>
      <w:r>
        <w:rPr>
          <w:rFonts w:hint="eastAsia" w:ascii="宋体" w:hAnsi="宋体" w:cs="黑体"/>
          <w:b/>
          <w:sz w:val="21"/>
          <w:szCs w:val="21"/>
          <w:lang w:val="en-US" w:eastAsia="zh-CN"/>
        </w:rPr>
        <w:t>10</w:t>
      </w:r>
      <w:r>
        <w:rPr>
          <w:rFonts w:hint="eastAsia" w:ascii="宋体" w:hAnsi="宋体" w:cs="黑体"/>
          <w:b/>
          <w:sz w:val="21"/>
          <w:szCs w:val="21"/>
        </w:rPr>
        <w:t>、联系方式</w:t>
      </w:r>
      <w:bookmarkEnd w:id="11"/>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cs="宋体"/>
          <w:sz w:val="21"/>
          <w:szCs w:val="21"/>
        </w:rPr>
      </w:pPr>
      <w:r>
        <w:rPr>
          <w:rFonts w:hint="eastAsia" w:ascii="宋体" w:hAnsi="宋体" w:cs="宋体"/>
          <w:sz w:val="21"/>
          <w:szCs w:val="21"/>
        </w:rPr>
        <w:t>招 标 人：</w:t>
      </w:r>
      <w:r>
        <w:rPr>
          <w:rFonts w:hint="eastAsia" w:ascii="宋体" w:hAnsi="宋体" w:cs="宋体"/>
          <w:sz w:val="21"/>
          <w:szCs w:val="21"/>
          <w:lang w:eastAsia="zh-CN"/>
        </w:rPr>
        <w:t>双牌县公路管理站</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rPr>
        <w:t>地    址：</w:t>
      </w:r>
      <w:r>
        <w:rPr>
          <w:rFonts w:hint="eastAsia" w:ascii="宋体" w:hAnsi="宋体" w:cs="宋体"/>
          <w:sz w:val="21"/>
          <w:szCs w:val="21"/>
          <w:lang w:eastAsia="zh-CN"/>
        </w:rPr>
        <w:t>双牌县阳明路</w:t>
      </w:r>
      <w:r>
        <w:rPr>
          <w:rFonts w:hint="eastAsia" w:ascii="宋体" w:hAnsi="宋体" w:cs="宋体"/>
          <w:sz w:val="21"/>
          <w:szCs w:val="21"/>
          <w:lang w:val="en-US" w:eastAsia="zh-CN"/>
        </w:rPr>
        <w:t>105</w:t>
      </w:r>
      <w:r>
        <w:rPr>
          <w:rFonts w:hint="eastAsia" w:ascii="宋体" w:hAnsi="宋体" w:cs="宋体"/>
          <w:sz w:val="21"/>
          <w:szCs w:val="21"/>
          <w:lang w:eastAsia="zh-CN"/>
        </w:rPr>
        <w:t>号</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cs="宋体"/>
          <w:sz w:val="21"/>
          <w:szCs w:val="21"/>
        </w:rPr>
      </w:pPr>
      <w:r>
        <w:rPr>
          <w:rFonts w:hint="eastAsia" w:ascii="宋体" w:hAnsi="宋体" w:cs="宋体"/>
          <w:sz w:val="21"/>
          <w:szCs w:val="21"/>
        </w:rPr>
        <w:t>联  系  人： 梁先生</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rPr>
        <w:t xml:space="preserve">电      话： 13974699625  </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cs="宋体"/>
          <w:sz w:val="21"/>
          <w:szCs w:val="21"/>
        </w:rPr>
      </w:pPr>
      <w:r>
        <w:rPr>
          <w:rFonts w:hint="eastAsia" w:ascii="宋体" w:hAnsi="宋体" w:cs="宋体"/>
          <w:sz w:val="21"/>
          <w:szCs w:val="21"/>
        </w:rPr>
        <w:t>招标代理机构：中鼎誉润工程咨询有限公司</w:t>
      </w:r>
      <w:r>
        <w:rPr>
          <w:rFonts w:hint="eastAsia" w:ascii="宋体" w:hAnsi="宋体" w:cs="宋体"/>
          <w:sz w:val="21"/>
          <w:szCs w:val="21"/>
        </w:rPr>
        <w:tab/>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ascii="宋体" w:hAnsi="宋体" w:cs="宋体"/>
          <w:sz w:val="21"/>
          <w:szCs w:val="21"/>
          <w:lang w:val="en-US" w:eastAsia="zh-CN"/>
        </w:rPr>
      </w:pPr>
      <w:r>
        <w:rPr>
          <w:rFonts w:hint="eastAsia" w:ascii="宋体" w:hAnsi="宋体" w:cs="宋体"/>
          <w:sz w:val="21"/>
          <w:szCs w:val="21"/>
        </w:rPr>
        <w:t>地  址：湖南省永州市零陵区风荷路</w:t>
      </w:r>
      <w:r>
        <w:rPr>
          <w:rFonts w:hint="eastAsia" w:ascii="宋体" w:hAnsi="宋体" w:cs="宋体"/>
          <w:sz w:val="21"/>
          <w:szCs w:val="21"/>
          <w:lang w:val="en-US" w:eastAsia="zh-CN"/>
        </w:rPr>
        <w:t>23号</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cs="宋体"/>
          <w:sz w:val="21"/>
          <w:szCs w:val="21"/>
        </w:rPr>
      </w:pPr>
      <w:r>
        <w:rPr>
          <w:rFonts w:hint="eastAsia" w:ascii="宋体" w:hAnsi="宋体" w:cs="宋体"/>
          <w:sz w:val="21"/>
          <w:szCs w:val="21"/>
        </w:rPr>
        <w:t>联系人：周先生    余女士</w:t>
      </w:r>
      <w:r>
        <w:rPr>
          <w:rFonts w:hint="eastAsia" w:ascii="宋体" w:hAnsi="宋体" w:cs="宋体"/>
          <w:sz w:val="21"/>
          <w:szCs w:val="21"/>
        </w:rPr>
        <w:tab/>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cs="宋体"/>
          <w:sz w:val="21"/>
          <w:szCs w:val="21"/>
        </w:rPr>
      </w:pPr>
      <w:r>
        <w:rPr>
          <w:rFonts w:hint="eastAsia" w:ascii="宋体" w:hAnsi="宋体" w:cs="宋体"/>
          <w:sz w:val="21"/>
          <w:szCs w:val="21"/>
        </w:rPr>
        <w:t>电  话：15274678909  15218974673390  0746-6389108</w:t>
      </w:r>
    </w:p>
    <w:p>
      <w:pPr>
        <w:jc w:val="center"/>
        <w:rPr>
          <w:rFonts w:hint="eastAsia" w:ascii="宋体" w:eastAsia="宋体"/>
          <w:sz w:val="36"/>
          <w:szCs w:val="36"/>
          <w:lang w:eastAsia="zh-CN"/>
        </w:rPr>
      </w:pPr>
      <w:r>
        <w:rPr>
          <w:rFonts w:hint="eastAsia" w:ascii="宋体"/>
          <w:b/>
          <w:bCs/>
          <w:sz w:val="36"/>
          <w:szCs w:val="36"/>
        </w:rPr>
        <w:br w:type="page"/>
      </w:r>
      <w:r>
        <w:rPr>
          <w:rFonts w:hint="eastAsia" w:ascii="宋体"/>
          <w:b/>
          <w:bCs/>
          <w:sz w:val="36"/>
          <w:szCs w:val="36"/>
        </w:rPr>
        <w:t xml:space="preserve">第二章  </w:t>
      </w:r>
      <w:bookmarkEnd w:id="4"/>
      <w:bookmarkEnd w:id="5"/>
      <w:bookmarkEnd w:id="6"/>
      <w:bookmarkEnd w:id="7"/>
      <w:r>
        <w:rPr>
          <w:rFonts w:hint="eastAsia" w:ascii="宋体"/>
          <w:b/>
          <w:bCs/>
          <w:sz w:val="36"/>
          <w:szCs w:val="36"/>
          <w:lang w:eastAsia="zh-CN"/>
        </w:rPr>
        <w:t>交易须知</w:t>
      </w:r>
    </w:p>
    <w:p>
      <w:pPr>
        <w:widowControl/>
        <w:autoSpaceDE w:val="0"/>
        <w:autoSpaceDN w:val="0"/>
        <w:spacing w:line="400" w:lineRule="atLeast"/>
        <w:jc w:val="center"/>
        <w:textAlignment w:val="bottom"/>
        <w:rPr>
          <w:rFonts w:ascii="宋体"/>
          <w:bCs/>
          <w:spacing w:val="-12"/>
          <w:sz w:val="24"/>
          <w:szCs w:val="24"/>
        </w:rPr>
      </w:pPr>
      <w:r>
        <w:rPr>
          <w:rFonts w:hint="eastAsia" w:ascii="宋体"/>
          <w:b/>
          <w:bCs/>
          <w:spacing w:val="-12"/>
          <w:sz w:val="24"/>
          <w:szCs w:val="24"/>
        </w:rPr>
        <w:t>一、</w:t>
      </w:r>
      <w:r>
        <w:rPr>
          <w:rFonts w:hint="eastAsia" w:ascii="宋体"/>
          <w:b/>
          <w:bCs/>
          <w:spacing w:val="-12"/>
          <w:sz w:val="24"/>
          <w:szCs w:val="24"/>
          <w:lang w:eastAsia="zh-CN"/>
        </w:rPr>
        <w:t>交</w:t>
      </w:r>
      <w:r>
        <w:rPr>
          <w:rFonts w:hint="eastAsia" w:ascii="宋体"/>
          <w:b/>
          <w:bCs/>
          <w:spacing w:val="-12"/>
          <w:sz w:val="24"/>
          <w:szCs w:val="24"/>
          <w:lang w:val="en-US" w:eastAsia="zh-CN"/>
        </w:rPr>
        <w:t xml:space="preserve"> </w:t>
      </w:r>
      <w:r>
        <w:rPr>
          <w:rFonts w:hint="eastAsia" w:ascii="宋体"/>
          <w:b/>
          <w:bCs/>
          <w:spacing w:val="-12"/>
          <w:sz w:val="24"/>
          <w:szCs w:val="24"/>
          <w:lang w:eastAsia="zh-CN"/>
        </w:rPr>
        <w:t>易</w:t>
      </w:r>
      <w:r>
        <w:rPr>
          <w:rFonts w:hint="eastAsia" w:ascii="宋体"/>
          <w:b/>
          <w:bCs/>
          <w:spacing w:val="-12"/>
          <w:sz w:val="24"/>
          <w:szCs w:val="24"/>
        </w:rPr>
        <w:t xml:space="preserve"> 须 知 前 附 表</w:t>
      </w:r>
    </w:p>
    <w:tbl>
      <w:tblPr>
        <w:tblStyle w:val="16"/>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390"/>
        <w:gridCol w:w="820"/>
        <w:gridCol w:w="5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jc w:val="center"/>
        </w:trPr>
        <w:tc>
          <w:tcPr>
            <w:tcW w:w="943" w:type="dxa"/>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b/>
                <w:sz w:val="21"/>
                <w:szCs w:val="21"/>
              </w:rPr>
            </w:pPr>
            <w:r>
              <w:rPr>
                <w:rFonts w:hint="eastAsia" w:ascii="宋体" w:hAnsi="宋体" w:cs="宋体"/>
                <w:b/>
                <w:sz w:val="21"/>
                <w:szCs w:val="21"/>
              </w:rPr>
              <w:t>条款号</w:t>
            </w:r>
          </w:p>
        </w:tc>
        <w:tc>
          <w:tcPr>
            <w:tcW w:w="3210" w:type="dxa"/>
            <w:gridSpan w:val="2"/>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b/>
                <w:sz w:val="21"/>
                <w:szCs w:val="21"/>
              </w:rPr>
            </w:pPr>
            <w:r>
              <w:rPr>
                <w:rFonts w:hint="eastAsia" w:ascii="宋体" w:hAnsi="宋体" w:cs="宋体"/>
                <w:b/>
                <w:sz w:val="21"/>
                <w:szCs w:val="21"/>
              </w:rPr>
              <w:t>条 款 名 称</w:t>
            </w:r>
          </w:p>
        </w:tc>
        <w:tc>
          <w:tcPr>
            <w:tcW w:w="5809" w:type="dxa"/>
            <w:tcBorders>
              <w:top w:val="single" w:color="auto" w:sz="12"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b/>
                <w:sz w:val="21"/>
                <w:szCs w:val="21"/>
              </w:rPr>
            </w:pPr>
            <w:r>
              <w:rPr>
                <w:rFonts w:hint="eastAsia" w:ascii="宋体" w:hAnsi="宋体" w:cs="宋体"/>
                <w:b/>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1.1.2</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hint="eastAsia" w:ascii="宋体" w:hAnsi="宋体" w:cs="宋体"/>
                <w:sz w:val="21"/>
                <w:szCs w:val="21"/>
                <w:lang w:eastAsia="zh-CN"/>
              </w:rPr>
            </w:pPr>
            <w:r>
              <w:rPr>
                <w:rFonts w:hint="eastAsia" w:ascii="宋体" w:hAnsi="宋体" w:cs="宋体"/>
                <w:sz w:val="21"/>
                <w:szCs w:val="21"/>
                <w:lang w:eastAsia="zh-CN"/>
              </w:rPr>
              <w:t>交易单位</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hint="eastAsia" w:ascii="宋体" w:hAnsi="宋体" w:cs="宋体"/>
                <w:sz w:val="21"/>
                <w:szCs w:val="21"/>
              </w:rPr>
            </w:pPr>
            <w:r>
              <w:rPr>
                <w:rFonts w:hint="eastAsia" w:ascii="宋体" w:hAnsi="宋体" w:cs="宋体"/>
                <w:sz w:val="21"/>
                <w:szCs w:val="21"/>
              </w:rPr>
              <w:t>名    称：</w:t>
            </w:r>
            <w:r>
              <w:rPr>
                <w:rFonts w:hint="eastAsia" w:ascii="宋体" w:hAnsi="宋体" w:cs="宋体"/>
                <w:sz w:val="21"/>
                <w:szCs w:val="21"/>
                <w:lang w:eastAsia="zh-CN"/>
              </w:rPr>
              <w:t>双牌县公路管理站</w:t>
            </w:r>
          </w:p>
          <w:p>
            <w:pPr>
              <w:keepNext w:val="0"/>
              <w:keepLines w:val="0"/>
              <w:pageBreakBefore w:val="0"/>
              <w:kinsoku/>
              <w:wordWrap/>
              <w:overflowPunct/>
              <w:topLinePunct w:val="0"/>
              <w:autoSpaceDE/>
              <w:autoSpaceDN/>
              <w:bidi w:val="0"/>
              <w:spacing w:line="500" w:lineRule="exact"/>
              <w:textAlignment w:val="auto"/>
              <w:rPr>
                <w:rFonts w:hint="eastAsia" w:ascii="宋体" w:hAnsi="宋体" w:cs="宋体"/>
                <w:sz w:val="21"/>
                <w:szCs w:val="21"/>
                <w:lang w:eastAsia="zh-CN"/>
              </w:rPr>
            </w:pPr>
            <w:r>
              <w:rPr>
                <w:rFonts w:hint="eastAsia" w:ascii="宋体" w:hAnsi="宋体" w:cs="宋体"/>
                <w:sz w:val="21"/>
                <w:szCs w:val="21"/>
              </w:rPr>
              <w:t>地    址：</w:t>
            </w:r>
            <w:r>
              <w:rPr>
                <w:rFonts w:hint="eastAsia" w:ascii="宋体" w:hAnsi="宋体" w:cs="宋体"/>
                <w:sz w:val="21"/>
                <w:szCs w:val="21"/>
                <w:lang w:eastAsia="zh-CN"/>
              </w:rPr>
              <w:t>双牌县阳明路</w:t>
            </w:r>
            <w:r>
              <w:rPr>
                <w:rFonts w:hint="eastAsia" w:ascii="宋体" w:hAnsi="宋体" w:cs="宋体"/>
                <w:sz w:val="21"/>
                <w:szCs w:val="21"/>
                <w:lang w:val="en-US" w:eastAsia="zh-CN"/>
              </w:rPr>
              <w:t>105</w:t>
            </w:r>
            <w:r>
              <w:rPr>
                <w:rFonts w:hint="eastAsia" w:ascii="宋体" w:hAnsi="宋体" w:cs="宋体"/>
                <w:sz w:val="21"/>
                <w:szCs w:val="21"/>
                <w:lang w:eastAsia="zh-CN"/>
              </w:rPr>
              <w:t>号</w:t>
            </w:r>
          </w:p>
          <w:p>
            <w:pPr>
              <w:keepNext w:val="0"/>
              <w:keepLines w:val="0"/>
              <w:pageBreakBefore w:val="0"/>
              <w:kinsoku/>
              <w:wordWrap/>
              <w:overflowPunct/>
              <w:topLinePunct w:val="0"/>
              <w:autoSpaceDE/>
              <w:autoSpaceDN/>
              <w:bidi w:val="0"/>
              <w:spacing w:line="500" w:lineRule="exact"/>
              <w:textAlignment w:val="auto"/>
              <w:rPr>
                <w:rFonts w:hint="eastAsia" w:ascii="宋体" w:hAnsi="宋体" w:cs="宋体"/>
                <w:sz w:val="21"/>
                <w:szCs w:val="21"/>
              </w:rPr>
            </w:pPr>
            <w:r>
              <w:rPr>
                <w:rFonts w:hint="eastAsia" w:ascii="宋体" w:hAnsi="宋体" w:cs="宋体"/>
                <w:sz w:val="21"/>
                <w:szCs w:val="21"/>
              </w:rPr>
              <w:t>联 系 人：梁先生   13974699625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1.1.3</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招标代理机构</w:t>
            </w:r>
          </w:p>
        </w:tc>
        <w:tc>
          <w:tcPr>
            <w:tcW w:w="5809" w:type="dxa"/>
            <w:tcBorders>
              <w:top w:val="single" w:color="auto" w:sz="4" w:space="0"/>
              <w:left w:val="single" w:color="auto" w:sz="4" w:space="0"/>
              <w:bottom w:val="single" w:color="auto" w:sz="4" w:space="0"/>
              <w:right w:val="single" w:color="auto" w:sz="12" w:space="0"/>
            </w:tcBorders>
            <w:vAlign w:val="center"/>
          </w:tcPr>
          <w:p>
            <w:pPr>
              <w:pStyle w:val="32"/>
              <w:keepNext w:val="0"/>
              <w:keepLines w:val="0"/>
              <w:pageBreakBefore w:val="0"/>
              <w:tabs>
                <w:tab w:val="clear" w:pos="4320"/>
                <w:tab w:val="clear" w:pos="8640"/>
              </w:tabs>
              <w:kinsoku/>
              <w:wordWrap/>
              <w:overflowPunct/>
              <w:topLinePunct w:val="0"/>
              <w:autoSpaceDE/>
              <w:autoSpaceDN/>
              <w:bidi w:val="0"/>
              <w:adjustRightInd/>
              <w:spacing w:line="500" w:lineRule="exact"/>
              <w:ind w:left="1890" w:hanging="1890" w:hangingChars="900"/>
              <w:textAlignment w:val="auto"/>
              <w:rPr>
                <w:rFonts w:hAnsi="宋体" w:cs="宋体"/>
                <w:sz w:val="21"/>
                <w:szCs w:val="21"/>
              </w:rPr>
            </w:pPr>
            <w:r>
              <w:rPr>
                <w:rFonts w:hint="eastAsia" w:hAnsi="宋体" w:cs="宋体"/>
                <w:kern w:val="2"/>
                <w:sz w:val="21"/>
                <w:szCs w:val="21"/>
              </w:rPr>
              <w:t>名    称：</w:t>
            </w:r>
            <w:r>
              <w:rPr>
                <w:rFonts w:hint="eastAsia" w:hAnsi="宋体" w:cs="宋体"/>
                <w:sz w:val="21"/>
                <w:szCs w:val="21"/>
              </w:rPr>
              <w:t>中鼎誉润工程咨询有限公司</w:t>
            </w:r>
          </w:p>
          <w:p>
            <w:pPr>
              <w:pStyle w:val="32"/>
              <w:keepNext w:val="0"/>
              <w:keepLines w:val="0"/>
              <w:pageBreakBefore w:val="0"/>
              <w:tabs>
                <w:tab w:val="clear" w:pos="4320"/>
                <w:tab w:val="clear" w:pos="8640"/>
              </w:tabs>
              <w:kinsoku/>
              <w:wordWrap/>
              <w:overflowPunct/>
              <w:topLinePunct w:val="0"/>
              <w:autoSpaceDE/>
              <w:autoSpaceDN/>
              <w:bidi w:val="0"/>
              <w:adjustRightInd/>
              <w:spacing w:line="500" w:lineRule="exact"/>
              <w:ind w:left="1890" w:hanging="1890" w:hangingChars="900"/>
              <w:textAlignment w:val="auto"/>
              <w:rPr>
                <w:rFonts w:hint="default" w:hAnsi="宋体" w:eastAsia="宋体" w:cs="宋体"/>
                <w:kern w:val="2"/>
                <w:sz w:val="21"/>
                <w:szCs w:val="21"/>
                <w:lang w:val="en-US" w:eastAsia="zh-CN"/>
              </w:rPr>
            </w:pPr>
            <w:r>
              <w:rPr>
                <w:rFonts w:hint="eastAsia" w:hAnsi="宋体" w:cs="宋体"/>
                <w:kern w:val="2"/>
                <w:sz w:val="21"/>
                <w:szCs w:val="21"/>
              </w:rPr>
              <w:t>地    址：</w:t>
            </w:r>
            <w:r>
              <w:rPr>
                <w:rFonts w:hint="eastAsia" w:hAnsi="宋体" w:cs="宋体"/>
                <w:sz w:val="21"/>
                <w:szCs w:val="21"/>
              </w:rPr>
              <w:t>永州市零陵区风荷路</w:t>
            </w:r>
            <w:r>
              <w:rPr>
                <w:rFonts w:hint="eastAsia" w:hAnsi="宋体" w:cs="宋体"/>
                <w:sz w:val="21"/>
                <w:szCs w:val="21"/>
                <w:lang w:val="en-US" w:eastAsia="zh-CN"/>
              </w:rPr>
              <w:t>23号</w:t>
            </w:r>
          </w:p>
          <w:p>
            <w:pPr>
              <w:keepNext w:val="0"/>
              <w:keepLines w:val="0"/>
              <w:pageBreakBefore w:val="0"/>
              <w:kinsoku/>
              <w:wordWrap/>
              <w:overflowPunct/>
              <w:topLinePunct w:val="0"/>
              <w:autoSpaceDE/>
              <w:autoSpaceDN/>
              <w:bidi w:val="0"/>
              <w:spacing w:line="500" w:lineRule="exact"/>
              <w:textAlignment w:val="auto"/>
              <w:rPr>
                <w:rFonts w:hint="eastAsia" w:ascii="宋体" w:hAnsi="宋体" w:cs="宋体"/>
                <w:sz w:val="21"/>
                <w:szCs w:val="21"/>
              </w:rPr>
            </w:pPr>
            <w:r>
              <w:rPr>
                <w:rFonts w:hint="eastAsia" w:ascii="宋体" w:hAnsi="宋体" w:cs="宋体"/>
                <w:sz w:val="21"/>
                <w:szCs w:val="21"/>
              </w:rPr>
              <w:t xml:space="preserve">联 系 人：周先生 余女士   </w:t>
            </w:r>
          </w:p>
          <w:p>
            <w:pPr>
              <w:keepNext w:val="0"/>
              <w:keepLines w:val="0"/>
              <w:pageBreakBefore w:val="0"/>
              <w:kinsoku/>
              <w:wordWrap/>
              <w:overflowPunct/>
              <w:topLinePunct w:val="0"/>
              <w:autoSpaceDE/>
              <w:autoSpaceDN/>
              <w:bidi w:val="0"/>
              <w:spacing w:line="500" w:lineRule="exact"/>
              <w:textAlignment w:val="auto"/>
              <w:rPr>
                <w:rFonts w:ascii="宋体" w:hAnsi="宋体" w:cs="宋体"/>
                <w:kern w:val="0"/>
                <w:sz w:val="21"/>
                <w:szCs w:val="21"/>
              </w:rPr>
            </w:pPr>
            <w:r>
              <w:rPr>
                <w:rFonts w:hint="eastAsia" w:ascii="宋体" w:hAnsi="宋体" w:cs="宋体"/>
                <w:sz w:val="21"/>
                <w:szCs w:val="21"/>
              </w:rPr>
              <w:t xml:space="preserve"> 电话：0746-6389108  15274678909   18974673390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1.1.4</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项目名称</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sz w:val="21"/>
                <w:szCs w:val="21"/>
                <w:u w:val="single"/>
              </w:rPr>
            </w:pPr>
            <w:r>
              <w:rPr>
                <w:rFonts w:hint="eastAsia" w:ascii="宋体"/>
                <w:sz w:val="21"/>
                <w:szCs w:val="21"/>
                <w:lang w:eastAsia="zh-CN"/>
              </w:rPr>
              <w:t>双牌县双红线服务区改造装修工程</w:t>
            </w:r>
          </w:p>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1.1.5</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建设地点</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永州市</w:t>
            </w:r>
            <w:r>
              <w:rPr>
                <w:rFonts w:hint="eastAsia" w:ascii="宋体" w:hAnsi="宋体" w:cs="宋体"/>
                <w:sz w:val="21"/>
                <w:szCs w:val="21"/>
                <w:lang w:eastAsia="zh-CN"/>
              </w:rPr>
              <w:t>双牌</w:t>
            </w:r>
            <w:r>
              <w:rPr>
                <w:rFonts w:hint="eastAsia" w:ascii="宋体" w:hAnsi="宋体" w:cs="宋体"/>
                <w:sz w:val="21"/>
                <w:szCs w:val="21"/>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highlight w:val="none"/>
              </w:rPr>
            </w:pPr>
            <w:r>
              <w:rPr>
                <w:rFonts w:hint="eastAsia" w:ascii="宋体" w:hAnsi="宋体" w:cs="宋体"/>
                <w:sz w:val="21"/>
                <w:szCs w:val="21"/>
                <w:highlight w:val="none"/>
              </w:rPr>
              <w:t>1.2.1</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highlight w:val="none"/>
              </w:rPr>
            </w:pPr>
            <w:r>
              <w:rPr>
                <w:rFonts w:hint="eastAsia" w:ascii="宋体" w:hAnsi="宋体" w:cs="宋体"/>
                <w:sz w:val="21"/>
                <w:szCs w:val="21"/>
                <w:highlight w:val="none"/>
              </w:rPr>
              <w:t>资金来源及比例</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hint="default" w:ascii="宋体" w:hAnsi="宋体" w:eastAsia="宋体" w:cs="宋体"/>
                <w:sz w:val="21"/>
                <w:szCs w:val="21"/>
                <w:highlight w:val="yellow"/>
                <w:lang w:val="en-US" w:eastAsia="zh-CN"/>
              </w:rPr>
            </w:pPr>
            <w:r>
              <w:rPr>
                <w:rFonts w:hint="eastAsia" w:ascii="宋体" w:hAnsi="宋体" w:cs="宋体"/>
                <w:sz w:val="21"/>
                <w:szCs w:val="21"/>
                <w:lang w:eastAsia="zh-CN"/>
              </w:rPr>
              <w:t>专项</w:t>
            </w:r>
            <w:r>
              <w:rPr>
                <w:rFonts w:hint="eastAsia" w:ascii="宋体" w:hAnsi="宋体" w:cs="宋体"/>
                <w:sz w:val="21"/>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1.2.2</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资金落实情况</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1.3.1</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招标范围</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hint="eastAsia" w:ascii="宋体" w:hAnsi="宋体" w:eastAsia="宋体" w:cs="宋体"/>
                <w:sz w:val="21"/>
                <w:szCs w:val="21"/>
                <w:lang w:eastAsia="zh-CN"/>
              </w:rPr>
            </w:pPr>
            <w:r>
              <w:rPr>
                <w:rFonts w:hint="eastAsia" w:ascii="宋体" w:hAnsi="宋体" w:cs="宋体"/>
                <w:sz w:val="21"/>
                <w:szCs w:val="21"/>
              </w:rPr>
              <w:t>详见</w:t>
            </w:r>
            <w:r>
              <w:rPr>
                <w:rFonts w:hint="eastAsia" w:ascii="宋体" w:hAnsi="宋体" w:cs="宋体"/>
                <w:sz w:val="21"/>
                <w:szCs w:val="21"/>
                <w:lang w:eastAsia="zh-CN"/>
              </w:rPr>
              <w:t>交易公告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1.3.2</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计划工期</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计划工期：2个月（日历月）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1.3.3</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质量要求</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项目工程交工验收的质量评定：合格</w:t>
            </w:r>
          </w:p>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竣工验收的质量评定：合格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1.3.4</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安全目标</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杜绝死亡重伤事故,轻伤事故率为0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1.4.1</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lang w:eastAsia="zh-CN"/>
              </w:rPr>
              <w:t>交易响应单位</w:t>
            </w:r>
            <w:r>
              <w:rPr>
                <w:rFonts w:hint="eastAsia" w:ascii="宋体" w:hAnsi="宋体" w:cs="宋体"/>
                <w:sz w:val="21"/>
                <w:szCs w:val="21"/>
              </w:rPr>
              <w:t>资质条件、能力和信誉</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资质条件：见附录1</w:t>
            </w:r>
          </w:p>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财务要求：见附录2</w:t>
            </w:r>
          </w:p>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业绩要求：见附录3</w:t>
            </w:r>
          </w:p>
          <w:p>
            <w:pPr>
              <w:keepNext w:val="0"/>
              <w:keepLines w:val="0"/>
              <w:pageBreakBefore w:val="0"/>
              <w:kinsoku/>
              <w:wordWrap/>
              <w:overflowPunct/>
              <w:topLinePunct w:val="0"/>
              <w:autoSpaceDE/>
              <w:autoSpaceDN/>
              <w:bidi w:val="0"/>
              <w:spacing w:line="500" w:lineRule="exact"/>
              <w:ind w:left="1050" w:hanging="1050" w:hangingChars="500"/>
              <w:textAlignment w:val="auto"/>
              <w:rPr>
                <w:rFonts w:ascii="宋体" w:hAnsi="宋体" w:cs="宋体"/>
                <w:sz w:val="21"/>
                <w:szCs w:val="21"/>
              </w:rPr>
            </w:pPr>
            <w:r>
              <w:rPr>
                <w:rFonts w:hint="eastAsia" w:ascii="宋体" w:hAnsi="宋体" w:cs="宋体"/>
                <w:sz w:val="21"/>
                <w:szCs w:val="21"/>
              </w:rPr>
              <w:t>信誉要求：见附录4</w:t>
            </w:r>
          </w:p>
          <w:p>
            <w:pPr>
              <w:keepNext w:val="0"/>
              <w:keepLines w:val="0"/>
              <w:pageBreakBefore w:val="0"/>
              <w:kinsoku/>
              <w:wordWrap/>
              <w:overflowPunct/>
              <w:topLinePunct w:val="0"/>
              <w:autoSpaceDE/>
              <w:autoSpaceDN/>
              <w:bidi w:val="0"/>
              <w:spacing w:line="500" w:lineRule="exact"/>
              <w:ind w:left="1050" w:hanging="1050" w:hangingChars="500"/>
              <w:textAlignment w:val="auto"/>
              <w:rPr>
                <w:rFonts w:ascii="宋体" w:hAnsi="宋体" w:cs="宋体"/>
                <w:sz w:val="21"/>
                <w:szCs w:val="21"/>
              </w:rPr>
            </w:pPr>
            <w:r>
              <w:rPr>
                <w:rFonts w:hint="eastAsia" w:ascii="宋体" w:hAnsi="宋体" w:cs="宋体"/>
                <w:sz w:val="21"/>
                <w:szCs w:val="21"/>
              </w:rPr>
              <w:t>项目经理和</w:t>
            </w:r>
            <w:r>
              <w:rPr>
                <w:rFonts w:hint="eastAsia" w:ascii="宋体" w:hAnsi="宋体" w:cs="宋体"/>
                <w:sz w:val="21"/>
                <w:szCs w:val="21"/>
                <w:lang w:eastAsia="zh-CN"/>
              </w:rPr>
              <w:t>项目总工程师</w:t>
            </w:r>
            <w:r>
              <w:rPr>
                <w:rFonts w:hint="eastAsia" w:ascii="宋体" w:hAnsi="宋体" w:cs="宋体"/>
                <w:sz w:val="21"/>
                <w:szCs w:val="21"/>
              </w:rPr>
              <w:t>资格：见附录5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1.4.2</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是否接受联合体投标</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ind w:right="226"/>
              <w:textAlignment w:val="auto"/>
              <w:rPr>
                <w:rFonts w:ascii="宋体" w:hAnsi="宋体" w:cs="宋体"/>
                <w:sz w:val="21"/>
                <w:szCs w:val="21"/>
              </w:rPr>
            </w:pPr>
            <w:r>
              <w:rPr>
                <w:rFonts w:hint="eastAsia" w:ascii="宋体" w:hAnsi="宋体" w:cs="宋体"/>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0"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1.4.3</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lang w:eastAsia="zh-CN"/>
              </w:rPr>
              <w:t>交易响应单位</w:t>
            </w:r>
            <w:r>
              <w:rPr>
                <w:rFonts w:hint="eastAsia" w:ascii="宋体" w:hAnsi="宋体" w:cs="宋体"/>
                <w:sz w:val="21"/>
                <w:szCs w:val="21"/>
              </w:rPr>
              <w:t>不得存在的其他关联情形</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（1）为招标人不具有独立法人资格的附属机构（单位）；</w:t>
            </w:r>
          </w:p>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（2）与招标人存在利害关系且可能影响招标公正性；</w:t>
            </w:r>
          </w:p>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（3）与本标段的其他</w:t>
            </w:r>
            <w:r>
              <w:rPr>
                <w:rFonts w:hint="eastAsia" w:ascii="宋体" w:hAnsi="宋体" w:cs="宋体"/>
                <w:sz w:val="21"/>
                <w:szCs w:val="21"/>
                <w:lang w:eastAsia="zh-CN"/>
              </w:rPr>
              <w:t>交易响应单位</w:t>
            </w:r>
            <w:r>
              <w:rPr>
                <w:rFonts w:hint="eastAsia" w:ascii="宋体" w:hAnsi="宋体" w:cs="宋体"/>
                <w:sz w:val="21"/>
                <w:szCs w:val="21"/>
              </w:rPr>
              <w:t>同为一个单位负责人；</w:t>
            </w:r>
          </w:p>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（4）与本标段的其他</w:t>
            </w:r>
            <w:r>
              <w:rPr>
                <w:rFonts w:hint="eastAsia" w:ascii="宋体" w:hAnsi="宋体" w:cs="宋体"/>
                <w:sz w:val="21"/>
                <w:szCs w:val="21"/>
                <w:lang w:eastAsia="zh-CN"/>
              </w:rPr>
              <w:t>交易响应单位</w:t>
            </w:r>
            <w:r>
              <w:rPr>
                <w:rFonts w:hint="eastAsia" w:ascii="宋体" w:hAnsi="宋体" w:cs="宋体"/>
                <w:sz w:val="21"/>
                <w:szCs w:val="21"/>
              </w:rPr>
              <w:t>存在控股、管理关系；</w:t>
            </w:r>
          </w:p>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（5）为本标段前期准备提供设计或咨询服务的法人或其任何附属机构（单位）；</w:t>
            </w:r>
          </w:p>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（6）为本标段的监理人；</w:t>
            </w:r>
          </w:p>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（7）为本标段的代建人；</w:t>
            </w:r>
          </w:p>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（8）为本标段的招标代理机构；</w:t>
            </w:r>
          </w:p>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（9）与本标段的监理人或代建人或招标代理机构同为一个法定代表人；</w:t>
            </w:r>
          </w:p>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（10）与本标段的监理人或代建人或招标代理机构存在控股或参股关系；</w:t>
            </w:r>
          </w:p>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（11）法律法规或</w:t>
            </w:r>
            <w:r>
              <w:rPr>
                <w:rFonts w:hint="eastAsia" w:ascii="宋体" w:hAnsi="宋体" w:cs="宋体"/>
                <w:sz w:val="21"/>
                <w:szCs w:val="21"/>
                <w:lang w:eastAsia="zh-CN"/>
              </w:rPr>
              <w:t>交易须知</w:t>
            </w:r>
            <w:r>
              <w:rPr>
                <w:rFonts w:hint="eastAsia" w:ascii="宋体" w:hAnsi="宋体" w:cs="宋体"/>
                <w:sz w:val="21"/>
                <w:szCs w:val="21"/>
              </w:rPr>
              <w:t>前附表规定的其他情形。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1.4.4</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lang w:eastAsia="zh-CN"/>
              </w:rPr>
              <w:t>交易响应单位</w:t>
            </w:r>
            <w:r>
              <w:rPr>
                <w:rFonts w:hint="eastAsia" w:ascii="宋体" w:hAnsi="宋体" w:cs="宋体"/>
                <w:sz w:val="21"/>
                <w:szCs w:val="21"/>
              </w:rPr>
              <w:t>不得存在的其他不良状况或不良行为记录</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jc w:val="left"/>
              <w:textAlignment w:val="auto"/>
              <w:rPr>
                <w:rFonts w:ascii="宋体" w:hAnsi="宋体" w:cs="宋体"/>
                <w:sz w:val="21"/>
                <w:szCs w:val="21"/>
              </w:rPr>
            </w:pPr>
            <w:r>
              <w:rPr>
                <w:rFonts w:hint="eastAsia" w:ascii="宋体" w:hAnsi="宋体" w:cs="宋体"/>
                <w:sz w:val="21"/>
                <w:szCs w:val="21"/>
              </w:rPr>
              <w:t>（1）被省级及以上交通运输主管部门取消招标项目所在地的投标资格且处于有效期内；</w:t>
            </w:r>
          </w:p>
          <w:p>
            <w:pPr>
              <w:keepNext w:val="0"/>
              <w:keepLines w:val="0"/>
              <w:pageBreakBefore w:val="0"/>
              <w:kinsoku/>
              <w:wordWrap/>
              <w:overflowPunct/>
              <w:topLinePunct w:val="0"/>
              <w:autoSpaceDE/>
              <w:autoSpaceDN/>
              <w:bidi w:val="0"/>
              <w:spacing w:line="500" w:lineRule="exact"/>
              <w:jc w:val="left"/>
              <w:textAlignment w:val="auto"/>
              <w:rPr>
                <w:rFonts w:ascii="宋体" w:hAnsi="宋体" w:cs="宋体"/>
                <w:sz w:val="21"/>
                <w:szCs w:val="21"/>
              </w:rPr>
            </w:pPr>
            <w:r>
              <w:rPr>
                <w:rFonts w:hint="eastAsia" w:ascii="宋体" w:hAnsi="宋体" w:cs="宋体"/>
                <w:sz w:val="21"/>
                <w:szCs w:val="21"/>
              </w:rPr>
              <w:t>（2）被责令停业，暂扣或吊销执照，或吊销资质证书；</w:t>
            </w:r>
          </w:p>
          <w:p>
            <w:pPr>
              <w:keepNext w:val="0"/>
              <w:keepLines w:val="0"/>
              <w:pageBreakBefore w:val="0"/>
              <w:kinsoku/>
              <w:wordWrap/>
              <w:overflowPunct/>
              <w:topLinePunct w:val="0"/>
              <w:autoSpaceDE/>
              <w:autoSpaceDN/>
              <w:bidi w:val="0"/>
              <w:spacing w:line="500" w:lineRule="exact"/>
              <w:jc w:val="left"/>
              <w:textAlignment w:val="auto"/>
              <w:rPr>
                <w:rFonts w:ascii="宋体" w:hAnsi="宋体" w:cs="宋体"/>
                <w:sz w:val="21"/>
                <w:szCs w:val="21"/>
              </w:rPr>
            </w:pPr>
            <w:r>
              <w:rPr>
                <w:rFonts w:hint="eastAsia" w:ascii="宋体" w:hAnsi="宋体" w:cs="宋体"/>
                <w:sz w:val="21"/>
                <w:szCs w:val="21"/>
              </w:rPr>
              <w:t>（3）进入清算程序，或被宣告破产，或其他丧失履约能力的情形；</w:t>
            </w:r>
          </w:p>
          <w:p>
            <w:pPr>
              <w:keepNext w:val="0"/>
              <w:keepLines w:val="0"/>
              <w:pageBreakBefore w:val="0"/>
              <w:kinsoku/>
              <w:wordWrap/>
              <w:overflowPunct/>
              <w:topLinePunct w:val="0"/>
              <w:autoSpaceDE/>
              <w:autoSpaceDN/>
              <w:bidi w:val="0"/>
              <w:spacing w:line="500" w:lineRule="exact"/>
              <w:jc w:val="left"/>
              <w:textAlignment w:val="auto"/>
              <w:rPr>
                <w:rFonts w:ascii="宋体" w:hAnsi="宋体" w:cs="宋体"/>
                <w:sz w:val="21"/>
                <w:szCs w:val="21"/>
              </w:rPr>
            </w:pPr>
            <w:r>
              <w:rPr>
                <w:rFonts w:hint="eastAsia" w:ascii="宋体" w:hAnsi="宋体" w:cs="宋体"/>
                <w:sz w:val="21"/>
                <w:szCs w:val="21"/>
              </w:rPr>
              <w:t>（4）在国家企业信用信息公示系统中被列入严重违法失信企业名单；</w:t>
            </w:r>
          </w:p>
          <w:p>
            <w:pPr>
              <w:keepNext w:val="0"/>
              <w:keepLines w:val="0"/>
              <w:pageBreakBefore w:val="0"/>
              <w:kinsoku/>
              <w:wordWrap/>
              <w:overflowPunct/>
              <w:topLinePunct w:val="0"/>
              <w:autoSpaceDE/>
              <w:autoSpaceDN/>
              <w:bidi w:val="0"/>
              <w:spacing w:line="500" w:lineRule="exact"/>
              <w:jc w:val="left"/>
              <w:textAlignment w:val="auto"/>
              <w:rPr>
                <w:rFonts w:ascii="宋体" w:hAnsi="宋体" w:cs="宋体"/>
                <w:sz w:val="21"/>
                <w:szCs w:val="21"/>
              </w:rPr>
            </w:pPr>
            <w:r>
              <w:rPr>
                <w:rFonts w:hint="eastAsia" w:ascii="宋体" w:hAnsi="宋体" w:cs="宋体"/>
                <w:sz w:val="21"/>
                <w:szCs w:val="21"/>
              </w:rPr>
              <w:t>（5）在“信用中国”网站中被列入失信被执行人名单；</w:t>
            </w:r>
          </w:p>
          <w:p>
            <w:pPr>
              <w:keepNext w:val="0"/>
              <w:keepLines w:val="0"/>
              <w:pageBreakBefore w:val="0"/>
              <w:kinsoku/>
              <w:wordWrap/>
              <w:overflowPunct/>
              <w:topLinePunct w:val="0"/>
              <w:autoSpaceDE/>
              <w:autoSpaceDN/>
              <w:bidi w:val="0"/>
              <w:spacing w:line="500" w:lineRule="exact"/>
              <w:jc w:val="left"/>
              <w:textAlignment w:val="auto"/>
              <w:rPr>
                <w:rFonts w:ascii="宋体" w:hAnsi="宋体" w:cs="宋体"/>
                <w:sz w:val="21"/>
                <w:szCs w:val="21"/>
              </w:rPr>
            </w:pPr>
            <w:r>
              <w:rPr>
                <w:rFonts w:hint="eastAsia" w:ascii="宋体" w:hAnsi="宋体" w:cs="宋体"/>
                <w:sz w:val="21"/>
                <w:szCs w:val="21"/>
              </w:rPr>
              <w:t>（6）法律法规规定的其他情形。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1.10.2</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lang w:eastAsia="zh-CN"/>
              </w:rPr>
              <w:t>交易响应单位</w:t>
            </w:r>
            <w:r>
              <w:rPr>
                <w:rFonts w:hint="eastAsia" w:ascii="宋体" w:hAnsi="宋体" w:cs="宋体"/>
                <w:sz w:val="21"/>
                <w:szCs w:val="21"/>
              </w:rPr>
              <w:t>在投标预备会前提出问题</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时间：递交</w:t>
            </w:r>
            <w:r>
              <w:rPr>
                <w:rFonts w:hint="eastAsia" w:ascii="宋体" w:hAnsi="宋体" w:cs="宋体"/>
                <w:sz w:val="21"/>
                <w:szCs w:val="21"/>
                <w:lang w:eastAsia="zh-CN"/>
              </w:rPr>
              <w:t>交易响应文件</w:t>
            </w:r>
            <w:r>
              <w:rPr>
                <w:rFonts w:hint="eastAsia" w:ascii="宋体" w:hAnsi="宋体" w:cs="宋体"/>
                <w:sz w:val="21"/>
                <w:szCs w:val="21"/>
              </w:rPr>
              <w:t>截止之日</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3</w:t>
            </w:r>
            <w:r>
              <w:rPr>
                <w:rFonts w:hint="eastAsia" w:ascii="宋体" w:hAnsi="宋体" w:cs="宋体"/>
                <w:sz w:val="21"/>
                <w:szCs w:val="21"/>
                <w:u w:val="single"/>
              </w:rPr>
              <w:t xml:space="preserve">  </w:t>
            </w:r>
            <w:r>
              <w:rPr>
                <w:rFonts w:hint="eastAsia" w:ascii="宋体" w:hAnsi="宋体" w:cs="宋体"/>
                <w:sz w:val="21"/>
                <w:szCs w:val="21"/>
              </w:rPr>
              <w:t>天前</w:t>
            </w:r>
          </w:p>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形式：书面形式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1.11.1</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分包</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ind w:right="226"/>
              <w:textAlignment w:val="auto"/>
              <w:rPr>
                <w:rFonts w:ascii="宋体" w:hAnsi="宋体" w:cs="宋体"/>
                <w:sz w:val="21"/>
                <w:szCs w:val="21"/>
              </w:rPr>
            </w:pPr>
            <w:r>
              <w:rPr>
                <w:rFonts w:hint="eastAsia" w:ascii="宋体" w:hAnsi="宋体" w:cs="宋体"/>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1.12</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偏离</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ind w:right="226"/>
              <w:textAlignment w:val="auto"/>
              <w:rPr>
                <w:rFonts w:ascii="宋体" w:hAnsi="宋体" w:cs="宋体"/>
                <w:sz w:val="21"/>
                <w:szCs w:val="21"/>
              </w:rPr>
            </w:pPr>
            <w:r>
              <w:rPr>
                <w:rFonts w:hint="eastAsia" w:ascii="宋体" w:hAnsi="宋体" w:cs="宋体"/>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2.1</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构成</w:t>
            </w:r>
            <w:r>
              <w:rPr>
                <w:rFonts w:hint="eastAsia" w:ascii="宋体" w:hAnsi="宋体" w:cs="宋体"/>
                <w:sz w:val="21"/>
                <w:szCs w:val="21"/>
                <w:lang w:eastAsia="zh-CN"/>
              </w:rPr>
              <w:t>交易文件</w:t>
            </w:r>
            <w:r>
              <w:rPr>
                <w:rFonts w:hint="eastAsia" w:ascii="宋体" w:hAnsi="宋体" w:cs="宋体"/>
                <w:sz w:val="21"/>
                <w:szCs w:val="21"/>
              </w:rPr>
              <w:t>的其他材料</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招标人文件补遗书（如有）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2.2.1</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hint="eastAsia" w:ascii="宋体" w:hAnsi="宋体" w:eastAsia="宋体" w:cs="宋体"/>
                <w:sz w:val="21"/>
                <w:szCs w:val="21"/>
                <w:lang w:eastAsia="zh-CN"/>
              </w:rPr>
            </w:pPr>
            <w:r>
              <w:rPr>
                <w:rFonts w:hint="eastAsia" w:ascii="宋体" w:hAnsi="宋体" w:cs="宋体"/>
                <w:sz w:val="21"/>
                <w:szCs w:val="21"/>
                <w:lang w:eastAsia="zh-CN"/>
              </w:rPr>
              <w:t>交易响应单位</w:t>
            </w:r>
            <w:r>
              <w:rPr>
                <w:rFonts w:hint="eastAsia" w:ascii="宋体" w:hAnsi="宋体" w:cs="宋体"/>
                <w:sz w:val="21"/>
                <w:szCs w:val="21"/>
              </w:rPr>
              <w:t>要求澄清</w:t>
            </w:r>
            <w:r>
              <w:rPr>
                <w:rFonts w:hint="eastAsia" w:ascii="宋体" w:hAnsi="宋体" w:cs="宋体"/>
                <w:sz w:val="21"/>
                <w:szCs w:val="21"/>
                <w:lang w:eastAsia="zh-CN"/>
              </w:rPr>
              <w:t>交易文件</w:t>
            </w:r>
          </w:p>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的截止时间</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时间：递交</w:t>
            </w:r>
            <w:r>
              <w:rPr>
                <w:rFonts w:hint="eastAsia" w:ascii="宋体" w:hAnsi="宋体" w:cs="宋体"/>
                <w:sz w:val="21"/>
                <w:szCs w:val="21"/>
                <w:lang w:eastAsia="zh-CN"/>
              </w:rPr>
              <w:t>交易响应文件</w:t>
            </w:r>
            <w:r>
              <w:rPr>
                <w:rFonts w:hint="eastAsia" w:ascii="宋体" w:hAnsi="宋体" w:cs="宋体"/>
                <w:sz w:val="21"/>
                <w:szCs w:val="21"/>
              </w:rPr>
              <w:t>截止之日</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3</w:t>
            </w:r>
            <w:r>
              <w:rPr>
                <w:rFonts w:hint="eastAsia" w:ascii="宋体" w:hAnsi="宋体" w:cs="宋体"/>
                <w:sz w:val="21"/>
                <w:szCs w:val="21"/>
                <w:u w:val="single"/>
              </w:rPr>
              <w:t xml:space="preserve"> </w:t>
            </w:r>
            <w:r>
              <w:rPr>
                <w:rFonts w:hint="eastAsia" w:ascii="宋体" w:hAnsi="宋体" w:cs="宋体"/>
                <w:sz w:val="21"/>
                <w:szCs w:val="21"/>
              </w:rPr>
              <w:t>天前</w:t>
            </w:r>
          </w:p>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形式：</w:t>
            </w:r>
            <w:r>
              <w:rPr>
                <w:rFonts w:hint="eastAsia" w:ascii="宋体" w:hAnsi="宋体"/>
                <w:sz w:val="21"/>
                <w:szCs w:val="21"/>
              </w:rPr>
              <w:t>在《永州市公共资源交易网》上发布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2.2.2</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lang w:eastAsia="zh-CN"/>
              </w:rPr>
              <w:t>交易文件</w:t>
            </w:r>
            <w:r>
              <w:rPr>
                <w:rFonts w:hint="eastAsia" w:ascii="宋体" w:hAnsi="宋体" w:cs="宋体"/>
                <w:sz w:val="21"/>
                <w:szCs w:val="21"/>
              </w:rPr>
              <w:t>澄清发出的形式</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sz w:val="21"/>
                <w:szCs w:val="21"/>
              </w:rPr>
              <w:t>在《永州市公共资源交易网》上发布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2.2.3</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lang w:eastAsia="zh-CN"/>
              </w:rPr>
              <w:t>交易响应单位</w:t>
            </w:r>
            <w:r>
              <w:rPr>
                <w:rFonts w:hint="eastAsia" w:ascii="宋体" w:hAnsi="宋体" w:cs="宋体"/>
                <w:sz w:val="21"/>
                <w:szCs w:val="21"/>
              </w:rPr>
              <w:t>确认收到</w:t>
            </w:r>
            <w:r>
              <w:rPr>
                <w:rFonts w:hint="eastAsia" w:ascii="宋体" w:hAnsi="宋体" w:cs="宋体"/>
                <w:sz w:val="21"/>
                <w:szCs w:val="21"/>
                <w:lang w:eastAsia="zh-CN"/>
              </w:rPr>
              <w:t>交易文件</w:t>
            </w:r>
            <w:r>
              <w:rPr>
                <w:rFonts w:hint="eastAsia" w:ascii="宋体" w:hAnsi="宋体" w:cs="宋体"/>
                <w:sz w:val="21"/>
                <w:szCs w:val="21"/>
              </w:rPr>
              <w:t>澄清</w:t>
            </w:r>
          </w:p>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澄清的时间</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时间：收到澄清后24小时内（以招标人发出时间为准）</w:t>
            </w:r>
          </w:p>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形式：</w:t>
            </w:r>
            <w:r>
              <w:rPr>
                <w:rFonts w:hint="eastAsia" w:ascii="宋体" w:hAnsi="宋体"/>
                <w:sz w:val="21"/>
                <w:szCs w:val="21"/>
              </w:rPr>
              <w:t>在《永州市公共资源交易网》上发布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2.3.1</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lang w:eastAsia="zh-CN"/>
              </w:rPr>
              <w:t>交易文件</w:t>
            </w:r>
            <w:r>
              <w:rPr>
                <w:rFonts w:hint="eastAsia" w:ascii="宋体" w:hAnsi="宋体" w:cs="宋体"/>
                <w:sz w:val="21"/>
                <w:szCs w:val="21"/>
              </w:rPr>
              <w:t>修改发出的形式</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sz w:val="21"/>
                <w:szCs w:val="21"/>
              </w:rPr>
              <w:t>在《永州市公共资源交易网》上发布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2.3.2</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lang w:eastAsia="zh-CN"/>
              </w:rPr>
              <w:t>交易响应单位</w:t>
            </w:r>
            <w:r>
              <w:rPr>
                <w:rFonts w:hint="eastAsia" w:ascii="宋体" w:hAnsi="宋体" w:cs="宋体"/>
                <w:sz w:val="21"/>
                <w:szCs w:val="21"/>
              </w:rPr>
              <w:t>确认收到</w:t>
            </w:r>
            <w:r>
              <w:rPr>
                <w:rFonts w:hint="eastAsia" w:ascii="宋体" w:hAnsi="宋体" w:cs="宋体"/>
                <w:sz w:val="21"/>
                <w:szCs w:val="21"/>
                <w:lang w:eastAsia="zh-CN"/>
              </w:rPr>
              <w:t>交易文件</w:t>
            </w:r>
            <w:r>
              <w:rPr>
                <w:rFonts w:hint="eastAsia" w:ascii="宋体" w:hAnsi="宋体" w:cs="宋体"/>
                <w:sz w:val="21"/>
                <w:szCs w:val="21"/>
              </w:rPr>
              <w:t>修改</w:t>
            </w:r>
          </w:p>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修改的时间</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无需确认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3.1.1</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lang w:eastAsia="zh-CN"/>
              </w:rPr>
              <w:t>交易响应文件</w:t>
            </w:r>
            <w:r>
              <w:rPr>
                <w:rFonts w:hint="eastAsia" w:ascii="宋体" w:hAnsi="宋体" w:cs="宋体"/>
                <w:sz w:val="21"/>
                <w:szCs w:val="21"/>
              </w:rPr>
              <w:t>的密封形式</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双信封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0"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3.1.1</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构成</w:t>
            </w:r>
            <w:r>
              <w:rPr>
                <w:rFonts w:hint="eastAsia" w:ascii="宋体" w:hAnsi="宋体" w:cs="宋体"/>
                <w:sz w:val="21"/>
                <w:szCs w:val="21"/>
                <w:lang w:eastAsia="zh-CN"/>
              </w:rPr>
              <w:t>交易响应文件</w:t>
            </w:r>
            <w:r>
              <w:rPr>
                <w:rFonts w:hint="eastAsia" w:ascii="宋体" w:hAnsi="宋体" w:cs="宋体"/>
                <w:sz w:val="21"/>
                <w:szCs w:val="21"/>
              </w:rPr>
              <w:t>的其他材料</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hint="eastAsia" w:ascii="宋体" w:hAnsi="宋体" w:cs="宋体"/>
                <w:sz w:val="21"/>
                <w:szCs w:val="21"/>
              </w:rPr>
            </w:pPr>
            <w:r>
              <w:rPr>
                <w:rFonts w:hint="eastAsia" w:ascii="宋体" w:hAnsi="宋体" w:cs="宋体"/>
                <w:sz w:val="21"/>
                <w:szCs w:val="21"/>
              </w:rPr>
              <w:t>在评审过程中，评审委员会认可的投标人的书面澄清、说明。投标文件应包括下列内容：</w:t>
            </w:r>
          </w:p>
          <w:p>
            <w:pPr>
              <w:keepNext w:val="0"/>
              <w:keepLines w:val="0"/>
              <w:pageBreakBefore w:val="0"/>
              <w:kinsoku/>
              <w:wordWrap/>
              <w:overflowPunct/>
              <w:topLinePunct w:val="0"/>
              <w:autoSpaceDE/>
              <w:autoSpaceDN/>
              <w:bidi w:val="0"/>
              <w:spacing w:line="500" w:lineRule="exact"/>
              <w:textAlignment w:val="auto"/>
              <w:rPr>
                <w:rFonts w:hint="eastAsia" w:ascii="宋体" w:hAnsi="宋体" w:cs="宋体"/>
                <w:sz w:val="21"/>
                <w:szCs w:val="21"/>
              </w:rPr>
            </w:pPr>
            <w:r>
              <w:rPr>
                <w:rFonts w:hint="eastAsia" w:ascii="宋体" w:hAnsi="宋体" w:cs="宋体"/>
                <w:sz w:val="21"/>
                <w:szCs w:val="21"/>
              </w:rPr>
              <w:t>第一个信封（商务、技术文件）：</w:t>
            </w:r>
          </w:p>
          <w:p>
            <w:pPr>
              <w:keepNext w:val="0"/>
              <w:keepLines w:val="0"/>
              <w:pageBreakBefore w:val="0"/>
              <w:kinsoku/>
              <w:wordWrap/>
              <w:overflowPunct/>
              <w:topLinePunct w:val="0"/>
              <w:autoSpaceDE/>
              <w:autoSpaceDN/>
              <w:bidi w:val="0"/>
              <w:spacing w:line="500" w:lineRule="exact"/>
              <w:textAlignment w:val="auto"/>
              <w:rPr>
                <w:rFonts w:hint="eastAsia" w:ascii="宋体" w:hAnsi="宋体" w:cs="宋体"/>
                <w:sz w:val="21"/>
                <w:szCs w:val="21"/>
              </w:rPr>
            </w:pPr>
            <w:r>
              <w:rPr>
                <w:rFonts w:hint="eastAsia" w:ascii="宋体" w:hAnsi="宋体" w:cs="宋体"/>
                <w:sz w:val="21"/>
                <w:szCs w:val="21"/>
              </w:rPr>
              <w:t>（1）投标函及投标函附录</w:t>
            </w:r>
          </w:p>
          <w:p>
            <w:pPr>
              <w:keepNext w:val="0"/>
              <w:keepLines w:val="0"/>
              <w:pageBreakBefore w:val="0"/>
              <w:kinsoku/>
              <w:wordWrap/>
              <w:overflowPunct/>
              <w:topLinePunct w:val="0"/>
              <w:autoSpaceDE/>
              <w:autoSpaceDN/>
              <w:bidi w:val="0"/>
              <w:spacing w:line="500" w:lineRule="exact"/>
              <w:textAlignment w:val="auto"/>
              <w:rPr>
                <w:rFonts w:hint="eastAsia" w:ascii="宋体" w:hAnsi="宋体" w:cs="宋体"/>
                <w:sz w:val="21"/>
                <w:szCs w:val="21"/>
              </w:rPr>
            </w:pPr>
            <w:r>
              <w:rPr>
                <w:rFonts w:hint="eastAsia" w:ascii="宋体" w:hAnsi="宋体" w:cs="宋体"/>
                <w:sz w:val="21"/>
                <w:szCs w:val="21"/>
              </w:rPr>
              <w:t>（2）法定代表人身份证明或附有法定代表人身份证明的授权委托书</w:t>
            </w:r>
          </w:p>
          <w:p>
            <w:pPr>
              <w:keepNext w:val="0"/>
              <w:keepLines w:val="0"/>
              <w:pageBreakBefore w:val="0"/>
              <w:kinsoku/>
              <w:wordWrap/>
              <w:overflowPunct/>
              <w:topLinePunct w:val="0"/>
              <w:autoSpaceDE/>
              <w:autoSpaceDN/>
              <w:bidi w:val="0"/>
              <w:spacing w:line="500" w:lineRule="exact"/>
              <w:textAlignment w:val="auto"/>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）承诺函</w:t>
            </w:r>
          </w:p>
          <w:p>
            <w:pPr>
              <w:keepNext w:val="0"/>
              <w:keepLines w:val="0"/>
              <w:pageBreakBefore w:val="0"/>
              <w:kinsoku/>
              <w:wordWrap/>
              <w:overflowPunct/>
              <w:topLinePunct w:val="0"/>
              <w:autoSpaceDE/>
              <w:autoSpaceDN/>
              <w:bidi w:val="0"/>
              <w:spacing w:line="500" w:lineRule="exact"/>
              <w:textAlignment w:val="auto"/>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4</w:t>
            </w:r>
            <w:r>
              <w:rPr>
                <w:rFonts w:hint="eastAsia" w:ascii="宋体" w:hAnsi="宋体" w:cs="宋体"/>
                <w:sz w:val="21"/>
                <w:szCs w:val="21"/>
              </w:rPr>
              <w:t>）资格审查资料</w:t>
            </w:r>
          </w:p>
          <w:p>
            <w:pPr>
              <w:keepNext w:val="0"/>
              <w:keepLines w:val="0"/>
              <w:pageBreakBefore w:val="0"/>
              <w:kinsoku/>
              <w:wordWrap/>
              <w:overflowPunct/>
              <w:topLinePunct w:val="0"/>
              <w:autoSpaceDE/>
              <w:autoSpaceDN/>
              <w:bidi w:val="0"/>
              <w:spacing w:line="500" w:lineRule="exact"/>
              <w:textAlignment w:val="auto"/>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5</w:t>
            </w:r>
            <w:r>
              <w:rPr>
                <w:rFonts w:hint="eastAsia" w:ascii="宋体" w:hAnsi="宋体" w:cs="宋体"/>
                <w:sz w:val="21"/>
                <w:szCs w:val="21"/>
              </w:rPr>
              <w:t>）信誉情况表</w:t>
            </w:r>
          </w:p>
          <w:p>
            <w:pPr>
              <w:keepNext w:val="0"/>
              <w:keepLines w:val="0"/>
              <w:pageBreakBefore w:val="0"/>
              <w:kinsoku/>
              <w:wordWrap/>
              <w:overflowPunct/>
              <w:topLinePunct w:val="0"/>
              <w:autoSpaceDE/>
              <w:autoSpaceDN/>
              <w:bidi w:val="0"/>
              <w:spacing w:line="500" w:lineRule="exact"/>
              <w:textAlignment w:val="auto"/>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）信用等级情况表</w:t>
            </w:r>
          </w:p>
          <w:p>
            <w:pPr>
              <w:keepNext w:val="0"/>
              <w:keepLines w:val="0"/>
              <w:pageBreakBefore w:val="0"/>
              <w:kinsoku/>
              <w:wordWrap/>
              <w:overflowPunct/>
              <w:topLinePunct w:val="0"/>
              <w:autoSpaceDE/>
              <w:autoSpaceDN/>
              <w:bidi w:val="0"/>
              <w:spacing w:line="500" w:lineRule="exact"/>
              <w:textAlignment w:val="auto"/>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7</w:t>
            </w:r>
            <w:r>
              <w:rPr>
                <w:rFonts w:hint="eastAsia" w:ascii="宋体" w:hAnsi="宋体" w:cs="宋体"/>
                <w:sz w:val="21"/>
                <w:szCs w:val="21"/>
              </w:rPr>
              <w:t>）其他</w:t>
            </w:r>
          </w:p>
          <w:p>
            <w:pPr>
              <w:keepNext w:val="0"/>
              <w:keepLines w:val="0"/>
              <w:pageBreakBefore w:val="0"/>
              <w:kinsoku/>
              <w:wordWrap/>
              <w:overflowPunct/>
              <w:topLinePunct w:val="0"/>
              <w:autoSpaceDE/>
              <w:autoSpaceDN/>
              <w:bidi w:val="0"/>
              <w:spacing w:line="500" w:lineRule="exact"/>
              <w:textAlignment w:val="auto"/>
              <w:rPr>
                <w:rFonts w:hint="eastAsia" w:ascii="宋体" w:hAnsi="宋体" w:cs="宋体"/>
                <w:sz w:val="21"/>
                <w:szCs w:val="21"/>
              </w:rPr>
            </w:pPr>
            <w:r>
              <w:rPr>
                <w:rFonts w:hint="eastAsia" w:ascii="宋体" w:hAnsi="宋体" w:cs="宋体"/>
                <w:sz w:val="21"/>
                <w:szCs w:val="21"/>
              </w:rPr>
              <w:t>第二个信封（投标报价、工程量清单）</w:t>
            </w:r>
          </w:p>
          <w:p>
            <w:pPr>
              <w:keepNext w:val="0"/>
              <w:keepLines w:val="0"/>
              <w:pageBreakBefore w:val="0"/>
              <w:kinsoku/>
              <w:wordWrap/>
              <w:overflowPunct/>
              <w:topLinePunct w:val="0"/>
              <w:autoSpaceDE/>
              <w:autoSpaceDN/>
              <w:bidi w:val="0"/>
              <w:spacing w:line="500" w:lineRule="exact"/>
              <w:textAlignment w:val="auto"/>
              <w:rPr>
                <w:rFonts w:hint="eastAsia" w:ascii="宋体" w:hAnsi="宋体" w:cs="宋体"/>
                <w:sz w:val="21"/>
                <w:szCs w:val="21"/>
              </w:rPr>
            </w:pPr>
            <w:r>
              <w:rPr>
                <w:rFonts w:hint="eastAsia" w:ascii="宋体" w:hAnsi="宋体" w:cs="宋体"/>
                <w:sz w:val="21"/>
                <w:szCs w:val="21"/>
              </w:rPr>
              <w:t>（1）投标函</w:t>
            </w:r>
          </w:p>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（2）已标价工程量清单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3.2.1</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增值税税金的计算方法</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增值税税金按一般计税方法计算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3.2.1</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工程量清单的填写方式</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kern w:val="0"/>
                <w:sz w:val="21"/>
                <w:szCs w:val="21"/>
              </w:rPr>
            </w:pPr>
            <w:r>
              <w:rPr>
                <w:rFonts w:hint="eastAsia" w:ascii="宋体" w:hAnsi="宋体" w:cs="宋体"/>
                <w:kern w:val="0"/>
                <w:sz w:val="21"/>
                <w:szCs w:val="21"/>
              </w:rPr>
              <w:t>1、</w:t>
            </w:r>
            <w:r>
              <w:rPr>
                <w:rFonts w:hint="eastAsia" w:ascii="宋体" w:hAnsi="宋体" w:cs="宋体"/>
                <w:kern w:val="0"/>
                <w:sz w:val="21"/>
                <w:szCs w:val="21"/>
                <w:lang w:eastAsia="zh-CN"/>
              </w:rPr>
              <w:t>交易响应单位</w:t>
            </w:r>
            <w:r>
              <w:rPr>
                <w:rFonts w:hint="eastAsia" w:ascii="宋体" w:hAnsi="宋体" w:cs="宋体"/>
                <w:kern w:val="0"/>
                <w:sz w:val="21"/>
                <w:szCs w:val="21"/>
              </w:rPr>
              <w:t>应按照招标人提供的工程量固化清单电子文档</w:t>
            </w:r>
            <w:r>
              <w:rPr>
                <w:rFonts w:hint="eastAsia" w:ascii="宋体" w:hAnsi="宋体" w:cs="宋体"/>
                <w:sz w:val="21"/>
                <w:szCs w:val="21"/>
              </w:rPr>
              <w:t>“工程量清单说明”的要求</w:t>
            </w:r>
            <w:r>
              <w:rPr>
                <w:rFonts w:hint="eastAsia" w:ascii="宋体" w:hAnsi="宋体" w:cs="宋体"/>
                <w:kern w:val="0"/>
                <w:sz w:val="21"/>
                <w:szCs w:val="21"/>
              </w:rPr>
              <w:t>填写工程</w:t>
            </w:r>
            <w:r>
              <w:rPr>
                <w:rFonts w:hint="eastAsia" w:ascii="宋体" w:hAnsi="宋体" w:cs="宋体"/>
                <w:sz w:val="21"/>
                <w:szCs w:val="21"/>
              </w:rPr>
              <w:t>量清单相应表格。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3.2.3</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报价方式</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3.2.6</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是否接受调价函</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ind w:right="113"/>
              <w:textAlignment w:val="auto"/>
              <w:rPr>
                <w:rFonts w:ascii="宋体" w:hAnsi="宋体" w:cs="宋体"/>
                <w:sz w:val="21"/>
                <w:szCs w:val="21"/>
              </w:rPr>
            </w:pPr>
            <w:r>
              <w:rPr>
                <w:rFonts w:hint="eastAsia" w:ascii="宋体" w:hAnsi="宋体" w:cs="宋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3.2.8</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最高投标限价</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b/>
                <w:bCs/>
                <w:color w:val="FF0000"/>
                <w:sz w:val="21"/>
                <w:szCs w:val="21"/>
              </w:rPr>
            </w:pPr>
            <w:r>
              <w:rPr>
                <w:rFonts w:hint="eastAsia" w:ascii="宋体" w:hAnsi="宋体" w:cs="宋体"/>
                <w:color w:val="FF0000"/>
                <w:sz w:val="21"/>
                <w:szCs w:val="21"/>
              </w:rPr>
              <w:t>本项目招标控制价（最高限价）金额为：</w:t>
            </w:r>
            <w:r>
              <w:rPr>
                <w:rFonts w:hint="eastAsia" w:ascii="宋体" w:hAnsi="宋体" w:cs="宋体"/>
                <w:color w:val="FF0000"/>
                <w:sz w:val="21"/>
                <w:szCs w:val="21"/>
                <w:u w:val="single"/>
                <w:lang w:eastAsia="zh-CN"/>
              </w:rPr>
              <w:t>捌拾万零肆仟陆佰陆拾伍元整（</w:t>
            </w:r>
            <w:r>
              <w:rPr>
                <w:rFonts w:hint="eastAsia" w:ascii="宋体" w:hAnsi="宋体" w:cs="宋体"/>
                <w:b/>
                <w:bCs/>
                <w:color w:val="FF0000"/>
                <w:sz w:val="21"/>
                <w:szCs w:val="21"/>
                <w:u w:val="single"/>
                <w:lang w:val="en-US" w:eastAsia="zh-CN"/>
              </w:rPr>
              <w:t>￥ 804665.00</w:t>
            </w:r>
            <w:r>
              <w:rPr>
                <w:rFonts w:hint="eastAsia" w:ascii="宋体" w:hAnsi="宋体" w:cs="宋体"/>
                <w:b/>
                <w:bCs/>
                <w:color w:val="FF0000"/>
                <w:sz w:val="21"/>
                <w:szCs w:val="21"/>
              </w:rPr>
              <w:t>元）</w:t>
            </w:r>
          </w:p>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color w:val="FF0000"/>
                <w:sz w:val="21"/>
                <w:szCs w:val="21"/>
                <w:lang w:eastAsia="zh-CN"/>
              </w:rPr>
              <w:t>交易响应单位</w:t>
            </w:r>
            <w:r>
              <w:rPr>
                <w:rFonts w:hint="eastAsia" w:ascii="宋体" w:hAnsi="宋体" w:cs="宋体"/>
                <w:color w:val="FF0000"/>
                <w:kern w:val="0"/>
                <w:sz w:val="21"/>
                <w:szCs w:val="21"/>
              </w:rPr>
              <w:t>的投标报价不得超过本项目的招标控制价，否则，按废标处理。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7"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3.2.9</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投标报价的其他要求</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lang w:eastAsia="zh-CN"/>
              </w:rPr>
              <w:t>交易响应单位</w:t>
            </w:r>
            <w:r>
              <w:rPr>
                <w:rFonts w:hint="eastAsia" w:ascii="宋体" w:hAnsi="宋体" w:cs="宋体"/>
                <w:sz w:val="21"/>
                <w:szCs w:val="21"/>
              </w:rPr>
              <w:t>在</w:t>
            </w:r>
            <w:r>
              <w:rPr>
                <w:rFonts w:hint="eastAsia" w:ascii="宋体" w:hAnsi="宋体" w:cs="宋体"/>
                <w:sz w:val="21"/>
                <w:szCs w:val="21"/>
                <w:lang w:eastAsia="zh-CN"/>
              </w:rPr>
              <w:t>交易响应文件</w:t>
            </w:r>
            <w:r>
              <w:rPr>
                <w:rFonts w:hint="eastAsia" w:ascii="宋体" w:hAnsi="宋体" w:cs="宋体"/>
                <w:sz w:val="21"/>
                <w:szCs w:val="21"/>
              </w:rPr>
              <w:t>中所提交的工程量清单（仅包括投标报价书封面、编制说明、投标报价汇总表）须由</w:t>
            </w:r>
            <w:r>
              <w:rPr>
                <w:rFonts w:hint="eastAsia" w:ascii="宋体" w:hAnsi="宋体" w:cs="宋体"/>
                <w:sz w:val="21"/>
                <w:szCs w:val="21"/>
                <w:lang w:eastAsia="zh-CN"/>
              </w:rPr>
              <w:t>交易响应单位</w:t>
            </w:r>
            <w:r>
              <w:rPr>
                <w:rFonts w:hint="eastAsia" w:ascii="宋体" w:hAnsi="宋体" w:cs="宋体"/>
                <w:sz w:val="21"/>
                <w:szCs w:val="21"/>
              </w:rPr>
              <w:t>的法定代表人或其委托代理人签署姓名，加盖</w:t>
            </w:r>
            <w:r>
              <w:rPr>
                <w:rFonts w:hint="eastAsia" w:ascii="宋体" w:hAnsi="宋体" w:cs="宋体"/>
                <w:sz w:val="21"/>
                <w:szCs w:val="21"/>
                <w:lang w:eastAsia="zh-CN"/>
              </w:rPr>
              <w:t>交易响应单位</w:t>
            </w:r>
            <w:r>
              <w:rPr>
                <w:rFonts w:hint="eastAsia" w:ascii="宋体" w:hAnsi="宋体" w:cs="宋体"/>
                <w:sz w:val="21"/>
                <w:szCs w:val="21"/>
              </w:rPr>
              <w:t>单位公章、造价师执业专用章并由造价师签署姓名,同时将该造价师注册证书复印件附在其</w:t>
            </w:r>
            <w:r>
              <w:rPr>
                <w:rFonts w:hint="eastAsia" w:ascii="宋体" w:hAnsi="宋体" w:cs="宋体"/>
                <w:sz w:val="21"/>
                <w:szCs w:val="21"/>
                <w:lang w:eastAsia="zh-CN"/>
              </w:rPr>
              <w:t>交易响应文件</w:t>
            </w:r>
            <w:r>
              <w:rPr>
                <w:rFonts w:hint="eastAsia" w:ascii="宋体" w:hAnsi="宋体" w:cs="宋体"/>
                <w:sz w:val="21"/>
                <w:szCs w:val="21"/>
              </w:rPr>
              <w:t>中。</w:t>
            </w:r>
          </w:p>
          <w:p>
            <w:pPr>
              <w:keepNext w:val="0"/>
              <w:keepLines w:val="0"/>
              <w:pageBreakBefore w:val="0"/>
              <w:kinsoku/>
              <w:wordWrap/>
              <w:overflowPunct/>
              <w:topLinePunct w:val="0"/>
              <w:autoSpaceDE/>
              <w:autoSpaceDN/>
              <w:bidi w:val="0"/>
              <w:spacing w:line="500" w:lineRule="exact"/>
              <w:ind w:right="113"/>
              <w:textAlignment w:val="auto"/>
              <w:rPr>
                <w:rFonts w:ascii="宋体" w:hAnsi="宋体" w:cs="宋体"/>
                <w:sz w:val="21"/>
                <w:szCs w:val="21"/>
              </w:rPr>
            </w:pPr>
            <w:r>
              <w:rPr>
                <w:rFonts w:hint="eastAsia" w:ascii="宋体" w:hAnsi="宋体" w:cs="宋体"/>
                <w:sz w:val="21"/>
                <w:szCs w:val="21"/>
              </w:rPr>
              <w:t>注册造价工程师属</w:t>
            </w:r>
            <w:r>
              <w:rPr>
                <w:rFonts w:hint="eastAsia" w:ascii="宋体" w:hAnsi="宋体" w:cs="宋体"/>
                <w:sz w:val="21"/>
                <w:szCs w:val="21"/>
                <w:lang w:eastAsia="zh-CN"/>
              </w:rPr>
              <w:t>交易响应单位</w:t>
            </w:r>
            <w:r>
              <w:rPr>
                <w:rFonts w:hint="eastAsia" w:ascii="宋体" w:hAnsi="宋体" w:cs="宋体"/>
                <w:sz w:val="21"/>
                <w:szCs w:val="21"/>
              </w:rPr>
              <w:t>本单位的，其注册单位名称应与</w:t>
            </w:r>
            <w:r>
              <w:rPr>
                <w:rFonts w:hint="eastAsia" w:ascii="宋体" w:hAnsi="宋体" w:cs="宋体"/>
                <w:sz w:val="21"/>
                <w:szCs w:val="21"/>
                <w:lang w:eastAsia="zh-CN"/>
              </w:rPr>
              <w:t>交易响应单位</w:t>
            </w:r>
            <w:r>
              <w:rPr>
                <w:rFonts w:hint="eastAsia" w:ascii="宋体" w:hAnsi="宋体" w:cs="宋体"/>
                <w:sz w:val="21"/>
                <w:szCs w:val="21"/>
              </w:rPr>
              <w:t>名称一致。如委托签章，应委托具备相应资质的造价咨询机构对工程量清单及其组成内容进行核对和确认，并在</w:t>
            </w:r>
            <w:r>
              <w:rPr>
                <w:rFonts w:hint="eastAsia" w:ascii="宋体" w:hAnsi="宋体" w:cs="宋体"/>
                <w:sz w:val="21"/>
                <w:szCs w:val="21"/>
                <w:lang w:eastAsia="zh-CN"/>
              </w:rPr>
              <w:t>交易响应文件</w:t>
            </w:r>
            <w:r>
              <w:rPr>
                <w:rFonts w:hint="eastAsia" w:ascii="宋体" w:hAnsi="宋体" w:cs="宋体"/>
                <w:sz w:val="21"/>
                <w:szCs w:val="21"/>
              </w:rPr>
              <w:t>中附有造价咨询机构的资质证书和委托合同（协议书）复印件，</w:t>
            </w:r>
            <w:r>
              <w:rPr>
                <w:rFonts w:hint="eastAsia" w:ascii="宋体" w:hAnsi="宋体" w:cs="宋体"/>
                <w:sz w:val="21"/>
                <w:szCs w:val="21"/>
                <w:lang w:eastAsia="zh-CN"/>
              </w:rPr>
              <w:t>交易响应文件</w:t>
            </w:r>
            <w:r>
              <w:rPr>
                <w:rFonts w:hint="eastAsia" w:ascii="宋体" w:hAnsi="宋体" w:cs="宋体"/>
                <w:sz w:val="21"/>
                <w:szCs w:val="21"/>
              </w:rPr>
              <w:t>中签字盖章的注册造价工程师的注册单位名称应当与被委托人名称一致。否则报价无效，按废标处理。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3.3.1</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投标有效期</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自</w:t>
            </w:r>
            <w:r>
              <w:rPr>
                <w:rFonts w:hint="eastAsia" w:ascii="宋体" w:hAnsi="宋体" w:cs="宋体"/>
                <w:sz w:val="21"/>
                <w:szCs w:val="21"/>
                <w:lang w:eastAsia="zh-CN"/>
              </w:rPr>
              <w:t>交易响应单位</w:t>
            </w:r>
            <w:r>
              <w:rPr>
                <w:rFonts w:hint="eastAsia" w:ascii="宋体" w:hAnsi="宋体" w:cs="宋体"/>
                <w:sz w:val="21"/>
                <w:szCs w:val="21"/>
              </w:rPr>
              <w:t>提交</w:t>
            </w:r>
            <w:r>
              <w:rPr>
                <w:rFonts w:hint="eastAsia" w:ascii="宋体" w:hAnsi="宋体" w:cs="宋体"/>
                <w:sz w:val="21"/>
                <w:szCs w:val="21"/>
                <w:lang w:eastAsia="zh-CN"/>
              </w:rPr>
              <w:t>交易响应文件</w:t>
            </w:r>
            <w:r>
              <w:rPr>
                <w:rFonts w:hint="eastAsia" w:ascii="宋体" w:hAnsi="宋体" w:cs="宋体"/>
                <w:sz w:val="21"/>
                <w:szCs w:val="21"/>
              </w:rPr>
              <w:t>截止之日起计算</w:t>
            </w:r>
            <w:r>
              <w:rPr>
                <w:rFonts w:hint="eastAsia" w:ascii="宋体" w:hAnsi="宋体" w:cs="宋体"/>
                <w:sz w:val="21"/>
                <w:szCs w:val="21"/>
                <w:u w:val="single"/>
              </w:rPr>
              <w:t>90</w:t>
            </w:r>
            <w:r>
              <w:rPr>
                <w:rFonts w:hint="eastAsia" w:ascii="宋体" w:hAnsi="宋体" w:cs="宋体"/>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3.4.1</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hint="eastAsia" w:ascii="宋体" w:hAnsi="宋体" w:eastAsia="宋体" w:cs="宋体"/>
                <w:sz w:val="21"/>
                <w:szCs w:val="21"/>
                <w:lang w:eastAsia="zh-CN"/>
              </w:rPr>
            </w:pPr>
            <w:r>
              <w:rPr>
                <w:rFonts w:hint="eastAsia" w:ascii="宋体" w:hAnsi="宋体" w:cs="宋体"/>
                <w:sz w:val="21"/>
                <w:szCs w:val="21"/>
                <w:lang w:eastAsia="zh-CN"/>
              </w:rPr>
              <w:t>交易保证金</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1.1交易保证金金额：人民币</w:t>
            </w:r>
            <w:r>
              <w:rPr>
                <w:rFonts w:hint="eastAsia" w:ascii="宋体" w:hAnsi="宋体" w:cs="宋体"/>
                <w:sz w:val="21"/>
                <w:szCs w:val="21"/>
                <w:lang w:eastAsia="zh-CN"/>
              </w:rPr>
              <w:t>壹万伍</w:t>
            </w:r>
            <w:r>
              <w:rPr>
                <w:rFonts w:hint="eastAsia" w:ascii="宋体" w:hAnsi="宋体" w:cs="宋体"/>
                <w:sz w:val="21"/>
                <w:szCs w:val="21"/>
              </w:rPr>
              <w:t>仟元整（￥</w:t>
            </w:r>
            <w:r>
              <w:rPr>
                <w:rFonts w:hint="eastAsia" w:ascii="宋体" w:hAnsi="宋体" w:cs="宋体"/>
                <w:sz w:val="21"/>
                <w:szCs w:val="21"/>
                <w:lang w:val="en-US" w:eastAsia="zh-CN"/>
              </w:rPr>
              <w:t>15</w:t>
            </w:r>
            <w:r>
              <w:rPr>
                <w:rFonts w:hint="eastAsia" w:ascii="宋体" w:hAnsi="宋体" w:cs="宋体"/>
                <w:sz w:val="21"/>
                <w:szCs w:val="21"/>
              </w:rPr>
              <w:t>000.00元）。</w:t>
            </w:r>
          </w:p>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1.2根据湘建监督【</w:t>
            </w:r>
            <w:r>
              <w:rPr>
                <w:rFonts w:ascii="宋体" w:hAnsi="宋体" w:cs="宋体"/>
                <w:sz w:val="21"/>
                <w:szCs w:val="21"/>
              </w:rPr>
              <w:t>2018</w:t>
            </w:r>
            <w:r>
              <w:rPr>
                <w:rFonts w:hint="eastAsia" w:ascii="宋体" w:hAnsi="宋体" w:cs="宋体"/>
                <w:sz w:val="21"/>
                <w:szCs w:val="21"/>
              </w:rPr>
              <w:t>】</w:t>
            </w:r>
            <w:r>
              <w:rPr>
                <w:rFonts w:ascii="宋体" w:hAnsi="宋体" w:cs="宋体"/>
                <w:sz w:val="21"/>
                <w:szCs w:val="21"/>
              </w:rPr>
              <w:t>244</w:t>
            </w:r>
            <w:r>
              <w:rPr>
                <w:rFonts w:hint="eastAsia" w:ascii="宋体" w:hAnsi="宋体" w:cs="宋体"/>
                <w:sz w:val="21"/>
                <w:szCs w:val="21"/>
              </w:rPr>
              <w:t>号，本项目投标保证金采用投标承诺形式递交。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3.4.3</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lang w:eastAsia="zh-CN"/>
              </w:rPr>
              <w:t>交易保证金</w:t>
            </w:r>
            <w:r>
              <w:rPr>
                <w:rFonts w:hint="eastAsia" w:ascii="宋体" w:hAnsi="宋体" w:cs="宋体"/>
                <w:sz w:val="21"/>
                <w:szCs w:val="21"/>
              </w:rPr>
              <w:t>的利息计算原则</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3.4.4</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其他可以不予退还</w:t>
            </w:r>
            <w:r>
              <w:rPr>
                <w:rFonts w:hint="eastAsia" w:ascii="宋体" w:hAnsi="宋体" w:cs="宋体"/>
                <w:sz w:val="21"/>
                <w:szCs w:val="21"/>
                <w:lang w:eastAsia="zh-CN"/>
              </w:rPr>
              <w:t>交易保证金</w:t>
            </w:r>
            <w:r>
              <w:rPr>
                <w:rFonts w:hint="eastAsia" w:ascii="宋体" w:hAnsi="宋体" w:cs="宋体"/>
                <w:sz w:val="21"/>
                <w:szCs w:val="21"/>
              </w:rPr>
              <w:t>的情形</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3.5</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资格审查资料的特殊要求</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3.5.2</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近3年财务状况的年份要求</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近三年（201</w:t>
            </w:r>
            <w:r>
              <w:rPr>
                <w:rFonts w:hint="eastAsia" w:ascii="宋体" w:hAnsi="宋体" w:cs="宋体"/>
                <w:sz w:val="21"/>
                <w:szCs w:val="21"/>
                <w:lang w:val="en-US" w:eastAsia="zh-CN"/>
              </w:rPr>
              <w:t>6</w:t>
            </w:r>
            <w:r>
              <w:rPr>
                <w:rFonts w:hint="eastAsia" w:ascii="宋体" w:hAnsi="宋体" w:cs="宋体"/>
                <w:sz w:val="21"/>
                <w:szCs w:val="21"/>
              </w:rPr>
              <w:t>年-201</w:t>
            </w:r>
            <w:r>
              <w:rPr>
                <w:rFonts w:hint="eastAsia" w:ascii="宋体" w:hAnsi="宋体" w:cs="宋体"/>
                <w:sz w:val="21"/>
                <w:szCs w:val="21"/>
                <w:lang w:val="en-US" w:eastAsia="zh-CN"/>
              </w:rPr>
              <w:t>8</w:t>
            </w:r>
            <w:r>
              <w:rPr>
                <w:rFonts w:hint="eastAsia" w:ascii="宋体" w:hAnsi="宋体" w:cs="宋体"/>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5"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olor w:val="000000"/>
                <w:sz w:val="21"/>
                <w:szCs w:val="21"/>
              </w:rPr>
              <w:t>3.5.3</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eastAsia="宋体" w:cs="宋体"/>
                <w:color w:val="000000"/>
                <w:kern w:val="0"/>
                <w:sz w:val="21"/>
                <w:szCs w:val="21"/>
                <w:lang w:val="en-US" w:eastAsia="zh-CN" w:bidi="ar"/>
              </w:rPr>
              <w:t>近年完成的类似项目</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hint="eastAsia" w:ascii="宋体" w:cs="宋体"/>
                <w:color w:val="auto"/>
                <w:sz w:val="21"/>
                <w:szCs w:val="21"/>
                <w:highlight w:val="none"/>
                <w:u w:val="none"/>
              </w:rPr>
            </w:pPr>
            <w:r>
              <w:rPr>
                <w:rFonts w:hint="eastAsia" w:ascii="宋体" w:cs="宋体"/>
                <w:color w:val="auto"/>
                <w:sz w:val="21"/>
                <w:szCs w:val="21"/>
                <w:highlight w:val="none"/>
                <w:u w:val="none"/>
              </w:rPr>
              <w:t>在近</w:t>
            </w:r>
            <w:r>
              <w:rPr>
                <w:rFonts w:hint="eastAsia" w:ascii="宋体" w:cs="宋体"/>
                <w:color w:val="auto"/>
                <w:sz w:val="21"/>
                <w:szCs w:val="21"/>
                <w:highlight w:val="none"/>
                <w:u w:val="none"/>
                <w:lang w:val="en-US" w:eastAsia="zh-CN"/>
              </w:rPr>
              <w:t>三</w:t>
            </w:r>
            <w:r>
              <w:rPr>
                <w:rFonts w:hint="eastAsia" w:ascii="宋体" w:cs="宋体"/>
                <w:color w:val="auto"/>
                <w:sz w:val="21"/>
                <w:szCs w:val="21"/>
                <w:highlight w:val="none"/>
                <w:u w:val="none"/>
              </w:rPr>
              <w:t>年（投标截止前</w:t>
            </w:r>
            <w:r>
              <w:rPr>
                <w:rFonts w:hint="eastAsia" w:ascii="宋体" w:cs="宋体"/>
                <w:color w:val="auto"/>
                <w:sz w:val="21"/>
                <w:szCs w:val="21"/>
                <w:highlight w:val="none"/>
                <w:u w:val="none"/>
                <w:lang w:val="en-US" w:eastAsia="zh-CN"/>
              </w:rPr>
              <w:t>36</w:t>
            </w:r>
            <w:r>
              <w:rPr>
                <w:rFonts w:hint="eastAsia" w:ascii="宋体" w:cs="宋体"/>
                <w:color w:val="auto"/>
                <w:sz w:val="21"/>
                <w:szCs w:val="21"/>
                <w:highlight w:val="none"/>
                <w:u w:val="none"/>
              </w:rPr>
              <w:t>个月）。</w:t>
            </w:r>
          </w:p>
          <w:p>
            <w:pPr>
              <w:keepNext w:val="0"/>
              <w:keepLines w:val="0"/>
              <w:pageBreakBefore w:val="0"/>
              <w:kinsoku/>
              <w:wordWrap/>
              <w:overflowPunct/>
              <w:topLinePunct w:val="0"/>
              <w:autoSpaceDE/>
              <w:autoSpaceDN/>
              <w:bidi w:val="0"/>
              <w:spacing w:line="500" w:lineRule="exact"/>
              <w:textAlignment w:val="auto"/>
              <w:rPr>
                <w:rFonts w:hint="eastAsia" w:ascii="宋体" w:cs="宋体"/>
                <w:iCs/>
                <w:color w:val="auto"/>
                <w:sz w:val="21"/>
                <w:szCs w:val="21"/>
                <w:highlight w:val="none"/>
              </w:rPr>
            </w:pPr>
            <w:r>
              <w:rPr>
                <w:rFonts w:hint="eastAsia" w:ascii="宋体" w:cs="宋体"/>
                <w:iCs/>
                <w:color w:val="auto"/>
                <w:sz w:val="21"/>
                <w:szCs w:val="21"/>
                <w:highlight w:val="none"/>
              </w:rPr>
              <w:t>原款修改为：</w:t>
            </w:r>
          </w:p>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cs="宋体"/>
                <w:iCs/>
                <w:color w:val="auto"/>
                <w:sz w:val="21"/>
                <w:szCs w:val="21"/>
                <w:highlight w:val="none"/>
              </w:rPr>
              <w:t xml:space="preserve">  “近年完成类似项目情况表”填写的具体工程量信息应满足投标人须知附录3要求的类似工程项目要求，表后必须附与项目业主签订的合同协议书、中标通知书，由发包人出具的公路工程（标段）交工验收证书复印件作为证明材料。具体年份要求见投标人须知前附表。每张表格只填写一个项目，并标明序号，评标委员会仅对满足投标人须知附录3要求的类似工程项目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cs="宋体"/>
                <w:sz w:val="21"/>
                <w:szCs w:val="21"/>
              </w:rPr>
            </w:pPr>
            <w:r>
              <w:rPr>
                <w:rFonts w:hint="default" w:ascii="Times New Roman" w:hAnsi="Times New Roman" w:eastAsia="宋体" w:cs="Times New Roman"/>
                <w:color w:val="000000"/>
                <w:kern w:val="0"/>
                <w:sz w:val="21"/>
                <w:szCs w:val="21"/>
                <w:lang w:val="en-US" w:eastAsia="zh-CN" w:bidi="ar"/>
              </w:rPr>
              <w:t>3.5.4</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cs="宋体"/>
                <w:sz w:val="21"/>
                <w:szCs w:val="21"/>
              </w:rPr>
            </w:pPr>
            <w:r>
              <w:rPr>
                <w:rFonts w:hint="default"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投标人的信誉情况表 </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suppressLineNumbers w:val="0"/>
              <w:kinsoku/>
              <w:wordWrap/>
              <w:overflowPunct/>
              <w:topLinePunct w:val="0"/>
              <w:autoSpaceDE/>
              <w:autoSpaceDN/>
              <w:bidi w:val="0"/>
              <w:spacing w:line="500" w:lineRule="exact"/>
              <w:jc w:val="left"/>
              <w:textAlignment w:val="auto"/>
              <w:rPr>
                <w:rFonts w:hint="eastAsia" w:ascii="宋体" w:hAnsi="宋体" w:cs="宋体"/>
                <w:sz w:val="21"/>
                <w:szCs w:val="21"/>
              </w:rPr>
            </w:pPr>
            <w:r>
              <w:rPr>
                <w:rFonts w:hint="default"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投标人的信誉情况表</w:t>
            </w:r>
            <w:r>
              <w:rPr>
                <w:rFonts w:hint="default"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应附投标人在国家企业信用信息公示系统中未被列入严重违法失信企业名单的网页截图复印件和在</w:t>
            </w:r>
            <w:r>
              <w:rPr>
                <w:rFonts w:hint="default"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信用中国</w:t>
            </w:r>
            <w:r>
              <w:rPr>
                <w:rFonts w:hint="default"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网站中未被列入失信被执行人名单的网页截图复印件。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3.6.1</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是否允许递交备选投标方案</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ind w:right="113"/>
              <w:textAlignment w:val="auto"/>
              <w:rPr>
                <w:rFonts w:ascii="宋体" w:hAnsi="宋体" w:cs="宋体"/>
                <w:sz w:val="21"/>
                <w:szCs w:val="21"/>
              </w:rPr>
            </w:pPr>
            <w:r>
              <w:rPr>
                <w:rFonts w:hint="eastAsia" w:ascii="宋体" w:hAnsi="宋体" w:cs="宋体"/>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7"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3.7.4</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olor w:val="000000"/>
                <w:sz w:val="21"/>
                <w:szCs w:val="21"/>
              </w:rPr>
            </w:pPr>
            <w:r>
              <w:rPr>
                <w:rFonts w:hint="eastAsia" w:ascii="宋体" w:hAnsi="宋体"/>
                <w:color w:val="000000"/>
                <w:sz w:val="21"/>
                <w:szCs w:val="21"/>
              </w:rPr>
              <w:t>投标文件副本份数</w:t>
            </w:r>
          </w:p>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olor w:val="000000"/>
                <w:sz w:val="21"/>
                <w:szCs w:val="21"/>
              </w:rPr>
              <w:t>及其他要求</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ind w:left="-2" w:leftChars="-1" w:firstLine="6" w:firstLineChars="3"/>
              <w:textAlignment w:val="auto"/>
              <w:rPr>
                <w:rFonts w:ascii="宋体" w:hAnsi="宋体"/>
                <w:color w:val="000000"/>
                <w:sz w:val="21"/>
                <w:szCs w:val="21"/>
              </w:rPr>
            </w:pPr>
            <w:r>
              <w:rPr>
                <w:rFonts w:hint="eastAsia" w:ascii="宋体" w:hAnsi="宋体"/>
                <w:b/>
                <w:color w:val="000000"/>
                <w:sz w:val="21"/>
                <w:szCs w:val="21"/>
              </w:rPr>
              <w:t>投标文件</w:t>
            </w:r>
            <w:r>
              <w:rPr>
                <w:rFonts w:hint="eastAsia" w:ascii="宋体" w:hAnsi="宋体"/>
                <w:b/>
                <w:color w:val="000000"/>
                <w:sz w:val="21"/>
                <w:szCs w:val="21"/>
                <w:lang w:eastAsia="zh-CN"/>
              </w:rPr>
              <w:t>份数：正本：</w:t>
            </w:r>
            <w:r>
              <w:rPr>
                <w:rFonts w:hint="eastAsia" w:ascii="宋体" w:hAnsi="宋体"/>
                <w:b/>
                <w:color w:val="000000"/>
                <w:sz w:val="21"/>
                <w:szCs w:val="21"/>
                <w:lang w:val="en-US" w:eastAsia="zh-CN"/>
              </w:rPr>
              <w:t>1份，</w:t>
            </w:r>
            <w:r>
              <w:rPr>
                <w:rFonts w:hint="eastAsia" w:ascii="宋体" w:hAnsi="宋体"/>
                <w:b/>
                <w:color w:val="000000"/>
                <w:sz w:val="21"/>
                <w:szCs w:val="21"/>
              </w:rPr>
              <w:t>副本份数</w:t>
            </w:r>
            <w:r>
              <w:rPr>
                <w:rFonts w:hint="eastAsia" w:ascii="宋体" w:hAnsi="宋体"/>
                <w:color w:val="000000"/>
                <w:sz w:val="21"/>
                <w:szCs w:val="21"/>
              </w:rPr>
              <w:t>：4份。</w:t>
            </w:r>
          </w:p>
          <w:p>
            <w:pPr>
              <w:keepNext w:val="0"/>
              <w:keepLines w:val="0"/>
              <w:pageBreakBefore w:val="0"/>
              <w:kinsoku/>
              <w:wordWrap/>
              <w:overflowPunct/>
              <w:topLinePunct w:val="0"/>
              <w:autoSpaceDE/>
              <w:autoSpaceDN/>
              <w:bidi w:val="0"/>
              <w:spacing w:line="500" w:lineRule="exact"/>
              <w:ind w:left="-2" w:leftChars="-1" w:firstLine="6" w:firstLineChars="3"/>
              <w:textAlignment w:val="auto"/>
              <w:rPr>
                <w:rFonts w:ascii="宋体" w:hAnsi="宋体"/>
                <w:color w:val="000000"/>
                <w:sz w:val="21"/>
                <w:szCs w:val="21"/>
              </w:rPr>
            </w:pPr>
            <w:r>
              <w:rPr>
                <w:rFonts w:hint="eastAsia" w:ascii="宋体" w:hAnsi="宋体"/>
                <w:b/>
                <w:color w:val="000000"/>
                <w:sz w:val="21"/>
                <w:szCs w:val="21"/>
              </w:rPr>
              <w:t>是否要求提交电子版文件</w:t>
            </w:r>
            <w:r>
              <w:rPr>
                <w:rFonts w:hint="eastAsia" w:ascii="宋体" w:hAnsi="宋体"/>
                <w:color w:val="000000"/>
                <w:sz w:val="21"/>
                <w:szCs w:val="21"/>
              </w:rPr>
              <w:t>：是，第一个U盘密封、标识后封包在投标文件第一个信封（商务及技术文件）中。第二个U盘为</w:t>
            </w:r>
            <w:r>
              <w:rPr>
                <w:rFonts w:hint="eastAsia"/>
                <w:color w:val="000000"/>
                <w:sz w:val="21"/>
                <w:szCs w:val="21"/>
              </w:rPr>
              <w:t>交易</w:t>
            </w:r>
            <w:r>
              <w:rPr>
                <w:rFonts w:hint="eastAsia" w:ascii="宋体" w:hAnsi="宋体"/>
                <w:color w:val="000000"/>
                <w:sz w:val="21"/>
                <w:szCs w:val="21"/>
              </w:rPr>
              <w:t>报价，第二个U盘密封、标识后封包在投标文件第二信封（报价文件）中。</w:t>
            </w:r>
          </w:p>
          <w:p>
            <w:pPr>
              <w:keepNext w:val="0"/>
              <w:keepLines w:val="0"/>
              <w:pageBreakBefore w:val="0"/>
              <w:kinsoku/>
              <w:wordWrap/>
              <w:overflowPunct/>
              <w:topLinePunct w:val="0"/>
              <w:autoSpaceDE/>
              <w:autoSpaceDN/>
              <w:bidi w:val="0"/>
              <w:spacing w:line="500" w:lineRule="exact"/>
              <w:ind w:left="-2" w:leftChars="-1" w:firstLine="6" w:firstLineChars="3"/>
              <w:textAlignment w:val="auto"/>
              <w:rPr>
                <w:rFonts w:ascii="宋体" w:hAnsi="宋体"/>
                <w:color w:val="000000"/>
                <w:sz w:val="21"/>
                <w:szCs w:val="21"/>
              </w:rPr>
            </w:pPr>
            <w:r>
              <w:rPr>
                <w:rFonts w:hint="eastAsia" w:ascii="宋体" w:hAnsi="宋体"/>
                <w:color w:val="000000"/>
                <w:sz w:val="21"/>
                <w:szCs w:val="21"/>
              </w:rPr>
              <w:t>U</w:t>
            </w:r>
            <w:r>
              <w:rPr>
                <w:rFonts w:ascii="宋体" w:hAnsi="宋体"/>
                <w:color w:val="000000"/>
                <w:sz w:val="21"/>
                <w:szCs w:val="21"/>
              </w:rPr>
              <w:t>盘应符合如下要求：</w:t>
            </w:r>
          </w:p>
          <w:p>
            <w:pPr>
              <w:pStyle w:val="11"/>
              <w:keepNext w:val="0"/>
              <w:keepLines w:val="0"/>
              <w:pageBreakBefore w:val="0"/>
              <w:kinsoku/>
              <w:wordWrap/>
              <w:overflowPunct/>
              <w:topLinePunct w:val="0"/>
              <w:autoSpaceDE/>
              <w:autoSpaceDN/>
              <w:bidi w:val="0"/>
              <w:spacing w:line="500" w:lineRule="exact"/>
              <w:textAlignment w:val="auto"/>
              <w:rPr>
                <w:rFonts w:hAnsi="宋体"/>
                <w:color w:val="000000"/>
                <w:sz w:val="21"/>
                <w:szCs w:val="21"/>
              </w:rPr>
            </w:pPr>
            <w:r>
              <w:rPr>
                <w:rFonts w:hint="eastAsia" w:hAnsi="宋体"/>
                <w:color w:val="000000"/>
                <w:sz w:val="21"/>
                <w:szCs w:val="21"/>
              </w:rPr>
              <w:t>（1）</w:t>
            </w:r>
            <w:r>
              <w:rPr>
                <w:rFonts w:hAnsi="宋体"/>
                <w:color w:val="000000"/>
                <w:sz w:val="21"/>
                <w:szCs w:val="21"/>
              </w:rPr>
              <w:t>确保</w:t>
            </w:r>
            <w:r>
              <w:rPr>
                <w:rFonts w:hint="eastAsia" w:hAnsi="宋体"/>
                <w:color w:val="000000"/>
                <w:sz w:val="21"/>
                <w:szCs w:val="21"/>
              </w:rPr>
              <w:t>U</w:t>
            </w:r>
            <w:r>
              <w:rPr>
                <w:rFonts w:hAnsi="宋体"/>
                <w:color w:val="000000"/>
                <w:sz w:val="21"/>
                <w:szCs w:val="21"/>
              </w:rPr>
              <w:t>盘内数据能被正确读取</w:t>
            </w:r>
            <w:r>
              <w:rPr>
                <w:rFonts w:hint="eastAsia" w:hAnsi="宋体"/>
                <w:color w:val="000000"/>
                <w:sz w:val="21"/>
                <w:szCs w:val="21"/>
              </w:rPr>
              <w:t>，若开标时在评审室的电脑上不能读取，则允许投标人采取补救措施（可在投标人自带的电脑上读取或当场提供另外备份的电子版）</w:t>
            </w:r>
            <w:r>
              <w:rPr>
                <w:rFonts w:hAnsi="宋体"/>
                <w:color w:val="000000"/>
                <w:sz w:val="21"/>
                <w:szCs w:val="21"/>
              </w:rPr>
              <w:t>。</w:t>
            </w:r>
          </w:p>
          <w:p>
            <w:pPr>
              <w:keepNext w:val="0"/>
              <w:keepLines w:val="0"/>
              <w:pageBreakBefore w:val="0"/>
              <w:kinsoku/>
              <w:wordWrap/>
              <w:overflowPunct/>
              <w:topLinePunct w:val="0"/>
              <w:autoSpaceDE/>
              <w:autoSpaceDN/>
              <w:bidi w:val="0"/>
              <w:spacing w:line="500" w:lineRule="exact"/>
              <w:textAlignment w:val="auto"/>
              <w:rPr>
                <w:rFonts w:ascii="宋体" w:hAnsi="宋体"/>
                <w:color w:val="000000"/>
                <w:sz w:val="21"/>
                <w:szCs w:val="21"/>
              </w:rPr>
            </w:pPr>
            <w:r>
              <w:rPr>
                <w:rFonts w:hint="eastAsia" w:ascii="宋体" w:hAnsi="宋体"/>
                <w:color w:val="000000"/>
                <w:sz w:val="21"/>
                <w:szCs w:val="21"/>
              </w:rPr>
              <w:t>（2）U</w:t>
            </w:r>
            <w:r>
              <w:rPr>
                <w:rFonts w:ascii="宋体" w:hAnsi="宋体"/>
                <w:color w:val="000000"/>
                <w:sz w:val="21"/>
                <w:szCs w:val="21"/>
              </w:rPr>
              <w:t>盘</w:t>
            </w:r>
            <w:r>
              <w:rPr>
                <w:rFonts w:hint="eastAsia" w:ascii="宋体" w:hAnsi="宋体"/>
                <w:color w:val="000000"/>
                <w:sz w:val="21"/>
                <w:szCs w:val="21"/>
              </w:rPr>
              <w:t>表</w:t>
            </w:r>
            <w:r>
              <w:rPr>
                <w:rFonts w:ascii="宋体" w:hAnsi="宋体"/>
                <w:color w:val="000000"/>
                <w:sz w:val="21"/>
                <w:szCs w:val="21"/>
              </w:rPr>
              <w:t>面加贴标签，注明</w:t>
            </w:r>
            <w:r>
              <w:rPr>
                <w:rFonts w:hint="eastAsia" w:ascii="宋体" w:hAnsi="宋体"/>
                <w:color w:val="000000"/>
                <w:sz w:val="21"/>
                <w:szCs w:val="21"/>
              </w:rPr>
              <w:t>项目名称、投标人</w:t>
            </w:r>
            <w:r>
              <w:rPr>
                <w:rFonts w:ascii="宋体" w:hAnsi="宋体"/>
                <w:color w:val="000000"/>
                <w:sz w:val="21"/>
                <w:szCs w:val="21"/>
              </w:rPr>
              <w:t>名称。</w:t>
            </w:r>
          </w:p>
          <w:p>
            <w:pPr>
              <w:keepNext w:val="0"/>
              <w:keepLines w:val="0"/>
              <w:pageBreakBefore w:val="0"/>
              <w:kinsoku/>
              <w:wordWrap/>
              <w:overflowPunct/>
              <w:topLinePunct w:val="0"/>
              <w:autoSpaceDE/>
              <w:autoSpaceDN/>
              <w:bidi w:val="0"/>
              <w:spacing w:line="500" w:lineRule="exact"/>
              <w:textAlignment w:val="auto"/>
              <w:rPr>
                <w:rFonts w:ascii="宋体" w:hAnsi="宋体"/>
                <w:color w:val="000000"/>
                <w:sz w:val="21"/>
                <w:szCs w:val="21"/>
              </w:rPr>
            </w:pPr>
            <w:r>
              <w:rPr>
                <w:rFonts w:hint="eastAsia" w:ascii="宋体" w:hAnsi="宋体"/>
                <w:color w:val="000000"/>
                <w:sz w:val="21"/>
                <w:szCs w:val="21"/>
              </w:rPr>
              <w:t>其他要求：投标文件的盖章要求：</w:t>
            </w:r>
          </w:p>
          <w:p>
            <w:pPr>
              <w:keepNext w:val="0"/>
              <w:keepLines w:val="0"/>
              <w:pageBreakBefore w:val="0"/>
              <w:kinsoku/>
              <w:wordWrap/>
              <w:overflowPunct/>
              <w:topLinePunct w:val="0"/>
              <w:autoSpaceDE/>
              <w:autoSpaceDN/>
              <w:bidi w:val="0"/>
              <w:spacing w:line="500" w:lineRule="exact"/>
              <w:textAlignment w:val="auto"/>
              <w:rPr>
                <w:rFonts w:ascii="宋体" w:hAnsi="宋体"/>
                <w:color w:val="000000"/>
                <w:sz w:val="21"/>
                <w:szCs w:val="21"/>
              </w:rPr>
            </w:pPr>
            <w:r>
              <w:rPr>
                <w:rFonts w:hint="eastAsia" w:ascii="宋体" w:hAnsi="宋体"/>
                <w:color w:val="000000"/>
                <w:sz w:val="21"/>
                <w:szCs w:val="21"/>
              </w:rPr>
              <w:t>（1）单位公章的名称必须与资质证书、安全生产许可证、企业营业执照名称一致；</w:t>
            </w:r>
          </w:p>
          <w:p>
            <w:pPr>
              <w:keepNext w:val="0"/>
              <w:keepLines w:val="0"/>
              <w:pageBreakBefore w:val="0"/>
              <w:kinsoku/>
              <w:wordWrap/>
              <w:overflowPunct/>
              <w:topLinePunct w:val="0"/>
              <w:autoSpaceDE/>
              <w:autoSpaceDN/>
              <w:bidi w:val="0"/>
              <w:spacing w:line="500" w:lineRule="exact"/>
              <w:textAlignment w:val="auto"/>
              <w:rPr>
                <w:rFonts w:ascii="宋体" w:hAnsi="宋体"/>
                <w:color w:val="000000"/>
                <w:sz w:val="21"/>
                <w:szCs w:val="21"/>
              </w:rPr>
            </w:pPr>
            <w:r>
              <w:rPr>
                <w:rFonts w:hint="eastAsia" w:ascii="宋体" w:hAnsi="宋体"/>
                <w:color w:val="000000"/>
                <w:sz w:val="21"/>
                <w:szCs w:val="21"/>
              </w:rPr>
              <w:t>（2）法定代表人或者授权的代理人必须在投标文件上所有要求签署的地方亲自签署全</w:t>
            </w:r>
            <w:r>
              <w:rPr>
                <w:rFonts w:hint="eastAsia" w:ascii="宋体" w:hAnsi="宋体"/>
                <w:color w:val="auto"/>
                <w:sz w:val="21"/>
                <w:szCs w:val="21"/>
              </w:rPr>
              <w:t>名（本页正文内容已由投标人的法定代表人或授权委托人签署姓名的和封面、扉页、目录可不签署），</w:t>
            </w:r>
            <w:r>
              <w:rPr>
                <w:rFonts w:hint="eastAsia" w:ascii="宋体" w:hAnsi="宋体"/>
                <w:color w:val="000000"/>
                <w:sz w:val="21"/>
                <w:szCs w:val="21"/>
              </w:rPr>
              <w:t>不得使用印章或其他电子制版签名章代替；</w:t>
            </w:r>
          </w:p>
          <w:p>
            <w:pPr>
              <w:keepNext w:val="0"/>
              <w:keepLines w:val="0"/>
              <w:pageBreakBefore w:val="0"/>
              <w:kinsoku/>
              <w:wordWrap/>
              <w:overflowPunct/>
              <w:topLinePunct w:val="0"/>
              <w:autoSpaceDE/>
              <w:autoSpaceDN/>
              <w:bidi w:val="0"/>
              <w:spacing w:line="500" w:lineRule="exact"/>
              <w:textAlignment w:val="auto"/>
              <w:rPr>
                <w:rFonts w:ascii="宋体" w:hAnsi="宋体"/>
                <w:color w:val="000000"/>
                <w:sz w:val="21"/>
                <w:szCs w:val="21"/>
              </w:rPr>
            </w:pPr>
            <w:r>
              <w:rPr>
                <w:rFonts w:hint="eastAsia" w:ascii="宋体" w:hAnsi="宋体"/>
                <w:color w:val="000000"/>
                <w:sz w:val="21"/>
                <w:szCs w:val="21"/>
              </w:rPr>
              <w:t>（3）投标文件上所有要求盖章的地方须加盖投标人单位公章（本页正文内容已加盖单位公章的除外），不得使用专用印章；</w:t>
            </w:r>
          </w:p>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b/>
                <w:color w:val="000000"/>
                <w:sz w:val="21"/>
                <w:szCs w:val="21"/>
              </w:rPr>
              <w:t>其他要求</w:t>
            </w:r>
            <w:r>
              <w:rPr>
                <w:rFonts w:hint="eastAsia" w:ascii="宋体"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3.7.5</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olor w:val="000000"/>
                <w:sz w:val="21"/>
                <w:szCs w:val="21"/>
              </w:rPr>
              <w:t>装订的其他要求</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b/>
                <w:bCs/>
                <w:color w:val="000000"/>
                <w:sz w:val="21"/>
                <w:szCs w:val="21"/>
              </w:rPr>
              <w:t>投标文件的正本与副本应分别装订成册（A4纸），并编制目录、且逐页标注连续页码。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0"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4.1.2</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封套上应载明的信息</w:t>
            </w:r>
          </w:p>
        </w:tc>
        <w:tc>
          <w:tcPr>
            <w:tcW w:w="5809" w:type="dxa"/>
            <w:tcBorders>
              <w:top w:val="single" w:color="auto" w:sz="4" w:space="0"/>
              <w:left w:val="single" w:color="auto" w:sz="4" w:space="0"/>
              <w:bottom w:val="single" w:color="auto" w:sz="4" w:space="0"/>
              <w:right w:val="single" w:color="auto" w:sz="12" w:space="0"/>
            </w:tcBorders>
            <w:vAlign w:val="center"/>
          </w:tcPr>
          <w:p>
            <w:pPr>
              <w:pStyle w:val="33"/>
              <w:keepNext w:val="0"/>
              <w:keepLines w:val="0"/>
              <w:pageBreakBefore w:val="0"/>
              <w:tabs>
                <w:tab w:val="left" w:pos="3304"/>
              </w:tabs>
              <w:kinsoku/>
              <w:wordWrap/>
              <w:overflowPunct/>
              <w:topLinePunct w:val="0"/>
              <w:autoSpaceDE/>
              <w:autoSpaceDN/>
              <w:bidi w:val="0"/>
              <w:spacing w:before="90" w:line="500" w:lineRule="exact"/>
              <w:ind w:left="107" w:right="469"/>
              <w:textAlignment w:val="auto"/>
              <w:rPr>
                <w:b/>
                <w:spacing w:val="-16"/>
                <w:sz w:val="21"/>
                <w:szCs w:val="21"/>
              </w:rPr>
            </w:pPr>
            <w:r>
              <w:rPr>
                <w:rFonts w:hint="eastAsia"/>
                <w:b/>
                <w:sz w:val="21"/>
                <w:szCs w:val="21"/>
                <w:lang w:eastAsia="zh-CN"/>
              </w:rPr>
              <w:t>交易响应文件</w:t>
            </w:r>
            <w:r>
              <w:rPr>
                <w:b/>
                <w:sz w:val="21"/>
                <w:szCs w:val="21"/>
              </w:rPr>
              <w:t>第一个信</w:t>
            </w:r>
            <w:r>
              <w:rPr>
                <w:b/>
                <w:spacing w:val="-3"/>
                <w:sz w:val="21"/>
                <w:szCs w:val="21"/>
              </w:rPr>
              <w:t>封</w:t>
            </w:r>
            <w:r>
              <w:rPr>
                <w:b/>
                <w:sz w:val="21"/>
                <w:szCs w:val="21"/>
              </w:rPr>
              <w:t>（</w:t>
            </w:r>
            <w:r>
              <w:rPr>
                <w:b/>
                <w:spacing w:val="-3"/>
                <w:sz w:val="21"/>
                <w:szCs w:val="21"/>
              </w:rPr>
              <w:t>商</w:t>
            </w:r>
            <w:r>
              <w:rPr>
                <w:b/>
                <w:sz w:val="21"/>
                <w:szCs w:val="21"/>
              </w:rPr>
              <w:t>务及技术文件）封</w:t>
            </w:r>
            <w:r>
              <w:rPr>
                <w:b/>
                <w:spacing w:val="-3"/>
                <w:sz w:val="21"/>
                <w:szCs w:val="21"/>
              </w:rPr>
              <w:t>套</w:t>
            </w:r>
            <w:r>
              <w:rPr>
                <w:b/>
                <w:spacing w:val="-16"/>
                <w:sz w:val="21"/>
                <w:szCs w:val="21"/>
              </w:rPr>
              <w:t xml:space="preserve">： </w:t>
            </w:r>
          </w:p>
          <w:p>
            <w:pPr>
              <w:pStyle w:val="33"/>
              <w:keepNext w:val="0"/>
              <w:keepLines w:val="0"/>
              <w:pageBreakBefore w:val="0"/>
              <w:tabs>
                <w:tab w:val="left" w:pos="3304"/>
              </w:tabs>
              <w:kinsoku/>
              <w:wordWrap/>
              <w:overflowPunct/>
              <w:topLinePunct w:val="0"/>
              <w:autoSpaceDE/>
              <w:autoSpaceDN/>
              <w:bidi w:val="0"/>
              <w:spacing w:before="90" w:line="500" w:lineRule="exact"/>
              <w:ind w:left="107" w:right="469"/>
              <w:textAlignment w:val="auto"/>
              <w:rPr>
                <w:rFonts w:ascii="Times New Roman" w:eastAsia="Times New Roman"/>
                <w:sz w:val="21"/>
                <w:szCs w:val="21"/>
              </w:rPr>
            </w:pPr>
            <w:r>
              <w:rPr>
                <w:sz w:val="21"/>
                <w:szCs w:val="21"/>
              </w:rPr>
              <w:t>招标</w:t>
            </w:r>
            <w:r>
              <w:rPr>
                <w:spacing w:val="-3"/>
                <w:sz w:val="21"/>
                <w:szCs w:val="21"/>
              </w:rPr>
              <w:t>人</w:t>
            </w:r>
            <w:r>
              <w:rPr>
                <w:sz w:val="21"/>
                <w:szCs w:val="21"/>
              </w:rPr>
              <w:t>名</w:t>
            </w:r>
            <w:r>
              <w:rPr>
                <w:spacing w:val="-3"/>
                <w:sz w:val="21"/>
                <w:szCs w:val="21"/>
              </w:rPr>
              <w:t>称</w:t>
            </w:r>
            <w:r>
              <w:rPr>
                <w:sz w:val="21"/>
                <w:szCs w:val="21"/>
              </w:rPr>
              <w:t>：</w:t>
            </w:r>
            <w:r>
              <w:rPr>
                <w:rFonts w:ascii="Times New Roman" w:eastAsia="Times New Roman"/>
                <w:sz w:val="21"/>
                <w:szCs w:val="21"/>
                <w:u w:val="single"/>
              </w:rPr>
              <w:t xml:space="preserve"> </w:t>
            </w:r>
            <w:r>
              <w:rPr>
                <w:rFonts w:ascii="Times New Roman" w:eastAsia="Times New Roman"/>
                <w:sz w:val="21"/>
                <w:szCs w:val="21"/>
                <w:u w:val="single"/>
              </w:rPr>
              <w:tab/>
            </w:r>
          </w:p>
          <w:p>
            <w:pPr>
              <w:pStyle w:val="33"/>
              <w:keepNext w:val="0"/>
              <w:keepLines w:val="0"/>
              <w:pageBreakBefore w:val="0"/>
              <w:tabs>
                <w:tab w:val="left" w:pos="3304"/>
              </w:tabs>
              <w:kinsoku/>
              <w:wordWrap/>
              <w:overflowPunct/>
              <w:topLinePunct w:val="0"/>
              <w:autoSpaceDE/>
              <w:autoSpaceDN/>
              <w:bidi w:val="0"/>
              <w:spacing w:line="500" w:lineRule="exact"/>
              <w:ind w:left="107"/>
              <w:textAlignment w:val="auto"/>
              <w:rPr>
                <w:rFonts w:ascii="Times New Roman" w:eastAsia="Times New Roman"/>
                <w:sz w:val="21"/>
                <w:szCs w:val="21"/>
              </w:rPr>
            </w:pPr>
            <w:r>
              <w:rPr>
                <w:sz w:val="21"/>
                <w:szCs w:val="21"/>
              </w:rPr>
              <w:t>招标</w:t>
            </w:r>
            <w:r>
              <w:rPr>
                <w:spacing w:val="-3"/>
                <w:sz w:val="21"/>
                <w:szCs w:val="21"/>
              </w:rPr>
              <w:t>人</w:t>
            </w:r>
            <w:r>
              <w:rPr>
                <w:sz w:val="21"/>
                <w:szCs w:val="21"/>
              </w:rPr>
              <w:t>地</w:t>
            </w:r>
            <w:r>
              <w:rPr>
                <w:spacing w:val="-3"/>
                <w:sz w:val="21"/>
                <w:szCs w:val="21"/>
              </w:rPr>
              <w:t>址</w:t>
            </w:r>
            <w:r>
              <w:rPr>
                <w:sz w:val="21"/>
                <w:szCs w:val="21"/>
              </w:rPr>
              <w:t>：</w:t>
            </w:r>
            <w:r>
              <w:rPr>
                <w:rFonts w:ascii="Times New Roman" w:eastAsia="Times New Roman"/>
                <w:sz w:val="21"/>
                <w:szCs w:val="21"/>
                <w:u w:val="single"/>
              </w:rPr>
              <w:t xml:space="preserve"> </w:t>
            </w:r>
            <w:r>
              <w:rPr>
                <w:rFonts w:ascii="Times New Roman" w:eastAsia="Times New Roman"/>
                <w:sz w:val="21"/>
                <w:szCs w:val="21"/>
                <w:u w:val="single"/>
              </w:rPr>
              <w:tab/>
            </w:r>
          </w:p>
          <w:p>
            <w:pPr>
              <w:pStyle w:val="33"/>
              <w:keepNext w:val="0"/>
              <w:keepLines w:val="0"/>
              <w:pageBreakBefore w:val="0"/>
              <w:tabs>
                <w:tab w:val="left" w:pos="738"/>
                <w:tab w:val="left" w:pos="2596"/>
              </w:tabs>
              <w:kinsoku/>
              <w:wordWrap/>
              <w:overflowPunct/>
              <w:topLinePunct w:val="0"/>
              <w:autoSpaceDE/>
              <w:autoSpaceDN/>
              <w:bidi w:val="0"/>
              <w:spacing w:before="91" w:line="500" w:lineRule="exact"/>
              <w:ind w:left="107"/>
              <w:textAlignment w:val="auto"/>
              <w:rPr>
                <w:sz w:val="21"/>
                <w:szCs w:val="21"/>
              </w:rPr>
            </w:pPr>
            <w:r>
              <w:rPr>
                <w:rFonts w:ascii="Times New Roman" w:eastAsia="Times New Roman"/>
                <w:sz w:val="21"/>
                <w:szCs w:val="21"/>
                <w:u w:val="single"/>
              </w:rPr>
              <w:t xml:space="preserve"> </w:t>
            </w:r>
            <w:r>
              <w:rPr>
                <w:rFonts w:ascii="Times New Roman" w:eastAsia="Times New Roman"/>
                <w:sz w:val="21"/>
                <w:szCs w:val="21"/>
                <w:u w:val="single"/>
              </w:rPr>
              <w:tab/>
            </w:r>
            <w:r>
              <w:rPr>
                <w:sz w:val="21"/>
                <w:szCs w:val="21"/>
              </w:rPr>
              <w:t>（</w:t>
            </w:r>
            <w:r>
              <w:rPr>
                <w:spacing w:val="-3"/>
                <w:sz w:val="21"/>
                <w:szCs w:val="21"/>
              </w:rPr>
              <w:t>项</w:t>
            </w:r>
            <w:r>
              <w:rPr>
                <w:sz w:val="21"/>
                <w:szCs w:val="21"/>
              </w:rPr>
              <w:t>目</w:t>
            </w:r>
            <w:r>
              <w:rPr>
                <w:spacing w:val="-3"/>
                <w:sz w:val="21"/>
                <w:szCs w:val="21"/>
              </w:rPr>
              <w:t>名</w:t>
            </w:r>
            <w:r>
              <w:rPr>
                <w:sz w:val="21"/>
                <w:szCs w:val="21"/>
              </w:rPr>
              <w:t>称</w:t>
            </w:r>
            <w:r>
              <w:rPr>
                <w:spacing w:val="-34"/>
                <w:sz w:val="21"/>
                <w:szCs w:val="21"/>
              </w:rPr>
              <w:t>）</w:t>
            </w:r>
            <w:r>
              <w:rPr>
                <w:spacing w:val="-34"/>
                <w:sz w:val="21"/>
                <w:szCs w:val="21"/>
                <w:u w:val="single"/>
              </w:rPr>
              <w:t xml:space="preserve"> </w:t>
            </w:r>
            <w:r>
              <w:rPr>
                <w:spacing w:val="-34"/>
                <w:sz w:val="21"/>
                <w:szCs w:val="21"/>
                <w:u w:val="single"/>
              </w:rPr>
              <w:tab/>
            </w:r>
            <w:r>
              <w:rPr>
                <w:sz w:val="21"/>
                <w:szCs w:val="21"/>
              </w:rPr>
              <w:t>标</w:t>
            </w:r>
            <w:r>
              <w:rPr>
                <w:spacing w:val="-3"/>
                <w:sz w:val="21"/>
                <w:szCs w:val="21"/>
              </w:rPr>
              <w:t>段</w:t>
            </w:r>
            <w:r>
              <w:rPr>
                <w:sz w:val="21"/>
                <w:szCs w:val="21"/>
              </w:rPr>
              <w:t>施工招</w:t>
            </w:r>
            <w:r>
              <w:rPr>
                <w:spacing w:val="-3"/>
                <w:sz w:val="21"/>
                <w:szCs w:val="21"/>
              </w:rPr>
              <w:t>标</w:t>
            </w:r>
            <w:r>
              <w:rPr>
                <w:sz w:val="21"/>
                <w:szCs w:val="21"/>
              </w:rPr>
              <w:t>第</w:t>
            </w:r>
            <w:r>
              <w:rPr>
                <w:spacing w:val="-3"/>
                <w:sz w:val="21"/>
                <w:szCs w:val="21"/>
              </w:rPr>
              <w:t>一</w:t>
            </w:r>
            <w:r>
              <w:rPr>
                <w:sz w:val="21"/>
                <w:szCs w:val="21"/>
              </w:rPr>
              <w:t>个</w:t>
            </w:r>
            <w:r>
              <w:rPr>
                <w:spacing w:val="-3"/>
                <w:sz w:val="21"/>
                <w:szCs w:val="21"/>
              </w:rPr>
              <w:t>信</w:t>
            </w:r>
            <w:r>
              <w:rPr>
                <w:sz w:val="21"/>
                <w:szCs w:val="21"/>
              </w:rPr>
              <w:t>封</w:t>
            </w:r>
          </w:p>
          <w:p>
            <w:pPr>
              <w:pStyle w:val="33"/>
              <w:keepNext w:val="0"/>
              <w:keepLines w:val="0"/>
              <w:pageBreakBefore w:val="0"/>
              <w:tabs>
                <w:tab w:val="left" w:pos="2884"/>
              </w:tabs>
              <w:kinsoku/>
              <w:wordWrap/>
              <w:overflowPunct/>
              <w:topLinePunct w:val="0"/>
              <w:autoSpaceDE/>
              <w:autoSpaceDN/>
              <w:bidi w:val="0"/>
              <w:spacing w:before="91" w:line="500" w:lineRule="exact"/>
              <w:ind w:left="107" w:right="2120" w:hanging="106"/>
              <w:textAlignment w:val="auto"/>
              <w:rPr>
                <w:rFonts w:ascii="Times New Roman" w:eastAsia="Times New Roman"/>
                <w:sz w:val="21"/>
                <w:szCs w:val="21"/>
              </w:rPr>
            </w:pPr>
            <w:r>
              <w:rPr>
                <w:sz w:val="21"/>
                <w:szCs w:val="21"/>
              </w:rPr>
              <w:t>（商</w:t>
            </w:r>
            <w:r>
              <w:rPr>
                <w:spacing w:val="-3"/>
                <w:sz w:val="21"/>
                <w:szCs w:val="21"/>
              </w:rPr>
              <w:t>务</w:t>
            </w:r>
            <w:r>
              <w:rPr>
                <w:sz w:val="21"/>
                <w:szCs w:val="21"/>
              </w:rPr>
              <w:t>及</w:t>
            </w:r>
            <w:r>
              <w:rPr>
                <w:spacing w:val="-3"/>
                <w:sz w:val="21"/>
                <w:szCs w:val="21"/>
              </w:rPr>
              <w:t>技</w:t>
            </w:r>
            <w:r>
              <w:rPr>
                <w:sz w:val="21"/>
                <w:szCs w:val="21"/>
              </w:rPr>
              <w:t>术</w:t>
            </w:r>
            <w:r>
              <w:rPr>
                <w:spacing w:val="-3"/>
                <w:sz w:val="21"/>
                <w:szCs w:val="21"/>
              </w:rPr>
              <w:t>文</w:t>
            </w:r>
            <w:r>
              <w:rPr>
                <w:sz w:val="21"/>
                <w:szCs w:val="21"/>
              </w:rPr>
              <w:t>件</w:t>
            </w:r>
            <w:r>
              <w:rPr>
                <w:spacing w:val="-3"/>
                <w:sz w:val="21"/>
                <w:szCs w:val="21"/>
              </w:rPr>
              <w:t>）</w:t>
            </w:r>
            <w:r>
              <w:rPr>
                <w:rFonts w:hint="eastAsia"/>
                <w:sz w:val="21"/>
                <w:szCs w:val="21"/>
                <w:lang w:eastAsia="zh-CN"/>
              </w:rPr>
              <w:t>交易响应文件</w:t>
            </w:r>
            <w:r>
              <w:rPr>
                <w:sz w:val="21"/>
                <w:szCs w:val="21"/>
              </w:rPr>
              <w:t>招标</w:t>
            </w:r>
            <w:r>
              <w:rPr>
                <w:spacing w:val="-3"/>
                <w:sz w:val="21"/>
                <w:szCs w:val="21"/>
              </w:rPr>
              <w:t>项</w:t>
            </w:r>
            <w:r>
              <w:rPr>
                <w:sz w:val="21"/>
                <w:szCs w:val="21"/>
              </w:rPr>
              <w:t>目</w:t>
            </w:r>
            <w:r>
              <w:rPr>
                <w:spacing w:val="-3"/>
                <w:sz w:val="21"/>
                <w:szCs w:val="21"/>
              </w:rPr>
              <w:t>编</w:t>
            </w:r>
            <w:r>
              <w:rPr>
                <w:sz w:val="21"/>
                <w:szCs w:val="21"/>
              </w:rPr>
              <w:t>号</w:t>
            </w:r>
            <w:r>
              <w:rPr>
                <w:spacing w:val="-3"/>
                <w:sz w:val="21"/>
                <w:szCs w:val="21"/>
              </w:rPr>
              <w:t>：</w:t>
            </w:r>
            <w:r>
              <w:rPr>
                <w:rFonts w:ascii="Times New Roman" w:eastAsia="Times New Roman"/>
                <w:sz w:val="21"/>
                <w:szCs w:val="21"/>
                <w:u w:val="single"/>
              </w:rPr>
              <w:t xml:space="preserve"> </w:t>
            </w:r>
            <w:r>
              <w:rPr>
                <w:rFonts w:ascii="Times New Roman" w:eastAsia="Times New Roman"/>
                <w:sz w:val="21"/>
                <w:szCs w:val="21"/>
                <w:u w:val="single"/>
              </w:rPr>
              <w:tab/>
            </w:r>
          </w:p>
          <w:p>
            <w:pPr>
              <w:pStyle w:val="33"/>
              <w:keepNext w:val="0"/>
              <w:keepLines w:val="0"/>
              <w:pageBreakBefore w:val="0"/>
              <w:tabs>
                <w:tab w:val="left" w:pos="3935"/>
              </w:tabs>
              <w:kinsoku/>
              <w:wordWrap/>
              <w:overflowPunct/>
              <w:topLinePunct w:val="0"/>
              <w:autoSpaceDE/>
              <w:autoSpaceDN/>
              <w:bidi w:val="0"/>
              <w:spacing w:line="500" w:lineRule="exact"/>
              <w:ind w:left="107" w:right="1069"/>
              <w:textAlignment w:val="auto"/>
              <w:rPr>
                <w:sz w:val="21"/>
                <w:szCs w:val="21"/>
              </w:rPr>
            </w:pPr>
            <w:r>
              <w:rPr>
                <w:sz w:val="21"/>
                <w:szCs w:val="21"/>
              </w:rPr>
              <w:t>在</w:t>
            </w:r>
            <w:r>
              <w:rPr>
                <w:sz w:val="21"/>
                <w:szCs w:val="21"/>
                <w:u w:val="single"/>
              </w:rPr>
              <w:t xml:space="preserve">   </w:t>
            </w:r>
            <w:r>
              <w:rPr>
                <w:spacing w:val="2"/>
                <w:sz w:val="21"/>
                <w:szCs w:val="21"/>
                <w:u w:val="single"/>
              </w:rPr>
              <w:t xml:space="preserve"> </w:t>
            </w:r>
            <w:r>
              <w:rPr>
                <w:sz w:val="21"/>
                <w:szCs w:val="21"/>
              </w:rPr>
              <w:t>年</w:t>
            </w:r>
            <w:r>
              <w:rPr>
                <w:sz w:val="21"/>
                <w:szCs w:val="21"/>
                <w:u w:val="single"/>
              </w:rPr>
              <w:t xml:space="preserve">   </w:t>
            </w:r>
            <w:r>
              <w:rPr>
                <w:sz w:val="21"/>
                <w:szCs w:val="21"/>
              </w:rPr>
              <w:t>月</w:t>
            </w:r>
            <w:r>
              <w:rPr>
                <w:sz w:val="21"/>
                <w:szCs w:val="21"/>
                <w:u w:val="single"/>
              </w:rPr>
              <w:t xml:space="preserve">  </w:t>
            </w:r>
            <w:r>
              <w:rPr>
                <w:sz w:val="21"/>
                <w:szCs w:val="21"/>
              </w:rPr>
              <w:t>日</w:t>
            </w:r>
            <w:r>
              <w:rPr>
                <w:sz w:val="21"/>
                <w:szCs w:val="21"/>
                <w:u w:val="single"/>
              </w:rPr>
              <w:t xml:space="preserve">  </w:t>
            </w:r>
            <w:r>
              <w:rPr>
                <w:sz w:val="21"/>
                <w:szCs w:val="21"/>
              </w:rPr>
              <w:t>时</w:t>
            </w:r>
            <w:r>
              <w:rPr>
                <w:spacing w:val="101"/>
                <w:sz w:val="21"/>
                <w:szCs w:val="21"/>
                <w:u w:val="single"/>
              </w:rPr>
              <w:t xml:space="preserve"> </w:t>
            </w:r>
            <w:r>
              <w:rPr>
                <w:sz w:val="21"/>
                <w:szCs w:val="21"/>
              </w:rPr>
              <w:t>分前</w:t>
            </w:r>
            <w:r>
              <w:rPr>
                <w:spacing w:val="-3"/>
                <w:sz w:val="21"/>
                <w:szCs w:val="21"/>
              </w:rPr>
              <w:t>不</w:t>
            </w:r>
            <w:r>
              <w:rPr>
                <w:sz w:val="21"/>
                <w:szCs w:val="21"/>
              </w:rPr>
              <w:t>得</w:t>
            </w:r>
            <w:r>
              <w:rPr>
                <w:spacing w:val="-3"/>
                <w:sz w:val="21"/>
                <w:szCs w:val="21"/>
              </w:rPr>
              <w:t>开</w:t>
            </w:r>
            <w:r>
              <w:rPr>
                <w:sz w:val="21"/>
                <w:szCs w:val="21"/>
              </w:rPr>
              <w:t>启</w:t>
            </w:r>
            <w:r>
              <w:rPr>
                <w:rFonts w:hint="eastAsia"/>
                <w:sz w:val="21"/>
                <w:szCs w:val="21"/>
                <w:lang w:eastAsia="zh-CN"/>
              </w:rPr>
              <w:t>交易响应单位</w:t>
            </w:r>
            <w:r>
              <w:rPr>
                <w:sz w:val="21"/>
                <w:szCs w:val="21"/>
              </w:rPr>
              <w:t>名</w:t>
            </w:r>
            <w:r>
              <w:rPr>
                <w:spacing w:val="-3"/>
                <w:sz w:val="21"/>
                <w:szCs w:val="21"/>
              </w:rPr>
              <w:t>称</w:t>
            </w:r>
            <w:r>
              <w:rPr>
                <w:sz w:val="21"/>
                <w:szCs w:val="21"/>
              </w:rPr>
              <w:t>：</w:t>
            </w:r>
            <w:r>
              <w:rPr>
                <w:rFonts w:ascii="Times New Roman" w:eastAsia="Times New Roman"/>
                <w:sz w:val="21"/>
                <w:szCs w:val="21"/>
                <w:u w:val="single"/>
              </w:rPr>
              <w:t xml:space="preserve"> </w:t>
            </w:r>
            <w:r>
              <w:rPr>
                <w:rFonts w:ascii="Times New Roman" w:eastAsia="Times New Roman"/>
                <w:sz w:val="21"/>
                <w:szCs w:val="21"/>
                <w:u w:val="single"/>
              </w:rPr>
              <w:tab/>
            </w:r>
          </w:p>
          <w:p>
            <w:pPr>
              <w:pStyle w:val="33"/>
              <w:keepNext w:val="0"/>
              <w:keepLines w:val="0"/>
              <w:pageBreakBefore w:val="0"/>
              <w:tabs>
                <w:tab w:val="left" w:pos="3304"/>
              </w:tabs>
              <w:kinsoku/>
              <w:wordWrap/>
              <w:overflowPunct/>
              <w:topLinePunct w:val="0"/>
              <w:autoSpaceDE/>
              <w:autoSpaceDN/>
              <w:bidi w:val="0"/>
              <w:spacing w:line="500" w:lineRule="exact"/>
              <w:ind w:left="107" w:right="1100"/>
              <w:textAlignment w:val="auto"/>
              <w:rPr>
                <w:b/>
                <w:spacing w:val="-16"/>
                <w:sz w:val="21"/>
                <w:szCs w:val="21"/>
              </w:rPr>
            </w:pPr>
            <w:r>
              <w:rPr>
                <w:rFonts w:hint="eastAsia"/>
                <w:b/>
                <w:sz w:val="21"/>
                <w:szCs w:val="21"/>
                <w:lang w:eastAsia="zh-CN"/>
              </w:rPr>
              <w:t>交易响应文件</w:t>
            </w:r>
            <w:r>
              <w:rPr>
                <w:b/>
                <w:sz w:val="21"/>
                <w:szCs w:val="21"/>
              </w:rPr>
              <w:t>第二个信</w:t>
            </w:r>
            <w:r>
              <w:rPr>
                <w:b/>
                <w:spacing w:val="-3"/>
                <w:sz w:val="21"/>
                <w:szCs w:val="21"/>
              </w:rPr>
              <w:t>封</w:t>
            </w:r>
            <w:r>
              <w:rPr>
                <w:b/>
                <w:sz w:val="21"/>
                <w:szCs w:val="21"/>
              </w:rPr>
              <w:t>（</w:t>
            </w:r>
            <w:r>
              <w:rPr>
                <w:b/>
                <w:spacing w:val="-3"/>
                <w:sz w:val="21"/>
                <w:szCs w:val="21"/>
              </w:rPr>
              <w:t>报</w:t>
            </w:r>
            <w:r>
              <w:rPr>
                <w:b/>
                <w:sz w:val="21"/>
                <w:szCs w:val="21"/>
              </w:rPr>
              <w:t>价文件）封套</w:t>
            </w:r>
            <w:r>
              <w:rPr>
                <w:b/>
                <w:spacing w:val="-16"/>
                <w:sz w:val="21"/>
                <w:szCs w:val="21"/>
              </w:rPr>
              <w:t xml:space="preserve">： </w:t>
            </w:r>
          </w:p>
          <w:p>
            <w:pPr>
              <w:pStyle w:val="33"/>
              <w:keepNext w:val="0"/>
              <w:keepLines w:val="0"/>
              <w:pageBreakBefore w:val="0"/>
              <w:tabs>
                <w:tab w:val="left" w:pos="3304"/>
              </w:tabs>
              <w:kinsoku/>
              <w:wordWrap/>
              <w:overflowPunct/>
              <w:topLinePunct w:val="0"/>
              <w:autoSpaceDE/>
              <w:autoSpaceDN/>
              <w:bidi w:val="0"/>
              <w:spacing w:line="500" w:lineRule="exact"/>
              <w:ind w:left="107" w:right="1100"/>
              <w:textAlignment w:val="auto"/>
              <w:rPr>
                <w:rFonts w:ascii="Times New Roman" w:eastAsia="Times New Roman"/>
                <w:sz w:val="21"/>
                <w:szCs w:val="21"/>
              </w:rPr>
            </w:pPr>
            <w:r>
              <w:rPr>
                <w:sz w:val="21"/>
                <w:szCs w:val="21"/>
              </w:rPr>
              <w:t>招标</w:t>
            </w:r>
            <w:r>
              <w:rPr>
                <w:spacing w:val="-3"/>
                <w:sz w:val="21"/>
                <w:szCs w:val="21"/>
              </w:rPr>
              <w:t>人</w:t>
            </w:r>
            <w:r>
              <w:rPr>
                <w:sz w:val="21"/>
                <w:szCs w:val="21"/>
              </w:rPr>
              <w:t>名</w:t>
            </w:r>
            <w:r>
              <w:rPr>
                <w:spacing w:val="-3"/>
                <w:sz w:val="21"/>
                <w:szCs w:val="21"/>
              </w:rPr>
              <w:t>称</w:t>
            </w:r>
            <w:r>
              <w:rPr>
                <w:sz w:val="21"/>
                <w:szCs w:val="21"/>
              </w:rPr>
              <w:t>：</w:t>
            </w:r>
            <w:r>
              <w:rPr>
                <w:rFonts w:ascii="Times New Roman" w:eastAsia="Times New Roman"/>
                <w:sz w:val="21"/>
                <w:szCs w:val="21"/>
                <w:u w:val="single"/>
              </w:rPr>
              <w:t xml:space="preserve"> </w:t>
            </w:r>
            <w:r>
              <w:rPr>
                <w:rFonts w:ascii="Times New Roman" w:eastAsia="Times New Roman"/>
                <w:sz w:val="21"/>
                <w:szCs w:val="21"/>
                <w:u w:val="single"/>
              </w:rPr>
              <w:tab/>
            </w:r>
          </w:p>
          <w:p>
            <w:pPr>
              <w:pStyle w:val="33"/>
              <w:keepNext w:val="0"/>
              <w:keepLines w:val="0"/>
              <w:pageBreakBefore w:val="0"/>
              <w:tabs>
                <w:tab w:val="left" w:pos="3304"/>
              </w:tabs>
              <w:kinsoku/>
              <w:wordWrap/>
              <w:overflowPunct/>
              <w:topLinePunct w:val="0"/>
              <w:autoSpaceDE/>
              <w:autoSpaceDN/>
              <w:bidi w:val="0"/>
              <w:spacing w:line="500" w:lineRule="exact"/>
              <w:ind w:left="107"/>
              <w:textAlignment w:val="auto"/>
              <w:rPr>
                <w:rFonts w:ascii="Times New Roman" w:eastAsia="Times New Roman"/>
                <w:sz w:val="21"/>
                <w:szCs w:val="21"/>
              </w:rPr>
            </w:pPr>
            <w:r>
              <w:rPr>
                <w:sz w:val="21"/>
                <w:szCs w:val="21"/>
              </w:rPr>
              <w:t>招标</w:t>
            </w:r>
            <w:r>
              <w:rPr>
                <w:spacing w:val="-3"/>
                <w:sz w:val="21"/>
                <w:szCs w:val="21"/>
              </w:rPr>
              <w:t>人</w:t>
            </w:r>
            <w:r>
              <w:rPr>
                <w:sz w:val="21"/>
                <w:szCs w:val="21"/>
              </w:rPr>
              <w:t>地</w:t>
            </w:r>
            <w:r>
              <w:rPr>
                <w:spacing w:val="-3"/>
                <w:sz w:val="21"/>
                <w:szCs w:val="21"/>
              </w:rPr>
              <w:t>址</w:t>
            </w:r>
            <w:r>
              <w:rPr>
                <w:sz w:val="21"/>
                <w:szCs w:val="21"/>
              </w:rPr>
              <w:t>：</w:t>
            </w:r>
            <w:r>
              <w:rPr>
                <w:rFonts w:ascii="Times New Roman" w:eastAsia="Times New Roman"/>
                <w:sz w:val="21"/>
                <w:szCs w:val="21"/>
                <w:u w:val="single"/>
              </w:rPr>
              <w:t xml:space="preserve"> </w:t>
            </w:r>
            <w:r>
              <w:rPr>
                <w:rFonts w:ascii="Times New Roman" w:eastAsia="Times New Roman"/>
                <w:sz w:val="21"/>
                <w:szCs w:val="21"/>
                <w:u w:val="single"/>
              </w:rPr>
              <w:tab/>
            </w:r>
          </w:p>
          <w:p>
            <w:pPr>
              <w:pStyle w:val="33"/>
              <w:keepNext w:val="0"/>
              <w:keepLines w:val="0"/>
              <w:pageBreakBefore w:val="0"/>
              <w:tabs>
                <w:tab w:val="left" w:pos="738"/>
                <w:tab w:val="left" w:pos="2596"/>
              </w:tabs>
              <w:kinsoku/>
              <w:wordWrap/>
              <w:overflowPunct/>
              <w:topLinePunct w:val="0"/>
              <w:autoSpaceDE/>
              <w:autoSpaceDN/>
              <w:bidi w:val="0"/>
              <w:spacing w:before="91" w:line="500" w:lineRule="exact"/>
              <w:ind w:left="107"/>
              <w:textAlignment w:val="auto"/>
              <w:rPr>
                <w:sz w:val="21"/>
                <w:szCs w:val="21"/>
              </w:rPr>
            </w:pPr>
            <w:r>
              <w:rPr>
                <w:rFonts w:ascii="Times New Roman" w:eastAsia="Times New Roman"/>
                <w:sz w:val="21"/>
                <w:szCs w:val="21"/>
                <w:u w:val="single"/>
              </w:rPr>
              <w:t xml:space="preserve"> </w:t>
            </w:r>
            <w:r>
              <w:rPr>
                <w:rFonts w:ascii="Times New Roman" w:eastAsia="Times New Roman"/>
                <w:sz w:val="21"/>
                <w:szCs w:val="21"/>
                <w:u w:val="single"/>
              </w:rPr>
              <w:tab/>
            </w:r>
            <w:r>
              <w:rPr>
                <w:sz w:val="21"/>
                <w:szCs w:val="21"/>
              </w:rPr>
              <w:t>（</w:t>
            </w:r>
            <w:r>
              <w:rPr>
                <w:spacing w:val="-3"/>
                <w:sz w:val="21"/>
                <w:szCs w:val="21"/>
              </w:rPr>
              <w:t>项</w:t>
            </w:r>
            <w:r>
              <w:rPr>
                <w:sz w:val="21"/>
                <w:szCs w:val="21"/>
              </w:rPr>
              <w:t>目</w:t>
            </w:r>
            <w:r>
              <w:rPr>
                <w:spacing w:val="-3"/>
                <w:sz w:val="21"/>
                <w:szCs w:val="21"/>
              </w:rPr>
              <w:t>名</w:t>
            </w:r>
            <w:r>
              <w:rPr>
                <w:sz w:val="21"/>
                <w:szCs w:val="21"/>
              </w:rPr>
              <w:t>称</w:t>
            </w:r>
            <w:r>
              <w:rPr>
                <w:spacing w:val="-34"/>
                <w:sz w:val="21"/>
                <w:szCs w:val="21"/>
              </w:rPr>
              <w:t>）</w:t>
            </w:r>
            <w:r>
              <w:rPr>
                <w:spacing w:val="-34"/>
                <w:sz w:val="21"/>
                <w:szCs w:val="21"/>
                <w:u w:val="single"/>
              </w:rPr>
              <w:t xml:space="preserve"> </w:t>
            </w:r>
            <w:r>
              <w:rPr>
                <w:spacing w:val="-34"/>
                <w:sz w:val="21"/>
                <w:szCs w:val="21"/>
                <w:u w:val="single"/>
              </w:rPr>
              <w:tab/>
            </w:r>
            <w:r>
              <w:rPr>
                <w:sz w:val="21"/>
                <w:szCs w:val="21"/>
              </w:rPr>
              <w:t>标</w:t>
            </w:r>
            <w:r>
              <w:rPr>
                <w:spacing w:val="-3"/>
                <w:sz w:val="21"/>
                <w:szCs w:val="21"/>
              </w:rPr>
              <w:t>段</w:t>
            </w:r>
            <w:r>
              <w:rPr>
                <w:sz w:val="21"/>
                <w:szCs w:val="21"/>
              </w:rPr>
              <w:t>施工招</w:t>
            </w:r>
            <w:r>
              <w:rPr>
                <w:spacing w:val="-3"/>
                <w:sz w:val="21"/>
                <w:szCs w:val="21"/>
              </w:rPr>
              <w:t>标</w:t>
            </w:r>
            <w:r>
              <w:rPr>
                <w:sz w:val="21"/>
                <w:szCs w:val="21"/>
              </w:rPr>
              <w:t>第</w:t>
            </w:r>
            <w:r>
              <w:rPr>
                <w:spacing w:val="-3"/>
                <w:sz w:val="21"/>
                <w:szCs w:val="21"/>
              </w:rPr>
              <w:t>二</w:t>
            </w:r>
            <w:r>
              <w:rPr>
                <w:sz w:val="21"/>
                <w:szCs w:val="21"/>
              </w:rPr>
              <w:t>个</w:t>
            </w:r>
            <w:r>
              <w:rPr>
                <w:spacing w:val="-3"/>
                <w:sz w:val="21"/>
                <w:szCs w:val="21"/>
              </w:rPr>
              <w:t>信</w:t>
            </w:r>
            <w:r>
              <w:rPr>
                <w:sz w:val="21"/>
                <w:szCs w:val="21"/>
              </w:rPr>
              <w:t>封</w:t>
            </w:r>
          </w:p>
          <w:p>
            <w:pPr>
              <w:pStyle w:val="33"/>
              <w:keepNext w:val="0"/>
              <w:keepLines w:val="0"/>
              <w:pageBreakBefore w:val="0"/>
              <w:kinsoku/>
              <w:wordWrap/>
              <w:overflowPunct/>
              <w:topLinePunct w:val="0"/>
              <w:autoSpaceDE/>
              <w:autoSpaceDN/>
              <w:bidi w:val="0"/>
              <w:spacing w:before="91" w:line="500" w:lineRule="exact"/>
              <w:ind w:left="1"/>
              <w:textAlignment w:val="auto"/>
              <w:rPr>
                <w:rFonts w:hint="eastAsia" w:eastAsia="宋体"/>
                <w:sz w:val="21"/>
                <w:szCs w:val="21"/>
                <w:lang w:eastAsia="zh-CN"/>
              </w:rPr>
            </w:pPr>
            <w:r>
              <w:rPr>
                <w:sz w:val="21"/>
                <w:szCs w:val="21"/>
              </w:rPr>
              <w:t>（报价文件）</w:t>
            </w:r>
            <w:r>
              <w:rPr>
                <w:rFonts w:hint="eastAsia"/>
                <w:sz w:val="21"/>
                <w:szCs w:val="21"/>
                <w:lang w:eastAsia="zh-CN"/>
              </w:rPr>
              <w:t>交易响应文件</w:t>
            </w:r>
          </w:p>
          <w:p>
            <w:pPr>
              <w:pStyle w:val="33"/>
              <w:keepNext w:val="0"/>
              <w:keepLines w:val="0"/>
              <w:pageBreakBefore w:val="0"/>
              <w:tabs>
                <w:tab w:val="left" w:pos="2884"/>
              </w:tabs>
              <w:kinsoku/>
              <w:wordWrap/>
              <w:overflowPunct/>
              <w:topLinePunct w:val="0"/>
              <w:autoSpaceDE/>
              <w:autoSpaceDN/>
              <w:bidi w:val="0"/>
              <w:spacing w:before="91" w:line="500" w:lineRule="exact"/>
              <w:ind w:left="107"/>
              <w:textAlignment w:val="auto"/>
              <w:rPr>
                <w:rFonts w:ascii="Times New Roman" w:eastAsia="Times New Roman"/>
                <w:sz w:val="21"/>
                <w:szCs w:val="21"/>
              </w:rPr>
            </w:pPr>
            <w:r>
              <w:rPr>
                <w:sz w:val="21"/>
                <w:szCs w:val="21"/>
              </w:rPr>
              <w:t>招标</w:t>
            </w:r>
            <w:r>
              <w:rPr>
                <w:spacing w:val="-3"/>
                <w:sz w:val="21"/>
                <w:szCs w:val="21"/>
              </w:rPr>
              <w:t>项</w:t>
            </w:r>
            <w:r>
              <w:rPr>
                <w:sz w:val="21"/>
                <w:szCs w:val="21"/>
              </w:rPr>
              <w:t>目</w:t>
            </w:r>
            <w:r>
              <w:rPr>
                <w:spacing w:val="-3"/>
                <w:sz w:val="21"/>
                <w:szCs w:val="21"/>
              </w:rPr>
              <w:t>编</w:t>
            </w:r>
            <w:r>
              <w:rPr>
                <w:sz w:val="21"/>
                <w:szCs w:val="21"/>
              </w:rPr>
              <w:t>号</w:t>
            </w:r>
            <w:r>
              <w:rPr>
                <w:spacing w:val="-3"/>
                <w:sz w:val="21"/>
                <w:szCs w:val="21"/>
              </w:rPr>
              <w:t>：</w:t>
            </w:r>
            <w:r>
              <w:rPr>
                <w:rFonts w:ascii="Times New Roman" w:eastAsia="Times New Roman"/>
                <w:sz w:val="21"/>
                <w:szCs w:val="21"/>
                <w:u w:val="single"/>
              </w:rPr>
              <w:t xml:space="preserve"> </w:t>
            </w:r>
            <w:r>
              <w:rPr>
                <w:rFonts w:ascii="Times New Roman" w:eastAsia="Times New Roman"/>
                <w:sz w:val="21"/>
                <w:szCs w:val="21"/>
                <w:u w:val="single"/>
              </w:rPr>
              <w:tab/>
            </w:r>
          </w:p>
          <w:p>
            <w:pPr>
              <w:pStyle w:val="33"/>
              <w:keepNext w:val="0"/>
              <w:keepLines w:val="0"/>
              <w:pageBreakBefore w:val="0"/>
              <w:tabs>
                <w:tab w:val="left" w:pos="3935"/>
              </w:tabs>
              <w:kinsoku/>
              <w:wordWrap/>
              <w:overflowPunct/>
              <w:topLinePunct w:val="0"/>
              <w:autoSpaceDE/>
              <w:autoSpaceDN/>
              <w:bidi w:val="0"/>
              <w:spacing w:before="91" w:line="500" w:lineRule="exact"/>
              <w:ind w:left="107" w:right="96"/>
              <w:textAlignment w:val="auto"/>
              <w:rPr>
                <w:rFonts w:ascii="Times New Roman" w:eastAsia="Times New Roman"/>
                <w:sz w:val="21"/>
                <w:szCs w:val="21"/>
              </w:rPr>
            </w:pPr>
            <w:r>
              <w:rPr>
                <w:sz w:val="21"/>
                <w:szCs w:val="21"/>
              </w:rPr>
              <w:t>在</w:t>
            </w:r>
            <w:r>
              <w:rPr>
                <w:rFonts w:hint="eastAsia"/>
                <w:sz w:val="21"/>
                <w:szCs w:val="21"/>
                <w:lang w:eastAsia="zh-CN"/>
              </w:rPr>
              <w:t>交易响应文件</w:t>
            </w:r>
            <w:r>
              <w:rPr>
                <w:sz w:val="21"/>
                <w:szCs w:val="21"/>
              </w:rPr>
              <w:t>第</w:t>
            </w:r>
            <w:r>
              <w:rPr>
                <w:spacing w:val="-3"/>
                <w:sz w:val="21"/>
                <w:szCs w:val="21"/>
              </w:rPr>
              <w:t>二</w:t>
            </w:r>
            <w:r>
              <w:rPr>
                <w:sz w:val="21"/>
                <w:szCs w:val="21"/>
              </w:rPr>
              <w:t>个</w:t>
            </w:r>
            <w:r>
              <w:rPr>
                <w:spacing w:val="-3"/>
                <w:sz w:val="21"/>
                <w:szCs w:val="21"/>
              </w:rPr>
              <w:t>信</w:t>
            </w:r>
            <w:r>
              <w:rPr>
                <w:spacing w:val="-17"/>
                <w:sz w:val="21"/>
                <w:szCs w:val="21"/>
              </w:rPr>
              <w:t>封</w:t>
            </w:r>
            <w:r>
              <w:rPr>
                <w:spacing w:val="-3"/>
                <w:sz w:val="21"/>
                <w:szCs w:val="21"/>
              </w:rPr>
              <w:t>（</w:t>
            </w:r>
            <w:r>
              <w:rPr>
                <w:sz w:val="21"/>
                <w:szCs w:val="21"/>
              </w:rPr>
              <w:t>报价</w:t>
            </w:r>
            <w:r>
              <w:rPr>
                <w:spacing w:val="-3"/>
                <w:sz w:val="21"/>
                <w:szCs w:val="21"/>
              </w:rPr>
              <w:t>文件</w:t>
            </w:r>
            <w:r>
              <w:rPr>
                <w:spacing w:val="-14"/>
                <w:sz w:val="21"/>
                <w:szCs w:val="21"/>
              </w:rPr>
              <w:t>）</w:t>
            </w:r>
            <w:r>
              <w:rPr>
                <w:spacing w:val="-3"/>
                <w:sz w:val="21"/>
                <w:szCs w:val="21"/>
              </w:rPr>
              <w:t>开</w:t>
            </w:r>
            <w:r>
              <w:rPr>
                <w:sz w:val="21"/>
                <w:szCs w:val="21"/>
              </w:rPr>
              <w:t>标</w:t>
            </w:r>
            <w:r>
              <w:rPr>
                <w:spacing w:val="-3"/>
                <w:sz w:val="21"/>
                <w:szCs w:val="21"/>
              </w:rPr>
              <w:t>前</w:t>
            </w:r>
            <w:r>
              <w:rPr>
                <w:sz w:val="21"/>
                <w:szCs w:val="21"/>
              </w:rPr>
              <w:t>不</w:t>
            </w:r>
            <w:r>
              <w:rPr>
                <w:spacing w:val="-3"/>
                <w:sz w:val="21"/>
                <w:szCs w:val="21"/>
              </w:rPr>
              <w:t>得开</w:t>
            </w:r>
            <w:r>
              <w:rPr>
                <w:sz w:val="21"/>
                <w:szCs w:val="21"/>
              </w:rPr>
              <w:t>启</w:t>
            </w:r>
            <w:r>
              <w:rPr>
                <w:rFonts w:hint="eastAsia"/>
                <w:sz w:val="21"/>
                <w:szCs w:val="21"/>
                <w:lang w:eastAsia="zh-CN"/>
              </w:rPr>
              <w:t>交易响应单位</w:t>
            </w:r>
            <w:r>
              <w:rPr>
                <w:sz w:val="21"/>
                <w:szCs w:val="21"/>
              </w:rPr>
              <w:t>名</w:t>
            </w:r>
            <w:r>
              <w:rPr>
                <w:spacing w:val="-3"/>
                <w:sz w:val="21"/>
                <w:szCs w:val="21"/>
              </w:rPr>
              <w:t>称</w:t>
            </w:r>
            <w:r>
              <w:rPr>
                <w:sz w:val="21"/>
                <w:szCs w:val="21"/>
              </w:rPr>
              <w:t>：</w:t>
            </w:r>
            <w:r>
              <w:rPr>
                <w:rFonts w:ascii="Times New Roman" w:eastAsia="Times New Roman"/>
                <w:sz w:val="21"/>
                <w:szCs w:val="21"/>
                <w:u w:val="single"/>
              </w:rPr>
              <w:t xml:space="preserve"> </w:t>
            </w:r>
            <w:r>
              <w:rPr>
                <w:rFonts w:ascii="Times New Roman" w:eastAsia="Times New Roman"/>
                <w:sz w:val="21"/>
                <w:szCs w:val="21"/>
                <w:u w:val="single"/>
              </w:rPr>
              <w:tab/>
            </w:r>
          </w:p>
          <w:p>
            <w:pPr>
              <w:pStyle w:val="33"/>
              <w:keepNext w:val="0"/>
              <w:keepLines w:val="0"/>
              <w:pageBreakBefore w:val="0"/>
              <w:tabs>
                <w:tab w:val="left" w:pos="3887"/>
              </w:tabs>
              <w:kinsoku/>
              <w:wordWrap/>
              <w:overflowPunct/>
              <w:topLinePunct w:val="0"/>
              <w:autoSpaceDE/>
              <w:autoSpaceDN/>
              <w:bidi w:val="0"/>
              <w:spacing w:line="500" w:lineRule="exact"/>
              <w:ind w:left="107"/>
              <w:textAlignment w:val="auto"/>
              <w:rPr>
                <w:sz w:val="21"/>
                <w:szCs w:val="21"/>
                <w:u w:val="single"/>
              </w:rPr>
            </w:pPr>
            <w:r>
              <w:rPr>
                <w:rFonts w:hint="eastAsia"/>
                <w:sz w:val="21"/>
                <w:szCs w:val="21"/>
                <w:lang w:eastAsia="zh-CN"/>
              </w:rPr>
              <w:t>交易响应单位</w:t>
            </w:r>
            <w:r>
              <w:rPr>
                <w:sz w:val="21"/>
                <w:szCs w:val="21"/>
              </w:rPr>
              <w:t>地</w:t>
            </w:r>
            <w:r>
              <w:rPr>
                <w:spacing w:val="-3"/>
                <w:sz w:val="21"/>
                <w:szCs w:val="21"/>
              </w:rPr>
              <w:t>址</w:t>
            </w:r>
            <w:r>
              <w:rPr>
                <w:sz w:val="21"/>
                <w:szCs w:val="21"/>
              </w:rPr>
              <w:t>：</w:t>
            </w:r>
            <w:r>
              <w:rPr>
                <w:sz w:val="21"/>
                <w:szCs w:val="21"/>
                <w:u w:val="single"/>
              </w:rPr>
              <w:t xml:space="preserve"> </w:t>
            </w:r>
            <w:r>
              <w:rPr>
                <w:spacing w:val="-3"/>
                <w:sz w:val="21"/>
                <w:szCs w:val="21"/>
                <w:u w:val="single"/>
              </w:rPr>
              <w:t xml:space="preserve"> </w:t>
            </w:r>
            <w:r>
              <w:rPr>
                <w:sz w:val="21"/>
                <w:szCs w:val="21"/>
                <w:u w:val="single"/>
              </w:rPr>
              <w:t xml:space="preserve">   </w:t>
            </w:r>
            <w:r>
              <w:rPr>
                <w:spacing w:val="-3"/>
                <w:sz w:val="21"/>
                <w:szCs w:val="21"/>
                <w:u w:val="single"/>
              </w:rPr>
              <w:t xml:space="preserve"> </w:t>
            </w:r>
            <w:r>
              <w:rPr>
                <w:sz w:val="21"/>
                <w:szCs w:val="21"/>
                <w:u w:val="single"/>
              </w:rPr>
              <w:t xml:space="preserve">   </w:t>
            </w:r>
            <w:r>
              <w:rPr>
                <w:spacing w:val="-3"/>
                <w:sz w:val="21"/>
                <w:szCs w:val="21"/>
                <w:u w:val="single"/>
              </w:rPr>
              <w:t xml:space="preserve">  </w:t>
            </w:r>
            <w:r>
              <w:rPr>
                <w:sz w:val="21"/>
                <w:szCs w:val="21"/>
                <w:u w:val="single"/>
              </w:rPr>
              <w:t xml:space="preserve">     </w:t>
            </w:r>
            <w:r>
              <w:rPr>
                <w:spacing w:val="-3"/>
                <w:sz w:val="21"/>
                <w:szCs w:val="21"/>
                <w:u w:val="single"/>
              </w:rPr>
              <w:t xml:space="preserve"> </w:t>
            </w:r>
            <w:r>
              <w:rPr>
                <w:sz w:val="21"/>
                <w:szCs w:val="21"/>
                <w:u w:val="single"/>
              </w:rPr>
              <w:t xml:space="preserve">   </w:t>
            </w:r>
            <w:r>
              <w:rPr>
                <w:sz w:val="21"/>
                <w:szCs w:val="21"/>
                <w:u w:val="singl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4.2.3</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hint="eastAsia" w:ascii="宋体" w:hAnsi="宋体" w:eastAsia="宋体" w:cs="宋体"/>
                <w:sz w:val="21"/>
                <w:szCs w:val="21"/>
                <w:lang w:eastAsia="zh-CN"/>
              </w:rPr>
            </w:pPr>
            <w:r>
              <w:rPr>
                <w:rFonts w:hint="eastAsia" w:ascii="宋体" w:hAnsi="宋体" w:cs="宋体"/>
                <w:sz w:val="21"/>
                <w:szCs w:val="21"/>
              </w:rPr>
              <w:t>是否退还</w:t>
            </w:r>
            <w:r>
              <w:rPr>
                <w:rFonts w:hint="eastAsia" w:ascii="宋体" w:hAnsi="宋体" w:cs="宋体"/>
                <w:sz w:val="21"/>
                <w:szCs w:val="21"/>
                <w:lang w:eastAsia="zh-CN"/>
              </w:rPr>
              <w:t>交易响应文件</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ind w:right="113"/>
              <w:textAlignment w:val="auto"/>
              <w:rPr>
                <w:rFonts w:ascii="宋体" w:hAnsi="宋体" w:cs="宋体"/>
                <w:kern w:val="0"/>
                <w:sz w:val="21"/>
                <w:szCs w:val="21"/>
              </w:rPr>
            </w:pPr>
            <w:r>
              <w:rPr>
                <w:rFonts w:hint="eastAsia" w:ascii="宋体" w:hAnsi="宋体" w:cs="宋体"/>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5.1</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开标时间和地点</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kern w:val="0"/>
                <w:sz w:val="21"/>
                <w:szCs w:val="21"/>
              </w:rPr>
            </w:pPr>
            <w:r>
              <w:rPr>
                <w:rFonts w:hint="eastAsia" w:ascii="宋体" w:hAnsi="宋体" w:cs="宋体"/>
                <w:kern w:val="0"/>
                <w:sz w:val="21"/>
                <w:szCs w:val="21"/>
              </w:rPr>
              <w:t>开标时间：</w:t>
            </w:r>
            <w:r>
              <w:rPr>
                <w:rFonts w:hint="eastAsia" w:ascii="宋体" w:hAnsi="宋体" w:cs="宋体"/>
                <w:color w:val="FF0000"/>
                <w:kern w:val="0"/>
                <w:sz w:val="21"/>
                <w:szCs w:val="21"/>
                <w:u w:val="single"/>
              </w:rPr>
              <w:t>201</w:t>
            </w:r>
            <w:r>
              <w:rPr>
                <w:rFonts w:hint="eastAsia" w:ascii="宋体" w:hAnsi="宋体" w:cs="宋体"/>
                <w:color w:val="FF0000"/>
                <w:kern w:val="0"/>
                <w:sz w:val="21"/>
                <w:szCs w:val="21"/>
                <w:u w:val="single"/>
                <w:lang w:val="en-US" w:eastAsia="zh-CN"/>
              </w:rPr>
              <w:t>9</w:t>
            </w:r>
            <w:r>
              <w:rPr>
                <w:rFonts w:hint="eastAsia" w:ascii="宋体" w:hAnsi="宋体" w:cs="宋体"/>
                <w:color w:val="FF0000"/>
                <w:kern w:val="0"/>
                <w:sz w:val="21"/>
                <w:szCs w:val="21"/>
                <w:u w:val="single"/>
              </w:rPr>
              <w:t>年</w:t>
            </w:r>
            <w:r>
              <w:rPr>
                <w:rFonts w:hint="eastAsia" w:ascii="宋体" w:hAnsi="宋体" w:cs="宋体"/>
                <w:color w:val="FF0000"/>
                <w:kern w:val="0"/>
                <w:sz w:val="21"/>
                <w:szCs w:val="21"/>
                <w:u w:val="single"/>
                <w:lang w:val="en-US" w:eastAsia="zh-CN"/>
              </w:rPr>
              <w:t xml:space="preserve"> 12 </w:t>
            </w:r>
            <w:r>
              <w:rPr>
                <w:rFonts w:hint="eastAsia" w:ascii="宋体" w:hAnsi="宋体" w:cs="宋体"/>
                <w:color w:val="FF0000"/>
                <w:kern w:val="0"/>
                <w:sz w:val="21"/>
                <w:szCs w:val="21"/>
                <w:u w:val="single"/>
              </w:rPr>
              <w:t>月</w:t>
            </w:r>
            <w:r>
              <w:rPr>
                <w:rFonts w:hint="eastAsia" w:ascii="宋体" w:hAnsi="宋体" w:cs="宋体"/>
                <w:color w:val="FF0000"/>
                <w:kern w:val="0"/>
                <w:sz w:val="21"/>
                <w:szCs w:val="21"/>
                <w:u w:val="single"/>
                <w:lang w:val="en-US" w:eastAsia="zh-CN"/>
              </w:rPr>
              <w:t xml:space="preserve"> 05　</w:t>
            </w:r>
            <w:r>
              <w:rPr>
                <w:rFonts w:hint="eastAsia" w:ascii="宋体" w:hAnsi="宋体" w:cs="宋体"/>
                <w:color w:val="FF0000"/>
                <w:kern w:val="0"/>
                <w:sz w:val="21"/>
                <w:szCs w:val="21"/>
                <w:u w:val="single"/>
              </w:rPr>
              <w:t>日</w:t>
            </w:r>
            <w:r>
              <w:rPr>
                <w:rFonts w:hint="eastAsia" w:ascii="宋体" w:hAnsi="宋体" w:cs="宋体"/>
                <w:color w:val="FF0000"/>
                <w:kern w:val="0"/>
                <w:sz w:val="21"/>
                <w:szCs w:val="21"/>
                <w:u w:val="single"/>
                <w:lang w:val="en-US" w:eastAsia="zh-CN"/>
              </w:rPr>
              <w:t xml:space="preserve"> 09 </w:t>
            </w:r>
            <w:r>
              <w:rPr>
                <w:rFonts w:hint="eastAsia" w:ascii="宋体" w:hAnsi="宋体" w:cs="宋体"/>
                <w:color w:val="FF0000"/>
                <w:kern w:val="0"/>
                <w:sz w:val="21"/>
                <w:szCs w:val="21"/>
                <w:u w:val="single"/>
              </w:rPr>
              <w:t>时</w:t>
            </w:r>
            <w:r>
              <w:rPr>
                <w:rFonts w:hint="eastAsia" w:ascii="宋体" w:hAnsi="宋体" w:cs="宋体"/>
                <w:color w:val="FF0000"/>
                <w:kern w:val="0"/>
                <w:sz w:val="21"/>
                <w:szCs w:val="21"/>
                <w:u w:val="single"/>
                <w:lang w:val="en-US" w:eastAsia="zh-CN"/>
              </w:rPr>
              <w:t xml:space="preserve"> 30 </w:t>
            </w:r>
            <w:r>
              <w:rPr>
                <w:rFonts w:hint="eastAsia" w:ascii="宋体" w:hAnsi="宋体" w:cs="宋体"/>
                <w:color w:val="FF0000"/>
                <w:kern w:val="0"/>
                <w:sz w:val="21"/>
                <w:szCs w:val="21"/>
                <w:u w:val="single"/>
              </w:rPr>
              <w:t>分</w:t>
            </w:r>
            <w:r>
              <w:rPr>
                <w:rFonts w:hint="eastAsia" w:ascii="宋体" w:hAnsi="宋体" w:cs="宋体"/>
                <w:kern w:val="0"/>
                <w:sz w:val="21"/>
                <w:szCs w:val="21"/>
              </w:rPr>
              <w:t>（北京时间）</w:t>
            </w:r>
          </w:p>
          <w:p>
            <w:pPr>
              <w:keepNext w:val="0"/>
              <w:keepLines w:val="0"/>
              <w:pageBreakBefore w:val="0"/>
              <w:kinsoku/>
              <w:wordWrap/>
              <w:overflowPunct/>
              <w:topLinePunct w:val="0"/>
              <w:autoSpaceDE/>
              <w:autoSpaceDN/>
              <w:bidi w:val="0"/>
              <w:spacing w:line="500" w:lineRule="exact"/>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rPr>
              <w:t>开标地点：</w:t>
            </w:r>
            <w:r>
              <w:rPr>
                <w:rFonts w:hint="eastAsia" w:ascii="宋体" w:hAnsi="宋体" w:cs="宋体"/>
                <w:sz w:val="21"/>
                <w:szCs w:val="21"/>
                <w:highlight w:val="none"/>
                <w:u w:val="none"/>
                <w:lang w:eastAsia="zh-CN"/>
              </w:rPr>
              <w:t>双牌县潇水大厦老政务中心二楼</w:t>
            </w:r>
            <w:r>
              <w:rPr>
                <w:rFonts w:hint="eastAsia" w:ascii="宋体" w:hAnsi="宋体" w:cs="宋体"/>
                <w:kern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5.2.1</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开标程序</w:t>
            </w:r>
          </w:p>
        </w:tc>
        <w:tc>
          <w:tcPr>
            <w:tcW w:w="5809" w:type="dxa"/>
            <w:tcBorders>
              <w:top w:val="single" w:color="auto" w:sz="4" w:space="0"/>
              <w:left w:val="single" w:color="auto" w:sz="4" w:space="0"/>
              <w:bottom w:val="single" w:color="auto" w:sz="4" w:space="0"/>
              <w:right w:val="single" w:color="auto" w:sz="12" w:space="0"/>
            </w:tcBorders>
            <w:vAlign w:val="center"/>
          </w:tcPr>
          <w:p>
            <w:pPr>
              <w:pStyle w:val="33"/>
              <w:keepNext w:val="0"/>
              <w:keepLines w:val="0"/>
              <w:pageBreakBefore w:val="0"/>
              <w:kinsoku/>
              <w:wordWrap/>
              <w:overflowPunct/>
              <w:topLinePunct w:val="0"/>
              <w:autoSpaceDE/>
              <w:autoSpaceDN/>
              <w:bidi w:val="0"/>
              <w:spacing w:before="90" w:line="500" w:lineRule="exact"/>
              <w:textAlignment w:val="auto"/>
              <w:rPr>
                <w:sz w:val="21"/>
                <w:szCs w:val="21"/>
                <w:u w:val="single"/>
              </w:rPr>
            </w:pPr>
            <w:r>
              <w:rPr>
                <w:rFonts w:hint="eastAsia"/>
                <w:sz w:val="21"/>
                <w:szCs w:val="21"/>
              </w:rPr>
              <w:t>密封情况检查：</w:t>
            </w:r>
            <w:r>
              <w:rPr>
                <w:rFonts w:hint="eastAsia"/>
                <w:sz w:val="21"/>
                <w:szCs w:val="21"/>
                <w:u w:val="single"/>
              </w:rPr>
              <w:t>检查</w:t>
            </w:r>
            <w:r>
              <w:rPr>
                <w:rFonts w:hint="eastAsia"/>
                <w:sz w:val="21"/>
                <w:szCs w:val="21"/>
                <w:u w:val="single"/>
                <w:lang w:eastAsia="zh-CN"/>
              </w:rPr>
              <w:t>交易响应文件</w:t>
            </w:r>
            <w:r>
              <w:rPr>
                <w:rFonts w:hint="eastAsia"/>
                <w:sz w:val="21"/>
                <w:szCs w:val="21"/>
                <w:u w:val="single"/>
              </w:rPr>
              <w:t>是否存在提前开启情况</w:t>
            </w:r>
          </w:p>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kern w:val="0"/>
                <w:sz w:val="21"/>
                <w:szCs w:val="21"/>
              </w:rPr>
              <w:t>按规定程序开标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6.1.1</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评标委员会的组建</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hint="eastAsia" w:ascii="宋体" w:hAnsi="宋体" w:eastAsia="宋体" w:cs="宋体"/>
                <w:sz w:val="21"/>
                <w:szCs w:val="21"/>
                <w:lang w:val="en-US" w:eastAsia="zh-CN"/>
              </w:rPr>
            </w:pPr>
            <w:r>
              <w:rPr>
                <w:rFonts w:hint="eastAsia" w:ascii="宋体" w:hAnsi="宋体" w:cs="宋体"/>
                <w:sz w:val="21"/>
                <w:szCs w:val="21"/>
              </w:rPr>
              <w:t>评标委员会构成：共</w:t>
            </w:r>
            <w:r>
              <w:rPr>
                <w:rFonts w:hint="eastAsia" w:ascii="宋体" w:hAnsi="宋体" w:cs="宋体"/>
                <w:sz w:val="21"/>
                <w:szCs w:val="21"/>
                <w:lang w:val="en-US" w:eastAsia="zh-CN"/>
              </w:rPr>
              <w:t>3</w:t>
            </w:r>
            <w:r>
              <w:rPr>
                <w:rFonts w:hint="eastAsia" w:ascii="宋体" w:hAnsi="宋体" w:cs="宋体"/>
                <w:sz w:val="21"/>
                <w:szCs w:val="21"/>
              </w:rPr>
              <w:t>人</w:t>
            </w:r>
            <w:r>
              <w:rPr>
                <w:rFonts w:hint="eastAsia" w:ascii="宋体" w:hAnsi="宋体" w:cs="宋体"/>
                <w:sz w:val="21"/>
                <w:szCs w:val="21"/>
                <w:lang w:eastAsia="zh-CN"/>
              </w:rPr>
              <w:t>；</w:t>
            </w:r>
            <w:r>
              <w:rPr>
                <w:rFonts w:hint="eastAsia" w:ascii="宋体" w:hAnsi="宋体" w:cs="宋体"/>
                <w:sz w:val="21"/>
                <w:szCs w:val="21"/>
                <w:lang w:val="en-US" w:eastAsia="zh-CN"/>
              </w:rPr>
              <w:t>专家3人；</w:t>
            </w:r>
          </w:p>
          <w:p>
            <w:pPr>
              <w:keepNext w:val="0"/>
              <w:keepLines w:val="0"/>
              <w:pageBreakBefore w:val="0"/>
              <w:kinsoku/>
              <w:wordWrap/>
              <w:overflowPunct/>
              <w:topLinePunct w:val="0"/>
              <w:autoSpaceDE/>
              <w:autoSpaceDN/>
              <w:bidi w:val="0"/>
              <w:spacing w:line="500" w:lineRule="exact"/>
              <w:textAlignment w:val="auto"/>
              <w:rPr>
                <w:rFonts w:hint="eastAsia" w:ascii="宋体" w:hAnsi="宋体" w:eastAsia="宋体" w:cs="宋体"/>
                <w:sz w:val="21"/>
                <w:szCs w:val="21"/>
                <w:lang w:val="en-US" w:eastAsia="zh-CN"/>
              </w:rPr>
            </w:pPr>
            <w:r>
              <w:rPr>
                <w:rFonts w:hint="eastAsia" w:ascii="宋体" w:hAnsi="宋体" w:cs="宋体"/>
                <w:sz w:val="21"/>
                <w:szCs w:val="21"/>
                <w:lang w:eastAsia="zh-CN"/>
              </w:rPr>
              <w:t>评标专家确定方式：</w:t>
            </w:r>
            <w:r>
              <w:rPr>
                <w:rFonts w:hint="eastAsia" w:ascii="宋体" w:hAnsi="宋体" w:cs="宋体"/>
                <w:sz w:val="21"/>
                <w:szCs w:val="21"/>
              </w:rPr>
              <w:t>从湖南省综合评标专家库中随机抽取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6.3.2</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评标委员会推荐中标候选人的人数</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ind w:right="113"/>
              <w:textAlignment w:val="auto"/>
              <w:rPr>
                <w:rFonts w:ascii="宋体" w:hAnsi="宋体" w:cs="宋体"/>
                <w:sz w:val="21"/>
                <w:szCs w:val="21"/>
              </w:rPr>
            </w:pPr>
            <w:r>
              <w:rPr>
                <w:rFonts w:hint="eastAsia" w:ascii="宋体" w:hAnsi="宋体" w:cs="宋体"/>
                <w:sz w:val="21"/>
                <w:szCs w:val="21"/>
              </w:rPr>
              <w:t>评标委员会按照得分高低由高到低的顺序推荐中标候选人3名。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pStyle w:val="33"/>
              <w:keepNext w:val="0"/>
              <w:keepLines w:val="0"/>
              <w:pageBreakBefore w:val="0"/>
              <w:kinsoku/>
              <w:wordWrap/>
              <w:overflowPunct/>
              <w:topLinePunct w:val="0"/>
              <w:autoSpaceDE/>
              <w:autoSpaceDN/>
              <w:bidi w:val="0"/>
              <w:spacing w:before="179" w:line="500" w:lineRule="exact"/>
              <w:ind w:right="172"/>
              <w:textAlignment w:val="auto"/>
              <w:rPr>
                <w:sz w:val="21"/>
                <w:szCs w:val="21"/>
                <w:lang w:val="en-US"/>
              </w:rPr>
            </w:pPr>
            <w:r>
              <w:rPr>
                <w:rFonts w:hint="eastAsia"/>
                <w:sz w:val="21"/>
                <w:szCs w:val="21"/>
              </w:rPr>
              <w:t>7.1</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sz w:val="21"/>
                <w:szCs w:val="21"/>
              </w:rPr>
            </w:pPr>
            <w:r>
              <w:rPr>
                <w:rFonts w:hint="eastAsia" w:ascii="宋体" w:hAnsi="宋体"/>
                <w:color w:val="000000"/>
                <w:sz w:val="21"/>
                <w:szCs w:val="21"/>
              </w:rPr>
              <w:t>中标候选人公示媒介及期限</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ind w:right="113"/>
              <w:textAlignment w:val="auto"/>
              <w:rPr>
                <w:rFonts w:ascii="宋体" w:hAnsi="宋体"/>
                <w:color w:val="000000"/>
                <w:sz w:val="21"/>
                <w:szCs w:val="21"/>
              </w:rPr>
            </w:pPr>
            <w:r>
              <w:rPr>
                <w:rFonts w:hint="eastAsia" w:ascii="宋体" w:hAnsi="宋体"/>
                <w:color w:val="000000"/>
                <w:sz w:val="21"/>
                <w:szCs w:val="21"/>
              </w:rPr>
              <w:t>公示媒介：同</w:t>
            </w:r>
            <w:r>
              <w:rPr>
                <w:rFonts w:hint="eastAsia" w:hAnsi="宋体"/>
                <w:color w:val="000000"/>
                <w:sz w:val="21"/>
                <w:szCs w:val="21"/>
              </w:rPr>
              <w:t>招标公告</w:t>
            </w:r>
            <w:r>
              <w:rPr>
                <w:rFonts w:hint="eastAsia" w:ascii="宋体" w:hAnsi="宋体"/>
                <w:color w:val="000000"/>
                <w:sz w:val="21"/>
                <w:szCs w:val="21"/>
              </w:rPr>
              <w:t>发布媒介一致</w:t>
            </w:r>
          </w:p>
          <w:p>
            <w:pPr>
              <w:keepNext w:val="0"/>
              <w:keepLines w:val="0"/>
              <w:pageBreakBefore w:val="0"/>
              <w:kinsoku/>
              <w:wordWrap/>
              <w:overflowPunct/>
              <w:topLinePunct w:val="0"/>
              <w:autoSpaceDE/>
              <w:autoSpaceDN/>
              <w:bidi w:val="0"/>
              <w:spacing w:line="500" w:lineRule="exact"/>
              <w:ind w:right="113"/>
              <w:textAlignment w:val="auto"/>
              <w:rPr>
                <w:rFonts w:ascii="宋体" w:hAnsi="宋体"/>
                <w:color w:val="000000"/>
                <w:sz w:val="21"/>
                <w:szCs w:val="21"/>
              </w:rPr>
            </w:pPr>
            <w:r>
              <w:rPr>
                <w:rFonts w:hint="eastAsia" w:ascii="宋体" w:hAnsi="宋体"/>
                <w:color w:val="000000"/>
                <w:sz w:val="21"/>
                <w:szCs w:val="21"/>
              </w:rPr>
              <w:t>公示期限：3个工作日</w:t>
            </w:r>
          </w:p>
          <w:p>
            <w:pPr>
              <w:keepNext w:val="0"/>
              <w:keepLines w:val="0"/>
              <w:pageBreakBefore w:val="0"/>
              <w:kinsoku/>
              <w:wordWrap/>
              <w:overflowPunct/>
              <w:topLinePunct w:val="0"/>
              <w:autoSpaceDE/>
              <w:autoSpaceDN/>
              <w:bidi w:val="0"/>
              <w:spacing w:line="500" w:lineRule="exact"/>
              <w:ind w:right="113" w:rightChars="0"/>
              <w:textAlignment w:val="auto"/>
              <w:rPr>
                <w:sz w:val="21"/>
                <w:szCs w:val="21"/>
              </w:rPr>
            </w:pPr>
            <w:r>
              <w:rPr>
                <w:rFonts w:hint="eastAsia" w:ascii="宋体" w:hAnsi="宋体"/>
                <w:color w:val="000000"/>
                <w:sz w:val="21"/>
                <w:szCs w:val="21"/>
              </w:rPr>
              <w:t>公示的其他内容：</w:t>
            </w:r>
            <w:r>
              <w:rPr>
                <w:rFonts w:hint="eastAsia" w:ascii="宋体" w:hAnsi="宋体"/>
                <w:color w:val="00000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pStyle w:val="33"/>
              <w:keepNext w:val="0"/>
              <w:keepLines w:val="0"/>
              <w:pageBreakBefore w:val="0"/>
              <w:kinsoku/>
              <w:wordWrap/>
              <w:overflowPunct/>
              <w:topLinePunct w:val="0"/>
              <w:autoSpaceDE/>
              <w:autoSpaceDN/>
              <w:bidi w:val="0"/>
              <w:spacing w:line="500" w:lineRule="exact"/>
              <w:ind w:right="172"/>
              <w:jc w:val="center"/>
              <w:textAlignment w:val="auto"/>
              <w:rPr>
                <w:sz w:val="21"/>
                <w:szCs w:val="21"/>
                <w:lang w:val="en-US"/>
              </w:rPr>
            </w:pPr>
            <w:r>
              <w:rPr>
                <w:rFonts w:hint="eastAsia"/>
                <w:sz w:val="21"/>
                <w:szCs w:val="21"/>
              </w:rPr>
              <w:t>7.4</w:t>
            </w:r>
          </w:p>
        </w:tc>
        <w:tc>
          <w:tcPr>
            <w:tcW w:w="3210" w:type="dxa"/>
            <w:gridSpan w:val="2"/>
            <w:tcBorders>
              <w:top w:val="single" w:color="auto" w:sz="4" w:space="0"/>
              <w:left w:val="single" w:color="auto" w:sz="4" w:space="0"/>
              <w:bottom w:val="single" w:color="auto" w:sz="4" w:space="0"/>
              <w:right w:val="single" w:color="auto" w:sz="4" w:space="0"/>
            </w:tcBorders>
          </w:tcPr>
          <w:p>
            <w:pPr>
              <w:pStyle w:val="33"/>
              <w:keepNext w:val="0"/>
              <w:keepLines w:val="0"/>
              <w:pageBreakBefore w:val="0"/>
              <w:kinsoku/>
              <w:wordWrap/>
              <w:overflowPunct/>
              <w:topLinePunct w:val="0"/>
              <w:autoSpaceDE/>
              <w:autoSpaceDN/>
              <w:bidi w:val="0"/>
              <w:spacing w:before="8" w:line="500" w:lineRule="exact"/>
              <w:ind w:left="1368" w:right="99" w:hanging="1261"/>
              <w:textAlignment w:val="auto"/>
              <w:rPr>
                <w:sz w:val="21"/>
                <w:szCs w:val="21"/>
              </w:rPr>
            </w:pPr>
            <w:r>
              <w:rPr>
                <w:rFonts w:hint="eastAsia"/>
                <w:sz w:val="21"/>
                <w:szCs w:val="21"/>
              </w:rPr>
              <w:t>是否授权评标委员会确定中标人</w:t>
            </w:r>
          </w:p>
        </w:tc>
        <w:tc>
          <w:tcPr>
            <w:tcW w:w="5809" w:type="dxa"/>
            <w:tcBorders>
              <w:top w:val="single" w:color="auto" w:sz="4" w:space="0"/>
              <w:left w:val="single" w:color="auto" w:sz="4" w:space="0"/>
              <w:bottom w:val="single" w:color="auto" w:sz="4" w:space="0"/>
              <w:right w:val="single" w:color="auto" w:sz="12" w:space="0"/>
            </w:tcBorders>
          </w:tcPr>
          <w:p>
            <w:pPr>
              <w:pStyle w:val="33"/>
              <w:keepNext w:val="0"/>
              <w:keepLines w:val="0"/>
              <w:pageBreakBefore w:val="0"/>
              <w:kinsoku/>
              <w:wordWrap/>
              <w:overflowPunct/>
              <w:topLinePunct w:val="0"/>
              <w:autoSpaceDE/>
              <w:autoSpaceDN/>
              <w:bidi w:val="0"/>
              <w:spacing w:line="500" w:lineRule="exact"/>
              <w:ind w:left="107"/>
              <w:textAlignment w:val="auto"/>
              <w:rPr>
                <w:sz w:val="21"/>
                <w:szCs w:val="21"/>
              </w:rPr>
            </w:pPr>
            <w:r>
              <w:rPr>
                <w:rFonts w:hint="eastAsia"/>
                <w:spacing w:val="-1"/>
                <w:sz w:val="21"/>
                <w:szCs w:val="21"/>
              </w:rPr>
              <w:t>□</w:t>
            </w:r>
            <w:r>
              <w:rPr>
                <w:rFonts w:hint="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pStyle w:val="33"/>
              <w:keepNext w:val="0"/>
              <w:keepLines w:val="0"/>
              <w:pageBreakBefore w:val="0"/>
              <w:kinsoku/>
              <w:wordWrap/>
              <w:overflowPunct/>
              <w:topLinePunct w:val="0"/>
              <w:autoSpaceDE/>
              <w:autoSpaceDN/>
              <w:bidi w:val="0"/>
              <w:spacing w:line="500" w:lineRule="exact"/>
              <w:ind w:right="172"/>
              <w:jc w:val="center"/>
              <w:textAlignment w:val="auto"/>
              <w:rPr>
                <w:sz w:val="21"/>
                <w:szCs w:val="21"/>
                <w:lang w:val="en-US"/>
              </w:rPr>
            </w:pPr>
            <w:r>
              <w:rPr>
                <w:rFonts w:hint="eastAsia"/>
                <w:sz w:val="21"/>
                <w:szCs w:val="21"/>
              </w:rPr>
              <w:t>7.5</w:t>
            </w:r>
          </w:p>
        </w:tc>
        <w:tc>
          <w:tcPr>
            <w:tcW w:w="3210" w:type="dxa"/>
            <w:gridSpan w:val="2"/>
            <w:tcBorders>
              <w:top w:val="single" w:color="auto" w:sz="4" w:space="0"/>
              <w:left w:val="single" w:color="auto" w:sz="4" w:space="0"/>
              <w:bottom w:val="single" w:color="auto" w:sz="4" w:space="0"/>
              <w:right w:val="single" w:color="auto" w:sz="4" w:space="0"/>
            </w:tcBorders>
          </w:tcPr>
          <w:p>
            <w:pPr>
              <w:pStyle w:val="33"/>
              <w:keepNext w:val="0"/>
              <w:keepLines w:val="0"/>
              <w:pageBreakBefore w:val="0"/>
              <w:kinsoku/>
              <w:wordWrap/>
              <w:overflowPunct/>
              <w:topLinePunct w:val="0"/>
              <w:autoSpaceDE/>
              <w:autoSpaceDN/>
              <w:bidi w:val="0"/>
              <w:spacing w:before="11" w:line="500" w:lineRule="exact"/>
              <w:ind w:left="1053" w:right="99" w:hanging="946"/>
              <w:textAlignment w:val="auto"/>
              <w:rPr>
                <w:sz w:val="21"/>
                <w:szCs w:val="21"/>
              </w:rPr>
            </w:pPr>
            <w:r>
              <w:rPr>
                <w:rFonts w:hint="eastAsia"/>
                <w:sz w:val="21"/>
                <w:szCs w:val="21"/>
              </w:rPr>
              <w:t>中标通知书和中标结果通知发出的形式</w:t>
            </w:r>
          </w:p>
        </w:tc>
        <w:tc>
          <w:tcPr>
            <w:tcW w:w="5809" w:type="dxa"/>
            <w:tcBorders>
              <w:top w:val="single" w:color="auto" w:sz="4" w:space="0"/>
              <w:left w:val="single" w:color="auto" w:sz="4" w:space="0"/>
              <w:bottom w:val="single" w:color="auto" w:sz="4" w:space="0"/>
              <w:right w:val="single" w:color="auto" w:sz="12" w:space="0"/>
            </w:tcBorders>
            <w:vAlign w:val="center"/>
          </w:tcPr>
          <w:p>
            <w:pPr>
              <w:pStyle w:val="33"/>
              <w:keepNext w:val="0"/>
              <w:keepLines w:val="0"/>
              <w:pageBreakBefore w:val="0"/>
              <w:kinsoku/>
              <w:wordWrap/>
              <w:overflowPunct/>
              <w:topLinePunct w:val="0"/>
              <w:autoSpaceDE/>
              <w:autoSpaceDN/>
              <w:bidi w:val="0"/>
              <w:spacing w:line="500" w:lineRule="exact"/>
              <w:jc w:val="left"/>
              <w:textAlignment w:val="auto"/>
              <w:rPr>
                <w:sz w:val="21"/>
                <w:szCs w:val="21"/>
              </w:rPr>
            </w:pPr>
            <w:r>
              <w:rPr>
                <w:rFonts w:hint="eastAsia"/>
                <w:sz w:val="21"/>
                <w:szCs w:val="21"/>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7.7.1</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kern w:val="2"/>
                <w:sz w:val="21"/>
                <w:szCs w:val="21"/>
                <w:lang w:val="zh-CN" w:eastAsia="zh-CN" w:bidi="zh-CN"/>
              </w:rPr>
            </w:pPr>
            <w:r>
              <w:rPr>
                <w:rFonts w:hint="eastAsia" w:ascii="宋体" w:hAnsi="宋体"/>
                <w:color w:val="000000"/>
                <w:sz w:val="21"/>
                <w:szCs w:val="21"/>
              </w:rPr>
              <w:t>履约保证金</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ind w:right="226"/>
              <w:textAlignment w:val="auto"/>
              <w:rPr>
                <w:rFonts w:ascii="宋体" w:hAnsi="宋体"/>
                <w:color w:val="auto"/>
                <w:sz w:val="21"/>
                <w:szCs w:val="21"/>
              </w:rPr>
            </w:pPr>
            <w:r>
              <w:rPr>
                <w:rFonts w:hint="eastAsia" w:ascii="宋体" w:hAnsi="宋体"/>
                <w:color w:val="auto"/>
                <w:sz w:val="21"/>
                <w:szCs w:val="21"/>
              </w:rPr>
              <w:t>在签订合同前，中标人应按下述规定的金额、担保形式向招标人指定履约保证金账户提交履约担保：</w:t>
            </w:r>
          </w:p>
          <w:p>
            <w:pPr>
              <w:keepNext w:val="0"/>
              <w:keepLines w:val="0"/>
              <w:pageBreakBefore w:val="0"/>
              <w:kinsoku/>
              <w:wordWrap/>
              <w:overflowPunct/>
              <w:topLinePunct w:val="0"/>
              <w:autoSpaceDE/>
              <w:autoSpaceDN/>
              <w:bidi w:val="0"/>
              <w:spacing w:line="500" w:lineRule="exact"/>
              <w:ind w:left="1470" w:right="226" w:hanging="1470" w:hangingChars="700"/>
              <w:textAlignment w:val="auto"/>
              <w:rPr>
                <w:rFonts w:ascii="宋体" w:hAnsi="宋体"/>
                <w:color w:val="auto"/>
                <w:sz w:val="21"/>
                <w:szCs w:val="21"/>
              </w:rPr>
            </w:pPr>
            <w:r>
              <w:rPr>
                <w:rFonts w:hint="eastAsia" w:ascii="宋体" w:hAnsi="宋体"/>
                <w:color w:val="auto"/>
                <w:sz w:val="21"/>
                <w:szCs w:val="21"/>
              </w:rPr>
              <w:t>履约担保金额：</w:t>
            </w:r>
            <w:r>
              <w:rPr>
                <w:rFonts w:hint="eastAsia" w:ascii="宋体" w:hAnsi="宋体"/>
                <w:color w:val="auto"/>
                <w:sz w:val="21"/>
                <w:szCs w:val="21"/>
                <w:u w:val="single"/>
              </w:rPr>
              <w:t xml:space="preserve">10 </w:t>
            </w:r>
            <w:r>
              <w:rPr>
                <w:rFonts w:hint="eastAsia" w:ascii="宋体" w:hAnsi="宋体"/>
                <w:color w:val="auto"/>
                <w:sz w:val="21"/>
                <w:szCs w:val="21"/>
              </w:rPr>
              <w:t>%签约合同价</w:t>
            </w:r>
          </w:p>
          <w:p>
            <w:pPr>
              <w:keepNext w:val="0"/>
              <w:keepLines w:val="0"/>
              <w:pageBreakBefore w:val="0"/>
              <w:kinsoku/>
              <w:wordWrap/>
              <w:overflowPunct/>
              <w:topLinePunct w:val="0"/>
              <w:autoSpaceDE/>
              <w:autoSpaceDN/>
              <w:bidi w:val="0"/>
              <w:spacing w:line="500" w:lineRule="exact"/>
              <w:ind w:left="1470" w:leftChars="0" w:right="226" w:rightChars="0" w:hanging="1470" w:hangingChars="700"/>
              <w:textAlignment w:val="auto"/>
              <w:rPr>
                <w:rFonts w:ascii="宋体" w:hAnsi="宋体" w:cs="宋体"/>
                <w:kern w:val="0"/>
                <w:sz w:val="21"/>
                <w:szCs w:val="21"/>
              </w:rPr>
            </w:pPr>
            <w:r>
              <w:rPr>
                <w:rFonts w:hint="eastAsia" w:ascii="宋体" w:hAnsi="宋体"/>
                <w:color w:val="auto"/>
                <w:sz w:val="21"/>
                <w:szCs w:val="21"/>
              </w:rPr>
              <w:t>履约担保形式：银行转账或银行保函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8.5.1</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监督部门</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sz w:val="21"/>
                <w:szCs w:val="21"/>
                <w:lang w:eastAsia="zh-CN"/>
              </w:rPr>
              <w:t>双牌</w:t>
            </w:r>
            <w:r>
              <w:rPr>
                <w:rFonts w:hint="eastAsia"/>
                <w:sz w:val="21"/>
                <w:szCs w:val="21"/>
              </w:rPr>
              <w:t>县发改委，监督电话：</w:t>
            </w:r>
            <w:r>
              <w:rPr>
                <w:rFonts w:hint="eastAsia" w:hAnsi="宋体" w:cs="宋体"/>
                <w:color w:val="auto"/>
                <w:sz w:val="21"/>
                <w:szCs w:val="21"/>
                <w:lang w:eastAsia="zh-CN"/>
              </w:rPr>
              <w:t>0746-7722921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9</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sz w:val="21"/>
                <w:szCs w:val="21"/>
              </w:rPr>
            </w:pPr>
            <w:r>
              <w:rPr>
                <w:rFonts w:hint="eastAsia" w:ascii="宋体" w:hAnsi="宋体" w:cs="宋体"/>
                <w:sz w:val="21"/>
                <w:szCs w:val="21"/>
              </w:rPr>
              <w:t>是否采用电子招标投标</w:t>
            </w:r>
          </w:p>
        </w:tc>
        <w:tc>
          <w:tcPr>
            <w:tcW w:w="580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sz w:val="21"/>
                <w:szCs w:val="21"/>
              </w:rPr>
            </w:pPr>
            <w:r>
              <w:rPr>
                <w:rFonts w:hint="eastAsia" w:ascii="宋体" w:hAnsi="宋体" w:cs="宋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7"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kern w:val="0"/>
                <w:sz w:val="21"/>
                <w:szCs w:val="21"/>
              </w:rPr>
            </w:pPr>
            <w:r>
              <w:rPr>
                <w:rFonts w:hint="eastAsia" w:ascii="宋体" w:hAnsi="宋体" w:cs="宋体"/>
                <w:kern w:val="0"/>
                <w:sz w:val="21"/>
                <w:szCs w:val="21"/>
              </w:rPr>
              <w:t>5.2.1</w:t>
            </w: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ind w:firstLine="205" w:firstLineChars="98"/>
              <w:textAlignment w:val="auto"/>
              <w:rPr>
                <w:rFonts w:ascii="宋体" w:hAnsi="宋体" w:cs="宋体"/>
                <w:kern w:val="0"/>
                <w:sz w:val="21"/>
                <w:szCs w:val="21"/>
              </w:rPr>
            </w:pPr>
            <w:r>
              <w:rPr>
                <w:rFonts w:hint="eastAsia" w:ascii="宋体" w:hAnsi="宋体" w:cs="宋体"/>
                <w:kern w:val="0"/>
                <w:sz w:val="21"/>
                <w:szCs w:val="21"/>
              </w:rPr>
              <w:t>开标程序</w:t>
            </w:r>
          </w:p>
        </w:tc>
        <w:tc>
          <w:tcPr>
            <w:tcW w:w="6629"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kern w:val="0"/>
                <w:sz w:val="21"/>
                <w:szCs w:val="21"/>
              </w:rPr>
            </w:pPr>
            <w:r>
              <w:rPr>
                <w:rFonts w:hint="eastAsia" w:ascii="宋体" w:hAnsi="宋体" w:cs="宋体"/>
                <w:kern w:val="0"/>
                <w:sz w:val="21"/>
                <w:szCs w:val="21"/>
              </w:rPr>
              <w:t>本款修改为：主持人按下列程序进行开标：</w:t>
            </w:r>
          </w:p>
          <w:p>
            <w:pPr>
              <w:keepNext w:val="0"/>
              <w:keepLines w:val="0"/>
              <w:pageBreakBefore w:val="0"/>
              <w:kinsoku/>
              <w:wordWrap/>
              <w:overflowPunct/>
              <w:topLinePunct w:val="0"/>
              <w:autoSpaceDE/>
              <w:autoSpaceDN/>
              <w:bidi w:val="0"/>
              <w:spacing w:line="500" w:lineRule="exact"/>
              <w:textAlignment w:val="auto"/>
              <w:rPr>
                <w:rFonts w:ascii="宋体" w:hAnsi="宋体" w:cs="宋体"/>
                <w:kern w:val="0"/>
                <w:sz w:val="21"/>
                <w:szCs w:val="21"/>
              </w:rPr>
            </w:pPr>
            <w:r>
              <w:rPr>
                <w:rFonts w:hint="eastAsia" w:ascii="宋体" w:hAnsi="宋体" w:cs="宋体"/>
                <w:kern w:val="0"/>
                <w:sz w:val="21"/>
                <w:szCs w:val="21"/>
              </w:rPr>
              <w:t>（1）宣布开标纪律；</w:t>
            </w:r>
          </w:p>
          <w:p>
            <w:pPr>
              <w:keepNext w:val="0"/>
              <w:keepLines w:val="0"/>
              <w:pageBreakBefore w:val="0"/>
              <w:kinsoku/>
              <w:wordWrap/>
              <w:overflowPunct/>
              <w:topLinePunct w:val="0"/>
              <w:autoSpaceDE/>
              <w:autoSpaceDN/>
              <w:bidi w:val="0"/>
              <w:spacing w:line="500" w:lineRule="exact"/>
              <w:textAlignment w:val="auto"/>
              <w:rPr>
                <w:rFonts w:ascii="宋体" w:hAnsi="宋体" w:cs="宋体"/>
                <w:kern w:val="0"/>
                <w:sz w:val="21"/>
                <w:szCs w:val="21"/>
              </w:rPr>
            </w:pPr>
            <w:r>
              <w:rPr>
                <w:rFonts w:hint="eastAsia" w:ascii="宋体" w:hAnsi="宋体" w:cs="宋体"/>
                <w:kern w:val="0"/>
                <w:sz w:val="21"/>
                <w:szCs w:val="21"/>
              </w:rPr>
              <w:t>（2）公布在投标截止时间前递交</w:t>
            </w:r>
            <w:r>
              <w:rPr>
                <w:rFonts w:hint="eastAsia" w:ascii="宋体" w:hAnsi="宋体" w:cs="宋体"/>
                <w:kern w:val="0"/>
                <w:sz w:val="21"/>
                <w:szCs w:val="21"/>
                <w:lang w:eastAsia="zh-CN"/>
              </w:rPr>
              <w:t>交易响应文件</w:t>
            </w:r>
            <w:r>
              <w:rPr>
                <w:rFonts w:hint="eastAsia" w:ascii="宋体" w:hAnsi="宋体" w:cs="宋体"/>
                <w:kern w:val="0"/>
                <w:sz w:val="21"/>
                <w:szCs w:val="21"/>
              </w:rPr>
              <w:t>的</w:t>
            </w:r>
            <w:r>
              <w:rPr>
                <w:rFonts w:hint="eastAsia" w:ascii="宋体" w:hAnsi="宋体" w:cs="宋体"/>
                <w:kern w:val="0"/>
                <w:sz w:val="21"/>
                <w:szCs w:val="21"/>
                <w:lang w:eastAsia="zh-CN"/>
              </w:rPr>
              <w:t>交易响应单位</w:t>
            </w:r>
            <w:r>
              <w:rPr>
                <w:rFonts w:hint="eastAsia" w:ascii="宋体" w:hAnsi="宋体" w:cs="宋体"/>
                <w:kern w:val="0"/>
                <w:sz w:val="21"/>
                <w:szCs w:val="21"/>
              </w:rPr>
              <w:t>名称，并确认</w:t>
            </w:r>
            <w:r>
              <w:rPr>
                <w:rFonts w:hint="eastAsia" w:ascii="宋体" w:hAnsi="宋体" w:cs="宋体"/>
                <w:kern w:val="0"/>
                <w:sz w:val="21"/>
                <w:szCs w:val="21"/>
                <w:lang w:eastAsia="zh-CN"/>
              </w:rPr>
              <w:t>交易响应单位</w:t>
            </w:r>
            <w:r>
              <w:rPr>
                <w:rFonts w:hint="eastAsia" w:ascii="宋体" w:hAnsi="宋体" w:cs="宋体"/>
                <w:kern w:val="0"/>
                <w:sz w:val="21"/>
                <w:szCs w:val="21"/>
              </w:rPr>
              <w:t>是否派法定代表人或授权委托人到场，并验明身份和公司资质。</w:t>
            </w:r>
          </w:p>
          <w:p>
            <w:pPr>
              <w:keepNext w:val="0"/>
              <w:keepLines w:val="0"/>
              <w:pageBreakBefore w:val="0"/>
              <w:kinsoku/>
              <w:wordWrap/>
              <w:overflowPunct/>
              <w:topLinePunct w:val="0"/>
              <w:autoSpaceDE/>
              <w:autoSpaceDN/>
              <w:bidi w:val="0"/>
              <w:spacing w:line="500" w:lineRule="exact"/>
              <w:textAlignment w:val="auto"/>
              <w:rPr>
                <w:rFonts w:ascii="宋体" w:hAnsi="宋体" w:cs="宋体"/>
                <w:w w:val="90"/>
                <w:kern w:val="0"/>
                <w:sz w:val="21"/>
                <w:szCs w:val="21"/>
              </w:rPr>
            </w:pPr>
            <w:r>
              <w:rPr>
                <w:rFonts w:hint="eastAsia" w:ascii="宋体" w:hAnsi="宋体" w:cs="宋体"/>
                <w:kern w:val="0"/>
                <w:sz w:val="21"/>
                <w:szCs w:val="21"/>
              </w:rPr>
              <w:t>（3）宣布开标人、唱标人、记录人、监标人等有关人员姓名；</w:t>
            </w:r>
          </w:p>
          <w:p>
            <w:pPr>
              <w:keepNext w:val="0"/>
              <w:keepLines w:val="0"/>
              <w:pageBreakBefore w:val="0"/>
              <w:kinsoku/>
              <w:wordWrap/>
              <w:overflowPunct/>
              <w:topLinePunct w:val="0"/>
              <w:autoSpaceDE/>
              <w:autoSpaceDN/>
              <w:bidi w:val="0"/>
              <w:spacing w:line="500" w:lineRule="exact"/>
              <w:textAlignment w:val="auto"/>
              <w:rPr>
                <w:rFonts w:ascii="宋体" w:hAnsi="宋体" w:cs="宋体"/>
                <w:kern w:val="0"/>
                <w:sz w:val="21"/>
                <w:szCs w:val="21"/>
              </w:rPr>
            </w:pPr>
            <w:r>
              <w:rPr>
                <w:rFonts w:hint="eastAsia" w:ascii="宋体" w:hAnsi="宋体" w:cs="宋体"/>
                <w:kern w:val="0"/>
                <w:sz w:val="21"/>
                <w:szCs w:val="21"/>
              </w:rPr>
              <w:t>（4）按照</w:t>
            </w:r>
            <w:r>
              <w:rPr>
                <w:rFonts w:hint="eastAsia" w:ascii="宋体" w:hAnsi="宋体" w:cs="宋体"/>
                <w:kern w:val="0"/>
                <w:sz w:val="21"/>
                <w:szCs w:val="21"/>
                <w:lang w:eastAsia="zh-CN"/>
              </w:rPr>
              <w:t>交易须知</w:t>
            </w:r>
            <w:r>
              <w:rPr>
                <w:rFonts w:hint="eastAsia" w:ascii="宋体" w:hAnsi="宋体" w:cs="宋体"/>
                <w:kern w:val="0"/>
                <w:sz w:val="21"/>
                <w:szCs w:val="21"/>
              </w:rPr>
              <w:t>前附表的规定确定并宣布</w:t>
            </w:r>
            <w:r>
              <w:rPr>
                <w:rFonts w:hint="eastAsia" w:ascii="宋体" w:hAnsi="宋体" w:cs="宋体"/>
                <w:kern w:val="0"/>
                <w:sz w:val="21"/>
                <w:szCs w:val="21"/>
                <w:lang w:eastAsia="zh-CN"/>
              </w:rPr>
              <w:t>交易响应文件</w:t>
            </w:r>
            <w:r>
              <w:rPr>
                <w:rFonts w:hint="eastAsia" w:ascii="宋体" w:hAnsi="宋体" w:cs="宋体"/>
                <w:kern w:val="0"/>
                <w:sz w:val="21"/>
                <w:szCs w:val="21"/>
              </w:rPr>
              <w:t>开标顺序；</w:t>
            </w:r>
          </w:p>
          <w:p>
            <w:pPr>
              <w:keepNext w:val="0"/>
              <w:keepLines w:val="0"/>
              <w:pageBreakBefore w:val="0"/>
              <w:kinsoku/>
              <w:wordWrap/>
              <w:overflowPunct/>
              <w:topLinePunct w:val="0"/>
              <w:autoSpaceDE/>
              <w:autoSpaceDN/>
              <w:bidi w:val="0"/>
              <w:spacing w:line="500" w:lineRule="exact"/>
              <w:textAlignment w:val="auto"/>
              <w:rPr>
                <w:rFonts w:ascii="宋体" w:hAnsi="宋体" w:cs="宋体"/>
                <w:kern w:val="0"/>
                <w:sz w:val="21"/>
                <w:szCs w:val="21"/>
              </w:rPr>
            </w:pPr>
            <w:r>
              <w:rPr>
                <w:rFonts w:hint="eastAsia" w:ascii="宋体" w:hAnsi="宋体" w:cs="宋体"/>
                <w:kern w:val="0"/>
                <w:sz w:val="21"/>
                <w:szCs w:val="21"/>
              </w:rPr>
              <w:t>（5）按照宣布的开标顺序当众开标，公布</w:t>
            </w:r>
            <w:r>
              <w:rPr>
                <w:rFonts w:hint="eastAsia" w:ascii="宋体" w:hAnsi="宋体" w:cs="宋体"/>
                <w:kern w:val="0"/>
                <w:sz w:val="21"/>
                <w:szCs w:val="21"/>
                <w:lang w:eastAsia="zh-CN"/>
              </w:rPr>
              <w:t>交易响应单位</w:t>
            </w:r>
            <w:r>
              <w:rPr>
                <w:rFonts w:hint="eastAsia" w:ascii="宋体" w:hAnsi="宋体" w:cs="宋体"/>
                <w:kern w:val="0"/>
                <w:sz w:val="21"/>
                <w:szCs w:val="21"/>
              </w:rPr>
              <w:t>名称、</w:t>
            </w:r>
            <w:r>
              <w:rPr>
                <w:rFonts w:hint="eastAsia" w:ascii="宋体" w:hAnsi="宋体" w:cs="宋体"/>
                <w:kern w:val="0"/>
                <w:sz w:val="21"/>
                <w:szCs w:val="21"/>
                <w:lang w:eastAsia="zh-CN"/>
              </w:rPr>
              <w:t>交易响应文件</w:t>
            </w:r>
            <w:r>
              <w:rPr>
                <w:rFonts w:hint="eastAsia" w:ascii="宋体" w:hAnsi="宋体" w:cs="宋体"/>
                <w:kern w:val="0"/>
                <w:sz w:val="21"/>
                <w:szCs w:val="21"/>
              </w:rPr>
              <w:t>密封情况的递交情况，并记录在案；</w:t>
            </w:r>
          </w:p>
          <w:p>
            <w:pPr>
              <w:keepNext w:val="0"/>
              <w:keepLines w:val="0"/>
              <w:pageBreakBefore w:val="0"/>
              <w:kinsoku/>
              <w:wordWrap/>
              <w:overflowPunct/>
              <w:topLinePunct w:val="0"/>
              <w:autoSpaceDE/>
              <w:autoSpaceDN/>
              <w:bidi w:val="0"/>
              <w:spacing w:line="500" w:lineRule="exact"/>
              <w:textAlignment w:val="auto"/>
              <w:rPr>
                <w:rFonts w:ascii="宋体" w:hAnsi="宋体" w:cs="宋体"/>
                <w:kern w:val="0"/>
                <w:sz w:val="21"/>
                <w:szCs w:val="21"/>
              </w:rPr>
            </w:pPr>
            <w:r>
              <w:rPr>
                <w:rFonts w:hint="eastAsia" w:ascii="宋体" w:hAnsi="宋体" w:cs="宋体"/>
                <w:kern w:val="0"/>
                <w:sz w:val="21"/>
                <w:szCs w:val="21"/>
              </w:rPr>
              <w:t>（</w:t>
            </w:r>
            <w:r>
              <w:rPr>
                <w:rFonts w:hint="eastAsia" w:ascii="宋体" w:hAnsi="宋体" w:cs="宋体"/>
                <w:kern w:val="0"/>
                <w:sz w:val="21"/>
                <w:szCs w:val="21"/>
                <w:lang w:val="en-US" w:eastAsia="zh-CN"/>
              </w:rPr>
              <w:t>6</w:t>
            </w:r>
            <w:r>
              <w:rPr>
                <w:rFonts w:hint="eastAsia" w:ascii="宋体" w:hAnsi="宋体" w:cs="宋体"/>
                <w:kern w:val="0"/>
                <w:sz w:val="21"/>
                <w:szCs w:val="21"/>
              </w:rPr>
              <w:t>）</w:t>
            </w:r>
            <w:r>
              <w:rPr>
                <w:rFonts w:hint="eastAsia" w:ascii="宋体" w:hAnsi="宋体" w:cs="宋体"/>
                <w:kern w:val="0"/>
                <w:sz w:val="21"/>
                <w:szCs w:val="21"/>
                <w:lang w:eastAsia="zh-CN"/>
              </w:rPr>
              <w:t>交易响应单位</w:t>
            </w:r>
            <w:r>
              <w:rPr>
                <w:rFonts w:hint="eastAsia" w:ascii="宋体" w:hAnsi="宋体" w:cs="宋体"/>
                <w:kern w:val="0"/>
                <w:sz w:val="21"/>
                <w:szCs w:val="21"/>
              </w:rPr>
              <w:t>代表、招标人代表、监标人、公证人、记录人等有关人员在开标记录上签字确认；</w:t>
            </w:r>
          </w:p>
          <w:p>
            <w:pPr>
              <w:keepNext w:val="0"/>
              <w:keepLines w:val="0"/>
              <w:pageBreakBefore w:val="0"/>
              <w:kinsoku/>
              <w:wordWrap/>
              <w:overflowPunct/>
              <w:topLinePunct w:val="0"/>
              <w:autoSpaceDE/>
              <w:autoSpaceDN/>
              <w:bidi w:val="0"/>
              <w:spacing w:line="500" w:lineRule="exact"/>
              <w:textAlignment w:val="auto"/>
              <w:rPr>
                <w:rFonts w:ascii="宋体" w:hAnsi="宋体" w:cs="宋体"/>
                <w:kern w:val="0"/>
                <w:sz w:val="21"/>
                <w:szCs w:val="21"/>
              </w:rPr>
            </w:pPr>
            <w:r>
              <w:rPr>
                <w:rFonts w:hint="eastAsia" w:ascii="宋体" w:hAnsi="宋体" w:cs="宋体"/>
                <w:kern w:val="0"/>
                <w:sz w:val="21"/>
                <w:szCs w:val="21"/>
              </w:rPr>
              <w:t>（</w:t>
            </w:r>
            <w:r>
              <w:rPr>
                <w:rFonts w:hint="eastAsia" w:ascii="宋体" w:hAnsi="宋体" w:cs="宋体"/>
                <w:kern w:val="0"/>
                <w:sz w:val="21"/>
                <w:szCs w:val="21"/>
                <w:lang w:val="en-US" w:eastAsia="zh-CN"/>
              </w:rPr>
              <w:t>7</w:t>
            </w:r>
            <w:r>
              <w:rPr>
                <w:rFonts w:hint="eastAsia" w:ascii="宋体" w:hAnsi="宋体" w:cs="宋体"/>
                <w:kern w:val="0"/>
                <w:sz w:val="21"/>
                <w:szCs w:val="21"/>
              </w:rPr>
              <w:t>）开标会议结束。</w:t>
            </w:r>
          </w:p>
          <w:p>
            <w:pPr>
              <w:keepNext w:val="0"/>
              <w:keepLines w:val="0"/>
              <w:pageBreakBefore w:val="0"/>
              <w:kinsoku/>
              <w:wordWrap/>
              <w:overflowPunct/>
              <w:topLinePunct w:val="0"/>
              <w:autoSpaceDE/>
              <w:autoSpaceDN/>
              <w:bidi w:val="0"/>
              <w:spacing w:line="500" w:lineRule="exac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7"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kern w:val="0"/>
                <w:sz w:val="21"/>
                <w:szCs w:val="21"/>
              </w:rPr>
            </w:pPr>
            <w:r>
              <w:rPr>
                <w:rFonts w:hint="eastAsia" w:ascii="宋体" w:hAnsi="宋体" w:cs="宋体"/>
                <w:kern w:val="0"/>
                <w:sz w:val="21"/>
                <w:szCs w:val="21"/>
              </w:rPr>
              <w:t>5.2.2</w:t>
            </w: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kern w:val="0"/>
                <w:sz w:val="21"/>
                <w:szCs w:val="21"/>
              </w:rPr>
            </w:pPr>
            <w:r>
              <w:rPr>
                <w:rFonts w:hint="eastAsia" w:ascii="宋体" w:hAnsi="宋体" w:cs="宋体"/>
                <w:sz w:val="21"/>
                <w:szCs w:val="21"/>
              </w:rPr>
              <w:t>原文见《公路工程标准施工</w:t>
            </w:r>
            <w:r>
              <w:rPr>
                <w:rFonts w:hint="eastAsia" w:ascii="宋体" w:hAnsi="宋体" w:cs="宋体"/>
                <w:sz w:val="21"/>
                <w:szCs w:val="21"/>
                <w:lang w:eastAsia="zh-CN"/>
              </w:rPr>
              <w:t>交易文件</w:t>
            </w:r>
            <w:r>
              <w:rPr>
                <w:rFonts w:hint="eastAsia" w:ascii="宋体" w:hAnsi="宋体" w:cs="宋体"/>
                <w:sz w:val="21"/>
                <w:szCs w:val="21"/>
              </w:rPr>
              <w:t>》2018年版</w:t>
            </w:r>
          </w:p>
        </w:tc>
        <w:tc>
          <w:tcPr>
            <w:tcW w:w="6629"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kern w:val="0"/>
                <w:sz w:val="21"/>
                <w:szCs w:val="21"/>
              </w:rPr>
            </w:pPr>
            <w:r>
              <w:rPr>
                <w:rFonts w:hint="eastAsia" w:ascii="宋体" w:hAnsi="宋体" w:cs="宋体"/>
                <w:kern w:val="0"/>
                <w:sz w:val="21"/>
                <w:szCs w:val="21"/>
              </w:rPr>
              <w:t>原款修改为：</w:t>
            </w:r>
          </w:p>
          <w:p>
            <w:pPr>
              <w:keepNext w:val="0"/>
              <w:keepLines w:val="0"/>
              <w:pageBreakBefore w:val="0"/>
              <w:kinsoku/>
              <w:wordWrap/>
              <w:overflowPunct/>
              <w:topLinePunct w:val="0"/>
              <w:autoSpaceDE/>
              <w:autoSpaceDN/>
              <w:bidi w:val="0"/>
              <w:spacing w:line="500" w:lineRule="exact"/>
              <w:textAlignment w:val="auto"/>
              <w:rPr>
                <w:rFonts w:ascii="宋体" w:hAnsi="宋体" w:cs="宋体"/>
                <w:kern w:val="0"/>
                <w:sz w:val="21"/>
                <w:szCs w:val="21"/>
              </w:rPr>
            </w:pPr>
            <w:r>
              <w:rPr>
                <w:rFonts w:hint="eastAsia" w:ascii="宋体" w:hAnsi="宋体" w:cs="宋体"/>
                <w:kern w:val="0"/>
                <w:sz w:val="21"/>
                <w:szCs w:val="21"/>
              </w:rPr>
              <w:t xml:space="preserve"> 开标过程中，若招标人发现</w:t>
            </w:r>
            <w:r>
              <w:rPr>
                <w:rFonts w:hint="eastAsia" w:ascii="宋体" w:hAnsi="宋体" w:cs="宋体"/>
                <w:kern w:val="0"/>
                <w:sz w:val="21"/>
                <w:szCs w:val="21"/>
                <w:lang w:eastAsia="zh-CN"/>
              </w:rPr>
              <w:t>交易响应单位</w:t>
            </w:r>
            <w:r>
              <w:rPr>
                <w:rFonts w:hint="eastAsia" w:ascii="宋体" w:hAnsi="宋体" w:cs="宋体"/>
                <w:kern w:val="0"/>
                <w:sz w:val="21"/>
                <w:szCs w:val="21"/>
              </w:rPr>
              <w:t>有以下任一情况，经监督人确认后当场宣布为废标：（1）未在投标函上填写投标总价、未按照</w:t>
            </w:r>
            <w:r>
              <w:rPr>
                <w:rFonts w:hint="eastAsia" w:ascii="宋体" w:hAnsi="宋体" w:cs="宋体"/>
                <w:kern w:val="0"/>
                <w:sz w:val="21"/>
                <w:szCs w:val="21"/>
                <w:lang w:eastAsia="zh-CN"/>
              </w:rPr>
              <w:t>交易文件</w:t>
            </w:r>
            <w:r>
              <w:rPr>
                <w:rFonts w:hint="eastAsia" w:ascii="宋体" w:hAnsi="宋体" w:cs="宋体"/>
                <w:kern w:val="0"/>
                <w:sz w:val="21"/>
                <w:szCs w:val="21"/>
              </w:rPr>
              <w:t>规定签署或加盖单位章；（2）投标报价或调价函中的报价超过招标人文件的投标控制价上限；（3）</w:t>
            </w:r>
            <w:r>
              <w:rPr>
                <w:rFonts w:hint="eastAsia" w:ascii="宋体" w:hAnsi="宋体" w:cs="宋体"/>
                <w:kern w:val="0"/>
                <w:sz w:val="21"/>
                <w:szCs w:val="21"/>
                <w:lang w:eastAsia="zh-CN"/>
              </w:rPr>
              <w:t>交易响应单位</w:t>
            </w:r>
            <w:r>
              <w:rPr>
                <w:rFonts w:hint="eastAsia" w:ascii="宋体" w:hAnsi="宋体" w:cs="宋体"/>
                <w:kern w:val="0"/>
                <w:sz w:val="21"/>
                <w:szCs w:val="21"/>
              </w:rPr>
              <w:t>在</w:t>
            </w:r>
            <w:r>
              <w:rPr>
                <w:rFonts w:hint="eastAsia" w:ascii="宋体" w:hAnsi="宋体" w:cs="宋体"/>
                <w:kern w:val="0"/>
                <w:sz w:val="21"/>
                <w:szCs w:val="21"/>
                <w:lang w:eastAsia="zh-CN"/>
              </w:rPr>
              <w:t>交易须知</w:t>
            </w:r>
            <w:r>
              <w:rPr>
                <w:rFonts w:hint="eastAsia" w:ascii="宋体" w:hAnsi="宋体" w:cs="宋体"/>
                <w:kern w:val="0"/>
                <w:sz w:val="21"/>
                <w:szCs w:val="21"/>
              </w:rPr>
              <w:t>前附表规定的时间之前，未将</w:t>
            </w:r>
            <w:r>
              <w:rPr>
                <w:rFonts w:hint="eastAsia" w:ascii="宋体" w:hAnsi="宋体" w:cs="宋体"/>
                <w:kern w:val="0"/>
                <w:sz w:val="21"/>
                <w:szCs w:val="21"/>
                <w:lang w:eastAsia="zh-CN"/>
              </w:rPr>
              <w:t>交易保证金</w:t>
            </w:r>
            <w:r>
              <w:rPr>
                <w:rFonts w:hint="eastAsia" w:ascii="宋体" w:hAnsi="宋体" w:cs="宋体"/>
                <w:kern w:val="0"/>
                <w:sz w:val="21"/>
                <w:szCs w:val="21"/>
              </w:rPr>
              <w:t>由</w:t>
            </w:r>
            <w:r>
              <w:rPr>
                <w:rFonts w:hint="eastAsia" w:ascii="宋体" w:hAnsi="宋体" w:cs="宋体"/>
                <w:kern w:val="0"/>
                <w:sz w:val="21"/>
                <w:szCs w:val="21"/>
                <w:lang w:eastAsia="zh-CN"/>
              </w:rPr>
              <w:t>交易响应单位</w:t>
            </w:r>
            <w:r>
              <w:rPr>
                <w:rFonts w:hint="eastAsia" w:ascii="宋体" w:hAnsi="宋体" w:cs="宋体"/>
                <w:kern w:val="0"/>
                <w:sz w:val="21"/>
                <w:szCs w:val="21"/>
              </w:rPr>
              <w:t>的基本账户足额的一次性汇入招标人指定账户。</w:t>
            </w:r>
          </w:p>
          <w:p>
            <w:pPr>
              <w:keepNext w:val="0"/>
              <w:keepLines w:val="0"/>
              <w:pageBreakBefore w:val="0"/>
              <w:kinsoku/>
              <w:wordWrap/>
              <w:overflowPunct/>
              <w:topLinePunct w:val="0"/>
              <w:autoSpaceDE/>
              <w:autoSpaceDN/>
              <w:bidi w:val="0"/>
              <w:snapToGrid w:val="0"/>
              <w:spacing w:line="500" w:lineRule="exact"/>
              <w:textAlignment w:val="auto"/>
              <w:rPr>
                <w:rFonts w:ascii="宋体" w:hAnsi="宋体" w:cs="宋体"/>
                <w:kern w:val="0"/>
                <w:sz w:val="21"/>
                <w:szCs w:val="21"/>
              </w:rPr>
            </w:pPr>
            <w:r>
              <w:rPr>
                <w:rFonts w:hint="eastAsia" w:ascii="宋体" w:hAnsi="宋体" w:cs="宋体"/>
                <w:kern w:val="0"/>
                <w:sz w:val="21"/>
                <w:szCs w:val="21"/>
              </w:rPr>
              <w:t>被当场宣布废标的</w:t>
            </w:r>
            <w:r>
              <w:rPr>
                <w:rFonts w:hint="eastAsia" w:ascii="宋体" w:hAnsi="宋体" w:cs="宋体"/>
                <w:kern w:val="0"/>
                <w:sz w:val="21"/>
                <w:szCs w:val="21"/>
                <w:lang w:eastAsia="zh-CN"/>
              </w:rPr>
              <w:t>交易响应文件</w:t>
            </w:r>
            <w:r>
              <w:rPr>
                <w:rFonts w:hint="eastAsia" w:ascii="宋体" w:hAnsi="宋体" w:cs="宋体"/>
                <w:kern w:val="0"/>
                <w:sz w:val="21"/>
                <w:szCs w:val="21"/>
              </w:rPr>
              <w:t>的投标报价不进入理论成本价的计算。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7"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kern w:val="0"/>
                <w:sz w:val="21"/>
                <w:szCs w:val="21"/>
              </w:rPr>
            </w:pPr>
            <w:r>
              <w:rPr>
                <w:rFonts w:hint="eastAsia" w:ascii="宋体" w:hAnsi="宋体" w:cs="宋体"/>
                <w:kern w:val="0"/>
                <w:sz w:val="21"/>
                <w:szCs w:val="21"/>
              </w:rPr>
              <w:t>5.2.4</w:t>
            </w: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ind w:firstLine="210" w:firstLineChars="100"/>
              <w:textAlignment w:val="auto"/>
              <w:rPr>
                <w:rFonts w:ascii="宋体" w:hAnsi="宋体" w:cs="宋体"/>
                <w:kern w:val="0"/>
                <w:sz w:val="21"/>
                <w:szCs w:val="21"/>
              </w:rPr>
            </w:pPr>
            <w:r>
              <w:rPr>
                <w:rFonts w:hint="eastAsia" w:ascii="宋体" w:hAnsi="宋体" w:cs="宋体"/>
                <w:kern w:val="0"/>
                <w:sz w:val="21"/>
                <w:szCs w:val="21"/>
              </w:rPr>
              <w:t>原文无</w:t>
            </w:r>
          </w:p>
        </w:tc>
        <w:tc>
          <w:tcPr>
            <w:tcW w:w="6629"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kern w:val="0"/>
                <w:sz w:val="21"/>
                <w:szCs w:val="21"/>
              </w:rPr>
            </w:pPr>
            <w:r>
              <w:rPr>
                <w:rFonts w:hint="eastAsia" w:ascii="宋体" w:hAnsi="宋体" w:cs="宋体"/>
                <w:kern w:val="0"/>
                <w:sz w:val="21"/>
                <w:szCs w:val="21"/>
              </w:rPr>
              <w:t>增加5.2.4：</w:t>
            </w:r>
          </w:p>
          <w:p>
            <w:pPr>
              <w:keepNext w:val="0"/>
              <w:keepLines w:val="0"/>
              <w:pageBreakBefore w:val="0"/>
              <w:kinsoku/>
              <w:wordWrap/>
              <w:overflowPunct/>
              <w:topLinePunct w:val="0"/>
              <w:autoSpaceDE/>
              <w:autoSpaceDN/>
              <w:bidi w:val="0"/>
              <w:spacing w:line="500" w:lineRule="exact"/>
              <w:textAlignment w:val="auto"/>
              <w:rPr>
                <w:rFonts w:ascii="宋体" w:hAnsi="宋体" w:cs="宋体"/>
                <w:kern w:val="0"/>
                <w:sz w:val="21"/>
                <w:szCs w:val="21"/>
              </w:rPr>
            </w:pPr>
            <w:r>
              <w:rPr>
                <w:rFonts w:hint="eastAsia" w:ascii="宋体" w:hAnsi="宋体" w:cs="宋体"/>
                <w:kern w:val="0"/>
                <w:sz w:val="21"/>
                <w:szCs w:val="21"/>
              </w:rPr>
              <w:t>评标委员会按照</w:t>
            </w:r>
            <w:r>
              <w:rPr>
                <w:rFonts w:hint="eastAsia" w:ascii="宋体" w:hAnsi="宋体" w:cs="宋体"/>
                <w:kern w:val="0"/>
                <w:sz w:val="21"/>
                <w:szCs w:val="21"/>
                <w:lang w:eastAsia="zh-CN"/>
              </w:rPr>
              <w:t>交易文件</w:t>
            </w:r>
            <w:r>
              <w:rPr>
                <w:rFonts w:hint="eastAsia" w:ascii="宋体" w:hAnsi="宋体" w:cs="宋体"/>
                <w:kern w:val="0"/>
                <w:sz w:val="21"/>
                <w:szCs w:val="21"/>
              </w:rPr>
              <w:t>规定的标准和方法进行评审，对满足</w:t>
            </w:r>
            <w:r>
              <w:rPr>
                <w:rFonts w:hint="eastAsia" w:ascii="宋体" w:hAnsi="宋体" w:cs="宋体"/>
                <w:kern w:val="0"/>
                <w:sz w:val="21"/>
                <w:szCs w:val="21"/>
                <w:lang w:eastAsia="zh-CN"/>
              </w:rPr>
              <w:t>交易文件</w:t>
            </w:r>
            <w:r>
              <w:rPr>
                <w:rFonts w:hint="eastAsia" w:ascii="宋体" w:hAnsi="宋体" w:cs="宋体"/>
                <w:kern w:val="0"/>
                <w:sz w:val="21"/>
                <w:szCs w:val="21"/>
              </w:rPr>
              <w:t>实质性要求的</w:t>
            </w:r>
            <w:r>
              <w:rPr>
                <w:rFonts w:hint="eastAsia" w:ascii="宋体" w:hAnsi="宋体" w:cs="宋体"/>
                <w:kern w:val="0"/>
                <w:sz w:val="21"/>
                <w:szCs w:val="21"/>
                <w:lang w:eastAsia="zh-CN"/>
              </w:rPr>
              <w:t>交易响应文件</w:t>
            </w:r>
            <w:r>
              <w:rPr>
                <w:rFonts w:hint="eastAsia" w:ascii="宋体" w:hAnsi="宋体" w:cs="宋体"/>
                <w:kern w:val="0"/>
                <w:sz w:val="21"/>
                <w:szCs w:val="21"/>
              </w:rPr>
              <w:t>，按评标价得分和信用评价得分综合得分由高到低顺序依次推荐前3名</w:t>
            </w:r>
            <w:r>
              <w:rPr>
                <w:rFonts w:hint="eastAsia" w:ascii="宋体" w:hAnsi="宋体" w:cs="宋体"/>
                <w:kern w:val="0"/>
                <w:sz w:val="21"/>
                <w:szCs w:val="21"/>
                <w:lang w:eastAsia="zh-CN"/>
              </w:rPr>
              <w:t>交易响应单位</w:t>
            </w:r>
            <w:r>
              <w:rPr>
                <w:rFonts w:hint="eastAsia" w:ascii="宋体" w:hAnsi="宋体" w:cs="宋体"/>
                <w:kern w:val="0"/>
                <w:sz w:val="21"/>
                <w:szCs w:val="21"/>
              </w:rPr>
              <w:t>为中标候选人。招标人或招标代理机构将对全过程录像。</w:t>
            </w:r>
          </w:p>
          <w:p>
            <w:pPr>
              <w:keepNext w:val="0"/>
              <w:keepLines w:val="0"/>
              <w:pageBreakBefore w:val="0"/>
              <w:kinsoku/>
              <w:wordWrap/>
              <w:overflowPunct/>
              <w:topLinePunct w:val="0"/>
              <w:autoSpaceDE/>
              <w:autoSpaceDN/>
              <w:bidi w:val="0"/>
              <w:spacing w:line="500" w:lineRule="exact"/>
              <w:textAlignment w:val="auto"/>
              <w:rPr>
                <w:rFonts w:ascii="宋体" w:hAnsi="宋体" w:cs="宋体"/>
                <w:kern w:val="0"/>
                <w:sz w:val="21"/>
                <w:szCs w:val="21"/>
              </w:rPr>
            </w:pPr>
            <w:r>
              <w:rPr>
                <w:rFonts w:hint="eastAsia" w:ascii="宋体" w:hAnsi="宋体" w:cs="宋体"/>
                <w:kern w:val="0"/>
                <w:sz w:val="21"/>
                <w:szCs w:val="21"/>
              </w:rPr>
              <w:t>评标的具体规定：见评标办法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6"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kern w:val="0"/>
                <w:sz w:val="21"/>
                <w:szCs w:val="21"/>
              </w:rPr>
            </w:pPr>
            <w:r>
              <w:rPr>
                <w:rFonts w:hint="eastAsia" w:ascii="宋体" w:hAnsi="宋体" w:cs="宋体"/>
                <w:kern w:val="0"/>
                <w:sz w:val="21"/>
                <w:szCs w:val="21"/>
              </w:rPr>
              <w:t>7.2</w:t>
            </w: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kern w:val="0"/>
                <w:sz w:val="21"/>
                <w:szCs w:val="21"/>
              </w:rPr>
            </w:pPr>
            <w:r>
              <w:rPr>
                <w:rFonts w:hint="eastAsia" w:ascii="宋体" w:hAnsi="宋体" w:cs="宋体"/>
                <w:sz w:val="21"/>
                <w:szCs w:val="21"/>
              </w:rPr>
              <w:t>原文见《公路工程标准施工</w:t>
            </w:r>
            <w:r>
              <w:rPr>
                <w:rFonts w:hint="eastAsia" w:ascii="宋体" w:hAnsi="宋体" w:cs="宋体"/>
                <w:sz w:val="21"/>
                <w:szCs w:val="21"/>
                <w:lang w:eastAsia="zh-CN"/>
              </w:rPr>
              <w:t>交易文件</w:t>
            </w:r>
            <w:r>
              <w:rPr>
                <w:rFonts w:hint="eastAsia" w:ascii="宋体" w:hAnsi="宋体" w:cs="宋体"/>
                <w:sz w:val="21"/>
                <w:szCs w:val="21"/>
              </w:rPr>
              <w:t>》2018年版</w:t>
            </w:r>
          </w:p>
        </w:tc>
        <w:tc>
          <w:tcPr>
            <w:tcW w:w="6629"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textAlignment w:val="auto"/>
              <w:rPr>
                <w:rFonts w:ascii="宋体" w:hAnsi="宋体" w:cs="宋体"/>
                <w:kern w:val="0"/>
                <w:sz w:val="21"/>
                <w:szCs w:val="21"/>
              </w:rPr>
            </w:pPr>
            <w:r>
              <w:rPr>
                <w:rFonts w:hint="eastAsia" w:ascii="宋体" w:hAnsi="宋体" w:cs="宋体"/>
                <w:kern w:val="0"/>
                <w:sz w:val="21"/>
                <w:szCs w:val="21"/>
              </w:rPr>
              <w:t>原款修改为：</w:t>
            </w:r>
          </w:p>
          <w:p>
            <w:pPr>
              <w:keepNext w:val="0"/>
              <w:keepLines w:val="0"/>
              <w:pageBreakBefore w:val="0"/>
              <w:kinsoku/>
              <w:wordWrap/>
              <w:overflowPunct/>
              <w:topLinePunct w:val="0"/>
              <w:autoSpaceDE/>
              <w:autoSpaceDN/>
              <w:bidi w:val="0"/>
              <w:spacing w:line="500" w:lineRule="exact"/>
              <w:ind w:firstLine="210" w:firstLineChars="100"/>
              <w:textAlignment w:val="auto"/>
              <w:rPr>
                <w:rFonts w:ascii="宋体" w:hAnsi="宋体" w:cs="宋体"/>
                <w:kern w:val="0"/>
                <w:sz w:val="21"/>
                <w:szCs w:val="21"/>
              </w:rPr>
            </w:pPr>
            <w:r>
              <w:rPr>
                <w:rFonts w:hint="eastAsia" w:ascii="宋体" w:hAnsi="宋体" w:cs="宋体"/>
                <w:kern w:val="0"/>
                <w:sz w:val="21"/>
                <w:szCs w:val="21"/>
              </w:rPr>
              <w:t>招标人依照有关法律法规的规定，将在发布</w:t>
            </w:r>
            <w:r>
              <w:rPr>
                <w:rFonts w:hint="eastAsia" w:ascii="宋体" w:hAnsi="宋体" w:cs="宋体"/>
                <w:kern w:val="0"/>
                <w:sz w:val="21"/>
                <w:szCs w:val="21"/>
                <w:lang w:eastAsia="zh-CN"/>
              </w:rPr>
              <w:t>交易公告</w:t>
            </w:r>
            <w:r>
              <w:rPr>
                <w:rFonts w:hint="eastAsia" w:ascii="宋体" w:hAnsi="宋体" w:cs="宋体"/>
                <w:kern w:val="0"/>
                <w:sz w:val="21"/>
                <w:szCs w:val="21"/>
              </w:rPr>
              <w:t>的媒体上对中标候选人进行公示。公示期满之后，招标人对无投诉举报的或投诉举报经查证失实的中标候选人，在本章第3.3款规定的投标有效期内以书面形式向中标人发出中标通知书；</w:t>
            </w:r>
          </w:p>
          <w:p>
            <w:pPr>
              <w:keepNext w:val="0"/>
              <w:keepLines w:val="0"/>
              <w:pageBreakBefore w:val="0"/>
              <w:kinsoku/>
              <w:wordWrap/>
              <w:overflowPunct/>
              <w:topLinePunct w:val="0"/>
              <w:autoSpaceDE/>
              <w:autoSpaceDN/>
              <w:bidi w:val="0"/>
              <w:spacing w:line="500" w:lineRule="exact"/>
              <w:ind w:firstLine="210" w:firstLineChars="100"/>
              <w:textAlignment w:val="auto"/>
              <w:rPr>
                <w:rFonts w:ascii="宋体" w:hAnsi="宋体" w:cs="宋体"/>
                <w:kern w:val="0"/>
                <w:sz w:val="21"/>
                <w:szCs w:val="21"/>
              </w:rPr>
            </w:pPr>
            <w:r>
              <w:rPr>
                <w:rFonts w:hint="eastAsia" w:ascii="宋体" w:hAnsi="宋体" w:cs="宋体"/>
                <w:kern w:val="0"/>
                <w:sz w:val="21"/>
                <w:szCs w:val="21"/>
              </w:rPr>
              <w:t>招标人对投诉举报属实的</w:t>
            </w:r>
            <w:r>
              <w:rPr>
                <w:rFonts w:hint="eastAsia" w:ascii="宋体" w:hAnsi="宋体" w:cs="宋体"/>
                <w:kern w:val="0"/>
                <w:sz w:val="21"/>
                <w:szCs w:val="21"/>
                <w:lang w:eastAsia="zh-CN"/>
              </w:rPr>
              <w:t>交易响应单位</w:t>
            </w:r>
            <w:r>
              <w:rPr>
                <w:rFonts w:hint="eastAsia" w:ascii="宋体" w:hAnsi="宋体" w:cs="宋体"/>
                <w:kern w:val="0"/>
                <w:sz w:val="21"/>
                <w:szCs w:val="21"/>
              </w:rPr>
              <w:t>，根据</w:t>
            </w:r>
            <w:r>
              <w:rPr>
                <w:rFonts w:hint="eastAsia" w:ascii="宋体" w:hAnsi="宋体" w:cs="宋体"/>
                <w:kern w:val="0"/>
                <w:sz w:val="21"/>
                <w:szCs w:val="21"/>
                <w:lang w:eastAsia="zh-CN"/>
              </w:rPr>
              <w:t>交易文件</w:t>
            </w:r>
            <w:r>
              <w:rPr>
                <w:rFonts w:hint="eastAsia" w:ascii="宋体" w:hAnsi="宋体" w:cs="宋体"/>
                <w:kern w:val="0"/>
                <w:sz w:val="21"/>
                <w:szCs w:val="21"/>
              </w:rPr>
              <w:t>和相关法律法规的规定决定是否取消其中标资格，同时，招标人将</w:t>
            </w:r>
            <w:r>
              <w:rPr>
                <w:rFonts w:hint="eastAsia" w:ascii="宋体" w:hAnsi="宋体" w:cs="宋体"/>
                <w:kern w:val="0"/>
                <w:sz w:val="21"/>
                <w:szCs w:val="21"/>
                <w:lang w:eastAsia="zh-CN"/>
              </w:rPr>
              <w:t>交易响应单位</w:t>
            </w:r>
            <w:r>
              <w:rPr>
                <w:rFonts w:hint="eastAsia" w:ascii="宋体" w:hAnsi="宋体" w:cs="宋体"/>
                <w:kern w:val="0"/>
                <w:sz w:val="21"/>
                <w:szCs w:val="21"/>
              </w:rPr>
              <w:t>此项行为上报湖南省交通运输厅，作为不良记录进入公路建设市场信用信息等级管理系统。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6"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kern w:val="0"/>
                <w:sz w:val="21"/>
                <w:szCs w:val="21"/>
              </w:rPr>
            </w:pPr>
            <w:r>
              <w:rPr>
                <w:rFonts w:hint="eastAsia" w:ascii="宋体" w:hAnsi="宋体" w:cs="宋体"/>
                <w:kern w:val="0"/>
                <w:sz w:val="21"/>
                <w:szCs w:val="21"/>
              </w:rPr>
              <w:t>10.1</w:t>
            </w: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ind w:firstLine="205" w:firstLineChars="98"/>
              <w:textAlignment w:val="auto"/>
              <w:rPr>
                <w:rFonts w:ascii="宋体" w:hAnsi="宋体" w:cs="宋体"/>
                <w:kern w:val="0"/>
                <w:sz w:val="21"/>
                <w:szCs w:val="21"/>
              </w:rPr>
            </w:pPr>
            <w:r>
              <w:rPr>
                <w:rFonts w:hint="eastAsia" w:ascii="宋体" w:hAnsi="宋体" w:cs="宋体"/>
                <w:kern w:val="0"/>
                <w:sz w:val="21"/>
                <w:szCs w:val="21"/>
              </w:rPr>
              <w:t>原文无</w:t>
            </w:r>
          </w:p>
        </w:tc>
        <w:tc>
          <w:tcPr>
            <w:tcW w:w="6629"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spacing w:line="500" w:lineRule="exact"/>
              <w:ind w:firstLine="210" w:firstLineChars="100"/>
              <w:textAlignment w:val="auto"/>
              <w:rPr>
                <w:rFonts w:ascii="宋体" w:hAnsi="宋体" w:cs="宋体"/>
                <w:kern w:val="0"/>
                <w:sz w:val="21"/>
                <w:szCs w:val="21"/>
              </w:rPr>
            </w:pPr>
            <w:r>
              <w:rPr>
                <w:rFonts w:hint="eastAsia" w:ascii="宋体" w:hAnsi="宋体" w:cs="宋体"/>
                <w:kern w:val="0"/>
                <w:sz w:val="21"/>
                <w:szCs w:val="21"/>
              </w:rPr>
              <w:t>增加10.1</w:t>
            </w:r>
          </w:p>
          <w:p>
            <w:pPr>
              <w:keepNext w:val="0"/>
              <w:keepLines w:val="0"/>
              <w:pageBreakBefore w:val="0"/>
              <w:kinsoku/>
              <w:wordWrap/>
              <w:overflowPunct/>
              <w:topLinePunct w:val="0"/>
              <w:autoSpaceDE/>
              <w:autoSpaceDN/>
              <w:bidi w:val="0"/>
              <w:spacing w:line="500" w:lineRule="exact"/>
              <w:ind w:firstLine="210" w:firstLineChars="100"/>
              <w:textAlignment w:val="auto"/>
              <w:rPr>
                <w:rFonts w:ascii="宋体" w:hAnsi="宋体" w:cs="宋体"/>
                <w:kern w:val="0"/>
                <w:sz w:val="21"/>
                <w:szCs w:val="21"/>
              </w:rPr>
            </w:pPr>
            <w:r>
              <w:rPr>
                <w:rFonts w:hint="eastAsia" w:ascii="宋体" w:hAnsi="宋体" w:cs="宋体"/>
                <w:kern w:val="0"/>
                <w:sz w:val="21"/>
                <w:szCs w:val="21"/>
                <w:lang w:eastAsia="zh-CN"/>
              </w:rPr>
              <w:t>交易响应单位</w:t>
            </w:r>
            <w:r>
              <w:rPr>
                <w:rFonts w:hint="eastAsia" w:ascii="宋体" w:hAnsi="宋体" w:cs="宋体"/>
                <w:kern w:val="0"/>
                <w:sz w:val="21"/>
                <w:szCs w:val="21"/>
              </w:rPr>
              <w:t>应携带下列证明、证件的原件参加开标会议，并随时准备接受评标委员会的核验和澄清。如果</w:t>
            </w:r>
            <w:r>
              <w:rPr>
                <w:rFonts w:hint="eastAsia" w:ascii="宋体" w:hAnsi="宋体" w:cs="宋体"/>
                <w:kern w:val="0"/>
                <w:sz w:val="21"/>
                <w:szCs w:val="21"/>
                <w:lang w:eastAsia="zh-CN"/>
              </w:rPr>
              <w:t>交易响应单位</w:t>
            </w:r>
            <w:r>
              <w:rPr>
                <w:rFonts w:hint="eastAsia" w:ascii="宋体" w:hAnsi="宋体" w:cs="宋体"/>
                <w:kern w:val="0"/>
                <w:sz w:val="21"/>
                <w:szCs w:val="21"/>
              </w:rPr>
              <w:t>的法定代表人或授权委托人在接到电话通知后规定的时间内，不能赶到指定地点出示证明、证件原件核验和澄清，评标委员会则直接依据</w:t>
            </w:r>
            <w:r>
              <w:rPr>
                <w:rFonts w:hint="eastAsia" w:ascii="宋体" w:hAnsi="宋体" w:cs="宋体"/>
                <w:kern w:val="0"/>
                <w:sz w:val="21"/>
                <w:szCs w:val="21"/>
                <w:lang w:eastAsia="zh-CN"/>
              </w:rPr>
              <w:t>交易响应文件</w:t>
            </w:r>
            <w:r>
              <w:rPr>
                <w:rFonts w:hint="eastAsia" w:ascii="宋体" w:hAnsi="宋体" w:cs="宋体"/>
                <w:kern w:val="0"/>
                <w:sz w:val="21"/>
                <w:szCs w:val="21"/>
              </w:rPr>
              <w:t>作出是否废标的处理。</w:t>
            </w:r>
          </w:p>
          <w:p>
            <w:pPr>
              <w:keepNext w:val="0"/>
              <w:keepLines w:val="0"/>
              <w:pageBreakBefore w:val="0"/>
              <w:kinsoku/>
              <w:wordWrap/>
              <w:overflowPunct/>
              <w:topLinePunct w:val="0"/>
              <w:autoSpaceDE/>
              <w:autoSpaceDN/>
              <w:bidi w:val="0"/>
              <w:spacing w:line="500" w:lineRule="exact"/>
              <w:textAlignment w:val="auto"/>
              <w:rPr>
                <w:rFonts w:ascii="宋体" w:hAnsi="宋体" w:cs="宋体"/>
                <w:kern w:val="0"/>
                <w:sz w:val="21"/>
                <w:szCs w:val="21"/>
              </w:rPr>
            </w:pPr>
            <w:r>
              <w:rPr>
                <w:rFonts w:hint="eastAsia" w:ascii="宋体" w:hAnsi="宋体" w:cs="宋体"/>
                <w:kern w:val="0"/>
                <w:sz w:val="21"/>
                <w:szCs w:val="21"/>
                <w:lang w:val="en-US" w:eastAsia="zh-CN"/>
              </w:rPr>
              <w:t>1、</w:t>
            </w:r>
            <w:r>
              <w:rPr>
                <w:rFonts w:hint="eastAsia" w:ascii="宋体" w:hAnsi="宋体" w:cs="宋体"/>
                <w:kern w:val="0"/>
                <w:sz w:val="21"/>
                <w:szCs w:val="21"/>
              </w:rPr>
              <w:t xml:space="preserve"> 营业执照副本、资质证书副本、安全生产许可证副本、基本账户开户许可证；</w:t>
            </w:r>
          </w:p>
          <w:p>
            <w:pPr>
              <w:keepNext w:val="0"/>
              <w:keepLines w:val="0"/>
              <w:pageBreakBefore w:val="0"/>
              <w:kinsoku/>
              <w:wordWrap/>
              <w:overflowPunct/>
              <w:topLinePunct w:val="0"/>
              <w:autoSpaceDE/>
              <w:autoSpaceDN/>
              <w:bidi w:val="0"/>
              <w:spacing w:line="500" w:lineRule="exact"/>
              <w:textAlignment w:val="auto"/>
              <w:rPr>
                <w:rFonts w:ascii="宋体" w:hAnsi="宋体" w:cs="宋体"/>
                <w:kern w:val="0"/>
                <w:sz w:val="21"/>
                <w:szCs w:val="21"/>
              </w:rPr>
            </w:pPr>
            <w:r>
              <w:rPr>
                <w:rFonts w:hint="eastAsia" w:ascii="宋体" w:hAnsi="宋体" w:cs="宋体"/>
                <w:kern w:val="0"/>
                <w:sz w:val="21"/>
                <w:szCs w:val="21"/>
                <w:lang w:val="en-US" w:eastAsia="zh-CN"/>
              </w:rPr>
              <w:t>2、</w:t>
            </w:r>
            <w:r>
              <w:rPr>
                <w:rFonts w:hint="eastAsia" w:ascii="宋体" w:hAnsi="宋体" w:cs="宋体"/>
                <w:kern w:val="0"/>
                <w:sz w:val="21"/>
                <w:szCs w:val="21"/>
              </w:rPr>
              <w:t xml:space="preserve"> 拟派项目经理的身份证、注册建造师注册证书、安全生产考核合格B证书原件；</w:t>
            </w:r>
          </w:p>
          <w:p>
            <w:pPr>
              <w:keepNext w:val="0"/>
              <w:keepLines w:val="0"/>
              <w:pageBreakBefore w:val="0"/>
              <w:kinsoku/>
              <w:wordWrap/>
              <w:overflowPunct/>
              <w:topLinePunct w:val="0"/>
              <w:autoSpaceDE/>
              <w:autoSpaceDN/>
              <w:bidi w:val="0"/>
              <w:spacing w:line="500" w:lineRule="exact"/>
              <w:textAlignment w:val="auto"/>
              <w:rPr>
                <w:rFonts w:hint="eastAsia" w:ascii="宋体" w:hAnsi="宋体" w:cs="宋体"/>
                <w:kern w:val="0"/>
                <w:sz w:val="21"/>
                <w:szCs w:val="21"/>
              </w:rPr>
            </w:pPr>
            <w:r>
              <w:rPr>
                <w:rFonts w:hint="eastAsia" w:ascii="宋体" w:hAnsi="宋体" w:cs="宋体"/>
                <w:kern w:val="0"/>
                <w:sz w:val="21"/>
                <w:szCs w:val="21"/>
                <w:lang w:val="en-US" w:eastAsia="zh-CN"/>
              </w:rPr>
              <w:t>3、</w:t>
            </w:r>
            <w:r>
              <w:rPr>
                <w:rFonts w:hint="eastAsia" w:ascii="宋体" w:hAnsi="宋体" w:cs="宋体"/>
                <w:kern w:val="0"/>
                <w:sz w:val="21"/>
                <w:szCs w:val="21"/>
              </w:rPr>
              <w:t xml:space="preserve"> 拟派</w:t>
            </w:r>
            <w:r>
              <w:rPr>
                <w:rFonts w:hint="eastAsia" w:ascii="宋体" w:hAnsi="宋体" w:cs="宋体"/>
                <w:kern w:val="0"/>
                <w:sz w:val="21"/>
                <w:szCs w:val="21"/>
                <w:lang w:eastAsia="zh-CN"/>
              </w:rPr>
              <w:t>项目总工程师</w:t>
            </w:r>
            <w:r>
              <w:rPr>
                <w:rFonts w:hint="eastAsia" w:ascii="宋体" w:hAnsi="宋体" w:cs="宋体"/>
                <w:kern w:val="0"/>
                <w:sz w:val="21"/>
                <w:szCs w:val="21"/>
              </w:rPr>
              <w:t>的职称证书</w:t>
            </w:r>
            <w:r>
              <w:rPr>
                <w:rFonts w:hint="eastAsia" w:ascii="宋体" w:hAnsi="宋体" w:cs="宋体"/>
                <w:kern w:val="0"/>
                <w:sz w:val="21"/>
                <w:szCs w:val="21"/>
                <w:lang w:eastAsia="zh-CN"/>
              </w:rPr>
              <w:t>原件</w:t>
            </w:r>
            <w:r>
              <w:rPr>
                <w:rFonts w:hint="eastAsia" w:ascii="宋体" w:hAnsi="宋体" w:cs="宋体"/>
                <w:kern w:val="0"/>
                <w:sz w:val="21"/>
                <w:szCs w:val="21"/>
              </w:rPr>
              <w:t>；</w:t>
            </w:r>
          </w:p>
          <w:p>
            <w:pPr>
              <w:keepNext w:val="0"/>
              <w:keepLines w:val="0"/>
              <w:pageBreakBefore w:val="0"/>
              <w:kinsoku/>
              <w:wordWrap/>
              <w:overflowPunct/>
              <w:topLinePunct w:val="0"/>
              <w:autoSpaceDE/>
              <w:autoSpaceDN/>
              <w:bidi w:val="0"/>
              <w:spacing w:line="500" w:lineRule="exact"/>
              <w:textAlignment w:val="auto"/>
              <w:rPr>
                <w:rFonts w:hint="eastAsia" w:ascii="宋体" w:hAnsi="宋体" w:cs="宋体"/>
                <w:kern w:val="0"/>
                <w:sz w:val="21"/>
                <w:szCs w:val="21"/>
              </w:rPr>
            </w:pPr>
            <w:r>
              <w:rPr>
                <w:rFonts w:hint="eastAsia" w:ascii="宋体" w:hAnsi="宋体" w:cs="宋体"/>
                <w:kern w:val="0"/>
                <w:sz w:val="21"/>
                <w:szCs w:val="21"/>
                <w:lang w:val="en-US" w:eastAsia="zh-CN"/>
              </w:rPr>
              <w:t>4、</w:t>
            </w:r>
            <w:r>
              <w:rPr>
                <w:rFonts w:hint="eastAsia" w:ascii="宋体" w:hAnsi="宋体" w:cs="宋体"/>
                <w:kern w:val="0"/>
                <w:sz w:val="21"/>
                <w:szCs w:val="21"/>
              </w:rPr>
              <w:t>投标</w:t>
            </w:r>
            <w:r>
              <w:rPr>
                <w:rFonts w:hint="eastAsia" w:ascii="宋体" w:hAnsi="宋体" w:cs="宋体"/>
                <w:kern w:val="0"/>
                <w:sz w:val="21"/>
                <w:szCs w:val="21"/>
                <w:lang w:eastAsia="zh-CN"/>
              </w:rPr>
              <w:t>承诺函</w:t>
            </w:r>
            <w:r>
              <w:rPr>
                <w:rFonts w:hint="eastAsia" w:ascii="宋体" w:hAnsi="宋体" w:cs="宋体"/>
                <w:kern w:val="0"/>
                <w:sz w:val="21"/>
                <w:szCs w:val="21"/>
              </w:rPr>
              <w:t>；</w:t>
            </w:r>
          </w:p>
          <w:p>
            <w:pPr>
              <w:keepNext w:val="0"/>
              <w:keepLines w:val="0"/>
              <w:pageBreakBefore w:val="0"/>
              <w:kinsoku/>
              <w:wordWrap/>
              <w:overflowPunct/>
              <w:topLinePunct w:val="0"/>
              <w:autoSpaceDE/>
              <w:autoSpaceDN/>
              <w:bidi w:val="0"/>
              <w:spacing w:line="500" w:lineRule="exact"/>
              <w:textAlignment w:val="auto"/>
              <w:rPr>
                <w:rFonts w:ascii="宋体" w:hAnsi="宋体" w:cs="宋体"/>
                <w:kern w:val="0"/>
                <w:sz w:val="21"/>
                <w:szCs w:val="21"/>
              </w:rPr>
            </w:pPr>
            <w:r>
              <w:rPr>
                <w:rFonts w:hint="eastAsia" w:ascii="宋体" w:hAnsi="宋体" w:cs="宋体"/>
                <w:kern w:val="0"/>
                <w:sz w:val="21"/>
                <w:szCs w:val="21"/>
              </w:rPr>
              <w:t>湖南省以外行政区域登记注册的</w:t>
            </w:r>
            <w:r>
              <w:rPr>
                <w:rFonts w:hint="eastAsia" w:ascii="宋体" w:hAnsi="宋体" w:cs="宋体"/>
                <w:kern w:val="0"/>
                <w:sz w:val="21"/>
                <w:szCs w:val="21"/>
                <w:lang w:eastAsia="zh-CN"/>
              </w:rPr>
              <w:t>交易响应单位</w:t>
            </w:r>
            <w:r>
              <w:rPr>
                <w:rFonts w:hint="eastAsia" w:ascii="宋体" w:hAnsi="宋体" w:cs="宋体"/>
                <w:kern w:val="0"/>
                <w:sz w:val="21"/>
                <w:szCs w:val="21"/>
              </w:rPr>
              <w:t>应提供</w:t>
            </w:r>
          </w:p>
          <w:p>
            <w:pPr>
              <w:keepNext w:val="0"/>
              <w:keepLines w:val="0"/>
              <w:pageBreakBefore w:val="0"/>
              <w:kinsoku/>
              <w:wordWrap/>
              <w:overflowPunct/>
              <w:topLinePunct w:val="0"/>
              <w:autoSpaceDE/>
              <w:autoSpaceDN/>
              <w:bidi w:val="0"/>
              <w:spacing w:line="500" w:lineRule="exact"/>
              <w:textAlignment w:val="auto"/>
              <w:rPr>
                <w:rFonts w:ascii="宋体" w:hAnsi="宋体" w:cs="宋体"/>
                <w:kern w:val="0"/>
                <w:sz w:val="21"/>
                <w:szCs w:val="21"/>
              </w:rPr>
            </w:pPr>
            <w:r>
              <w:rPr>
                <w:rFonts w:hint="eastAsia" w:ascii="宋体" w:hAnsi="宋体" w:cs="宋体"/>
                <w:kern w:val="0"/>
                <w:sz w:val="21"/>
                <w:szCs w:val="21"/>
                <w:lang w:val="en-US" w:eastAsia="zh-CN"/>
              </w:rPr>
              <w:t>5、</w:t>
            </w:r>
            <w:r>
              <w:rPr>
                <w:rFonts w:hint="eastAsia" w:ascii="宋体" w:hAnsi="宋体" w:cs="宋体"/>
                <w:kern w:val="0"/>
                <w:sz w:val="21"/>
                <w:szCs w:val="21"/>
              </w:rPr>
              <w:t>《省外建筑业企业入湘施工登记证》；</w:t>
            </w:r>
          </w:p>
          <w:p>
            <w:pPr>
              <w:keepNext w:val="0"/>
              <w:keepLines w:val="0"/>
              <w:pageBreakBefore w:val="0"/>
              <w:kinsoku/>
              <w:wordWrap/>
              <w:overflowPunct/>
              <w:topLinePunct w:val="0"/>
              <w:autoSpaceDE/>
              <w:autoSpaceDN/>
              <w:bidi w:val="0"/>
              <w:spacing w:line="500" w:lineRule="exact"/>
              <w:textAlignment w:val="auto"/>
              <w:rPr>
                <w:rFonts w:ascii="宋体" w:hAnsi="宋体" w:cs="宋体"/>
                <w:b/>
                <w:kern w:val="0"/>
                <w:sz w:val="21"/>
                <w:szCs w:val="21"/>
              </w:rPr>
            </w:pPr>
            <w:r>
              <w:rPr>
                <w:rFonts w:hint="eastAsia" w:ascii="宋体" w:hAnsi="宋体" w:cs="宋体"/>
                <w:sz w:val="21"/>
                <w:szCs w:val="21"/>
                <w:lang w:val="en-US" w:eastAsia="zh-CN"/>
              </w:rPr>
              <w:t>6、</w:t>
            </w:r>
            <w:r>
              <w:rPr>
                <w:rFonts w:hint="eastAsia" w:ascii="宋体" w:hAnsi="宋体" w:cs="宋体"/>
                <w:sz w:val="21"/>
                <w:szCs w:val="21"/>
                <w:lang w:eastAsia="zh-CN"/>
              </w:rPr>
              <w:t>交易响应单位</w:t>
            </w:r>
            <w:r>
              <w:rPr>
                <w:rFonts w:hint="eastAsia" w:ascii="宋体" w:hAnsi="宋体" w:cs="宋体"/>
                <w:sz w:val="21"/>
                <w:szCs w:val="21"/>
              </w:rPr>
              <w:t>法人名称发生合法变更时，应提供相关部门的合法批件或其他相关证明材料</w:t>
            </w:r>
            <w:r>
              <w:rPr>
                <w:rFonts w:hint="eastAsia" w:ascii="宋体" w:hAns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kern w:val="0"/>
                <w:sz w:val="21"/>
                <w:szCs w:val="21"/>
              </w:rPr>
            </w:pPr>
            <w:r>
              <w:rPr>
                <w:rFonts w:hint="eastAsia" w:ascii="宋体" w:hAnsi="宋体" w:cs="宋体"/>
                <w:kern w:val="0"/>
                <w:sz w:val="21"/>
                <w:szCs w:val="21"/>
              </w:rPr>
              <w:t>10.2</w:t>
            </w: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ind w:firstLine="205" w:firstLineChars="98"/>
              <w:textAlignment w:val="auto"/>
              <w:rPr>
                <w:rFonts w:ascii="宋体" w:hAnsi="宋体" w:cs="宋体"/>
                <w:kern w:val="0"/>
                <w:sz w:val="21"/>
                <w:szCs w:val="21"/>
                <w:highlight w:val="none"/>
              </w:rPr>
            </w:pPr>
            <w:r>
              <w:rPr>
                <w:rFonts w:hint="eastAsia" w:ascii="宋体" w:hAnsi="宋体" w:cs="宋体"/>
                <w:color w:val="000000"/>
                <w:szCs w:val="21"/>
                <w:highlight w:val="none"/>
              </w:rPr>
              <w:t>交易</w:t>
            </w:r>
            <w:r>
              <w:rPr>
                <w:rFonts w:hint="eastAsia"/>
                <w:szCs w:val="22"/>
                <w:highlight w:val="none"/>
              </w:rPr>
              <w:t>代理服务费</w:t>
            </w:r>
          </w:p>
        </w:tc>
        <w:tc>
          <w:tcPr>
            <w:tcW w:w="6629" w:type="dxa"/>
            <w:gridSpan w:val="2"/>
            <w:tcBorders>
              <w:top w:val="single" w:color="auto" w:sz="4" w:space="0"/>
              <w:left w:val="single" w:color="auto" w:sz="4" w:space="0"/>
              <w:bottom w:val="single" w:color="auto" w:sz="4" w:space="0"/>
              <w:right w:val="single" w:color="auto" w:sz="12"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default" w:ascii="宋体" w:hAnsi="宋体" w:eastAsia="宋体" w:cs="宋体"/>
                <w:b w:val="0"/>
                <w:kern w:val="2"/>
                <w:sz w:val="21"/>
                <w:szCs w:val="21"/>
                <w:highlight w:val="none"/>
                <w:u w:val="none"/>
                <w:lang w:val="en-US" w:eastAsia="zh-CN" w:bidi="ar-SA"/>
              </w:rPr>
            </w:pPr>
            <w:r>
              <w:rPr>
                <w:rFonts w:hint="eastAsia" w:ascii="宋体" w:hAnsi="宋体" w:cs="宋体"/>
                <w:b w:val="0"/>
                <w:kern w:val="2"/>
                <w:sz w:val="21"/>
                <w:szCs w:val="21"/>
                <w:highlight w:val="none"/>
                <w:u w:val="none"/>
                <w:lang w:val="en-US" w:eastAsia="zh-CN" w:bidi="ar-SA"/>
              </w:rPr>
              <w:t>交易服务费1000元由代理公司代缴，中标后由中标单位支付。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ascii="宋体" w:hAnsi="宋体" w:cs="宋体"/>
                <w:bCs/>
                <w:sz w:val="21"/>
                <w:szCs w:val="21"/>
                <w:highlight w:val="none"/>
              </w:rPr>
            </w:pPr>
            <w:r>
              <w:rPr>
                <w:rFonts w:hint="eastAsia" w:ascii="宋体" w:hAnsi="宋体" w:eastAsia="宋体" w:cs="宋体"/>
                <w:b w:val="0"/>
                <w:kern w:val="2"/>
                <w:sz w:val="21"/>
                <w:szCs w:val="21"/>
                <w:highlight w:val="none"/>
                <w:u w:val="none"/>
                <w:lang w:val="en-US" w:eastAsia="zh-CN" w:bidi="ar-SA"/>
              </w:rPr>
              <w:t>代理服务费约定由交易响应单位支付，代理服务费按湘招协【2015】6号文件《湖南省招标代理服务收费标准》标准收取收取；由交易响应单位在领取交易通知书时向招标代理公司全额支付。开标劳务费由中标人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943"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ascii="宋体" w:hAnsi="宋体" w:cs="宋体"/>
                <w:kern w:val="0"/>
                <w:sz w:val="21"/>
                <w:szCs w:val="21"/>
              </w:rPr>
            </w:pPr>
            <w:r>
              <w:rPr>
                <w:rFonts w:hint="eastAsia" w:ascii="宋体" w:hAnsi="宋体" w:cs="宋体"/>
                <w:kern w:val="0"/>
                <w:sz w:val="21"/>
                <w:szCs w:val="21"/>
              </w:rPr>
              <w:t>10.3</w:t>
            </w:r>
          </w:p>
        </w:tc>
        <w:tc>
          <w:tcPr>
            <w:tcW w:w="2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ind w:firstLine="205" w:firstLineChars="98"/>
              <w:textAlignment w:val="auto"/>
              <w:rPr>
                <w:rFonts w:ascii="宋体" w:hAnsi="宋体" w:cs="宋体"/>
                <w:kern w:val="0"/>
                <w:sz w:val="21"/>
                <w:szCs w:val="21"/>
              </w:rPr>
            </w:pPr>
            <w:r>
              <w:rPr>
                <w:rFonts w:hint="eastAsia" w:ascii="宋体" w:hAnsi="宋体" w:cs="宋体"/>
                <w:sz w:val="21"/>
                <w:szCs w:val="21"/>
              </w:rPr>
              <w:t>付款方式</w:t>
            </w:r>
          </w:p>
        </w:tc>
        <w:tc>
          <w:tcPr>
            <w:tcW w:w="6629"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500" w:lineRule="exact"/>
              <w:textAlignment w:val="auto"/>
              <w:rPr>
                <w:rFonts w:hint="eastAsia" w:ascii="宋体" w:hAnsi="宋体" w:eastAsia="宋体" w:cs="宋体"/>
                <w:bCs/>
                <w:sz w:val="21"/>
                <w:szCs w:val="21"/>
                <w:lang w:eastAsia="zh-CN"/>
              </w:rPr>
            </w:pPr>
            <w:r>
              <w:rPr>
                <w:rFonts w:hint="eastAsia" w:ascii="宋体" w:hAnsi="宋体" w:cs="宋体"/>
                <w:sz w:val="21"/>
                <w:szCs w:val="21"/>
              </w:rPr>
              <w:t>付款方式：</w:t>
            </w:r>
            <w:r>
              <w:rPr>
                <w:rFonts w:hint="eastAsia" w:ascii="宋体" w:hAnsi="宋体" w:cs="宋体"/>
                <w:b/>
                <w:bCs/>
                <w:color w:val="FF0000"/>
                <w:sz w:val="21"/>
                <w:szCs w:val="21"/>
                <w:lang w:eastAsia="zh-CN"/>
              </w:rPr>
              <w:t>按签定的合同。</w:t>
            </w:r>
          </w:p>
        </w:tc>
      </w:tr>
    </w:tbl>
    <w:p>
      <w:pPr>
        <w:spacing w:line="400" w:lineRule="exact"/>
        <w:jc w:val="center"/>
        <w:rPr>
          <w:rFonts w:ascii="宋体" w:hAnsi="宋体" w:cs="宋体"/>
          <w:b/>
          <w:sz w:val="32"/>
        </w:rPr>
      </w:pPr>
      <w:r>
        <w:rPr>
          <w:rFonts w:hint="eastAsia" w:ascii="宋体" w:hAnsi="宋体" w:cs="宋体"/>
          <w:b/>
          <w:sz w:val="32"/>
        </w:rPr>
        <w:br w:type="page"/>
      </w:r>
      <w:r>
        <w:rPr>
          <w:rFonts w:hint="eastAsia" w:ascii="宋体" w:hAnsi="宋体" w:cs="宋体"/>
          <w:b/>
          <w:sz w:val="32"/>
        </w:rPr>
        <w:t>附录1    资格审查条件</w:t>
      </w:r>
      <w:r>
        <w:rPr>
          <w:rFonts w:hint="eastAsia" w:ascii="宋体" w:hAnsi="宋体" w:cs="宋体"/>
          <w:b/>
          <w:sz w:val="28"/>
          <w:szCs w:val="28"/>
        </w:rPr>
        <w:t>（资质最低要求）</w:t>
      </w:r>
    </w:p>
    <w:tbl>
      <w:tblPr>
        <w:tblStyle w:val="16"/>
        <w:tblpPr w:leftFromText="180" w:rightFromText="180" w:vertAnchor="text" w:horzAnchor="page" w:tblpX="2040" w:tblpY="149"/>
        <w:tblOverlap w:val="never"/>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6183"/>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1238" w:type="dxa"/>
            <w:tcBorders>
              <w:top w:val="double" w:color="auto" w:sz="4" w:space="0"/>
              <w:left w:val="doub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b/>
                <w:sz w:val="24"/>
              </w:rPr>
              <w:t>项 目</w:t>
            </w:r>
          </w:p>
        </w:tc>
        <w:tc>
          <w:tcPr>
            <w:tcW w:w="6183" w:type="dxa"/>
            <w:tcBorders>
              <w:top w:val="doub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b/>
                <w:sz w:val="24"/>
              </w:rPr>
              <w:t>施 工 企 业 资 质 等 级 要 求</w:t>
            </w:r>
          </w:p>
        </w:tc>
        <w:tc>
          <w:tcPr>
            <w:tcW w:w="1199" w:type="dxa"/>
            <w:tcBorders>
              <w:top w:val="double" w:color="auto" w:sz="4" w:space="0"/>
              <w:left w:val="single" w:color="auto" w:sz="4" w:space="0"/>
              <w:bottom w:val="single" w:color="auto" w:sz="4" w:space="0"/>
              <w:right w:val="double" w:color="auto" w:sz="4" w:space="0"/>
            </w:tcBorders>
            <w:vAlign w:val="center"/>
          </w:tcPr>
          <w:p>
            <w:pPr>
              <w:spacing w:line="400" w:lineRule="exact"/>
              <w:jc w:val="center"/>
              <w:rPr>
                <w:rFonts w:ascii="宋体" w:hAnsi="宋体" w:cs="宋体"/>
                <w:b/>
                <w:sz w:val="24"/>
              </w:rPr>
            </w:pPr>
            <w:r>
              <w:rPr>
                <w:rFonts w:hint="eastAsia" w:ascii="宋体" w:hAnsi="宋体" w:cs="宋体"/>
                <w:b/>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exact"/>
        </w:trPr>
        <w:tc>
          <w:tcPr>
            <w:tcW w:w="1238" w:type="dxa"/>
            <w:tcBorders>
              <w:top w:val="single" w:color="auto" w:sz="4" w:space="0"/>
              <w:left w:val="double" w:color="auto" w:sz="4" w:space="0"/>
              <w:bottom w:val="double" w:color="auto" w:sz="4" w:space="0"/>
              <w:right w:val="single" w:color="auto" w:sz="4" w:space="0"/>
            </w:tcBorders>
            <w:vAlign w:val="center"/>
          </w:tcPr>
          <w:p>
            <w:pPr>
              <w:pStyle w:val="11"/>
              <w:spacing w:line="380" w:lineRule="exact"/>
              <w:ind w:right="201"/>
              <w:rPr>
                <w:rFonts w:hAnsi="宋体" w:cs="宋体"/>
                <w:szCs w:val="21"/>
              </w:rPr>
            </w:pPr>
            <w:r>
              <w:rPr>
                <w:rFonts w:hint="eastAsia" w:hAnsi="宋体" w:cs="宋体"/>
                <w:sz w:val="24"/>
              </w:rPr>
              <w:t xml:space="preserve">  </w:t>
            </w:r>
            <w:r>
              <w:rPr>
                <w:rFonts w:hint="eastAsia" w:hAnsi="宋体" w:cs="宋体"/>
                <w:szCs w:val="21"/>
              </w:rPr>
              <w:t>资质</w:t>
            </w:r>
          </w:p>
        </w:tc>
        <w:tc>
          <w:tcPr>
            <w:tcW w:w="6183" w:type="dxa"/>
            <w:tcBorders>
              <w:top w:val="single" w:color="auto" w:sz="4" w:space="0"/>
              <w:left w:val="single" w:color="auto" w:sz="4" w:space="0"/>
              <w:bottom w:val="double" w:color="auto" w:sz="4" w:space="0"/>
              <w:right w:val="single" w:color="auto" w:sz="4" w:space="0"/>
            </w:tcBorders>
            <w:vAlign w:val="center"/>
          </w:tcPr>
          <w:p>
            <w:pPr>
              <w:spacing w:line="400" w:lineRule="exact"/>
              <w:rPr>
                <w:rFonts w:ascii="宋体" w:hAnsi="宋体" w:cs="宋体"/>
                <w:sz w:val="18"/>
                <w:szCs w:val="18"/>
              </w:rPr>
            </w:pPr>
            <w:r>
              <w:rPr>
                <w:rFonts w:hint="eastAsia" w:ascii="宋体" w:hAnsi="宋体" w:cs="宋体"/>
                <w:szCs w:val="21"/>
              </w:rPr>
              <w:t>具有建设行政主管部门颁发的</w:t>
            </w:r>
            <w:r>
              <w:rPr>
                <w:rFonts w:hint="eastAsia" w:ascii="宋体" w:hAnsi="宋体" w:cs="宋体"/>
                <w:szCs w:val="21"/>
                <w:lang w:eastAsia="zh-CN"/>
              </w:rPr>
              <w:t>公路工程施工总承包叁级及以上</w:t>
            </w:r>
            <w:r>
              <w:rPr>
                <w:rFonts w:hint="eastAsia" w:ascii="宋体" w:hAnsi="宋体" w:cs="宋体"/>
                <w:szCs w:val="21"/>
              </w:rPr>
              <w:t>并在人员、设备、资金等方面具有相应的施工能力；湖南省外企业须按照省住房和城乡建设厅湘建建[2015]190号文件要求办理入湘备案手续（以“湖南省住房和城乡建设网”查询为准）或具有有效的入湘施工登记证。</w:t>
            </w:r>
          </w:p>
        </w:tc>
        <w:tc>
          <w:tcPr>
            <w:tcW w:w="1199" w:type="dxa"/>
            <w:tcBorders>
              <w:top w:val="single" w:color="auto" w:sz="4" w:space="0"/>
              <w:left w:val="single" w:color="auto" w:sz="4" w:space="0"/>
              <w:bottom w:val="double" w:color="auto" w:sz="4" w:space="0"/>
              <w:right w:val="double" w:color="auto" w:sz="4" w:space="0"/>
            </w:tcBorders>
            <w:vAlign w:val="center"/>
          </w:tcPr>
          <w:p>
            <w:pPr>
              <w:pStyle w:val="11"/>
              <w:spacing w:line="380" w:lineRule="exact"/>
              <w:ind w:right="201" w:firstLine="562" w:firstLineChars="200"/>
              <w:jc w:val="left"/>
              <w:rPr>
                <w:rFonts w:hAnsi="宋体" w:cs="宋体"/>
                <w:b/>
                <w:sz w:val="28"/>
              </w:rPr>
            </w:pPr>
          </w:p>
        </w:tc>
      </w:tr>
    </w:tbl>
    <w:p>
      <w:pPr>
        <w:spacing w:line="280" w:lineRule="exact"/>
        <w:rPr>
          <w:rFonts w:ascii="宋体" w:hAnsi="宋体" w:cs="宋体"/>
          <w:kern w:val="0"/>
          <w:szCs w:val="21"/>
        </w:rPr>
      </w:pPr>
    </w:p>
    <w:p>
      <w:pPr>
        <w:spacing w:line="280" w:lineRule="exact"/>
        <w:ind w:left="781" w:leftChars="72" w:hanging="630" w:hangingChars="350"/>
        <w:rPr>
          <w:rFonts w:ascii="宋体" w:hAnsi="宋体" w:cs="宋体"/>
          <w:kern w:val="0"/>
          <w:sz w:val="18"/>
          <w:szCs w:val="18"/>
        </w:rPr>
      </w:pPr>
      <w:r>
        <w:rPr>
          <w:rFonts w:hint="eastAsia" w:ascii="宋体" w:hAnsi="宋体" w:cs="宋体"/>
          <w:kern w:val="0"/>
          <w:sz w:val="18"/>
          <w:szCs w:val="18"/>
        </w:rPr>
        <w:t>注：1．</w:t>
      </w:r>
      <w:r>
        <w:rPr>
          <w:rFonts w:hint="eastAsia" w:ascii="宋体" w:hAnsi="宋体" w:cs="宋体"/>
          <w:kern w:val="0"/>
          <w:sz w:val="18"/>
          <w:szCs w:val="18"/>
          <w:lang w:eastAsia="zh-CN"/>
        </w:rPr>
        <w:t>交易响应文件</w:t>
      </w:r>
      <w:r>
        <w:rPr>
          <w:rFonts w:hint="eastAsia" w:ascii="宋体" w:hAnsi="宋体" w:cs="宋体"/>
          <w:kern w:val="0"/>
          <w:sz w:val="18"/>
          <w:szCs w:val="18"/>
        </w:rPr>
        <w:t>相应位置应附企业法人营业执照副本（正本）的复印件（并加盖单位公</w:t>
      </w:r>
    </w:p>
    <w:p>
      <w:pPr>
        <w:spacing w:line="280" w:lineRule="exact"/>
        <w:ind w:left="781" w:leftChars="72" w:hanging="630" w:hangingChars="350"/>
        <w:rPr>
          <w:rFonts w:ascii="宋体" w:hAnsi="宋体" w:cs="宋体"/>
          <w:kern w:val="0"/>
          <w:sz w:val="18"/>
          <w:szCs w:val="18"/>
        </w:rPr>
      </w:pPr>
    </w:p>
    <w:p>
      <w:pPr>
        <w:spacing w:line="280" w:lineRule="exact"/>
        <w:rPr>
          <w:rFonts w:ascii="宋体" w:hAnsi="宋体" w:cs="宋体"/>
          <w:kern w:val="0"/>
          <w:sz w:val="18"/>
          <w:szCs w:val="18"/>
        </w:rPr>
      </w:pPr>
      <w:r>
        <w:rPr>
          <w:rFonts w:hint="eastAsia" w:ascii="宋体" w:hAnsi="宋体" w:cs="宋体"/>
          <w:kern w:val="0"/>
          <w:sz w:val="18"/>
          <w:szCs w:val="18"/>
        </w:rPr>
        <w:t>注：1．</w:t>
      </w:r>
      <w:r>
        <w:rPr>
          <w:rFonts w:hint="eastAsia" w:ascii="宋体" w:hAnsi="宋体" w:cs="宋体"/>
          <w:kern w:val="0"/>
          <w:sz w:val="18"/>
          <w:szCs w:val="18"/>
          <w:lang w:eastAsia="zh-CN"/>
        </w:rPr>
        <w:t>交易响应文件</w:t>
      </w:r>
      <w:r>
        <w:rPr>
          <w:rFonts w:hint="eastAsia" w:ascii="宋体" w:hAnsi="宋体" w:cs="宋体"/>
          <w:kern w:val="0"/>
          <w:sz w:val="18"/>
          <w:szCs w:val="18"/>
        </w:rPr>
        <w:t>相应位置应附企业法人营业执照副本（正本）的复印件（并加盖单位公章）、施工资质证书副本（正本）的复印件（并加盖单位公章）、安全生产许可证副本（正本）的复印件（并加盖单位公章）、基本账户开户许可证的复印件（并加盖单位公章）。</w:t>
      </w:r>
    </w:p>
    <w:p>
      <w:pPr>
        <w:spacing w:line="280" w:lineRule="exact"/>
        <w:rPr>
          <w:rFonts w:ascii="宋体" w:hAnsi="宋体" w:cs="宋体"/>
          <w:kern w:val="0"/>
          <w:sz w:val="18"/>
          <w:szCs w:val="18"/>
        </w:rPr>
      </w:pPr>
      <w:r>
        <w:rPr>
          <w:rFonts w:hint="eastAsia" w:ascii="宋体" w:hAnsi="宋体" w:cs="宋体"/>
          <w:kern w:val="0"/>
          <w:sz w:val="18"/>
          <w:szCs w:val="18"/>
        </w:rPr>
        <w:t>2．湖南省省外企业须附上省住房和城乡建设厅湘建建[2015]190号文件要求的《省外建筑企业入湘施工登记证》的复印件。</w:t>
      </w:r>
    </w:p>
    <w:p>
      <w:pPr>
        <w:spacing w:line="400" w:lineRule="exact"/>
        <w:jc w:val="center"/>
        <w:rPr>
          <w:rFonts w:ascii="宋体" w:hAnsi="宋体" w:cs="宋体"/>
          <w:b/>
          <w:sz w:val="28"/>
          <w:szCs w:val="28"/>
        </w:rPr>
      </w:pPr>
      <w:r>
        <w:rPr>
          <w:rFonts w:hint="eastAsia" w:ascii="宋体" w:hAnsi="宋体" w:cs="宋体"/>
          <w:b/>
          <w:sz w:val="32"/>
        </w:rPr>
        <w:br w:type="page"/>
      </w:r>
      <w:r>
        <w:rPr>
          <w:rFonts w:hint="eastAsia" w:ascii="宋体" w:hAnsi="宋体" w:cs="宋体"/>
          <w:b/>
          <w:sz w:val="32"/>
        </w:rPr>
        <w:t>附录2  资格审查条件</w:t>
      </w:r>
      <w:r>
        <w:rPr>
          <w:rFonts w:hint="eastAsia" w:ascii="宋体" w:hAnsi="宋体" w:cs="宋体"/>
          <w:b/>
          <w:sz w:val="28"/>
          <w:szCs w:val="28"/>
        </w:rPr>
        <w:t>（财务最低要求）</w:t>
      </w:r>
    </w:p>
    <w:p>
      <w:pPr>
        <w:spacing w:line="400" w:lineRule="exact"/>
        <w:rPr>
          <w:rFonts w:ascii="宋体" w:hAnsi="宋体" w:cs="宋体"/>
          <w:b/>
          <w:sz w:val="28"/>
        </w:rPr>
      </w:pPr>
    </w:p>
    <w:tbl>
      <w:tblPr>
        <w:tblStyle w:val="16"/>
        <w:tblW w:w="8831"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8831" w:type="dxa"/>
            <w:tcBorders>
              <w:top w:val="double" w:color="auto" w:sz="4" w:space="0"/>
              <w:left w:val="double" w:color="auto" w:sz="4" w:space="0"/>
              <w:bottom w:val="single" w:color="auto" w:sz="4" w:space="0"/>
              <w:right w:val="double" w:color="auto" w:sz="4" w:space="0"/>
            </w:tcBorders>
            <w:vAlign w:val="center"/>
          </w:tcPr>
          <w:p>
            <w:pPr>
              <w:spacing w:line="400" w:lineRule="exact"/>
              <w:ind w:right="-28"/>
              <w:jc w:val="center"/>
              <w:rPr>
                <w:rFonts w:ascii="宋体" w:hAnsi="宋体" w:cs="宋体"/>
                <w:b/>
                <w:spacing w:val="34"/>
                <w:sz w:val="28"/>
              </w:rPr>
            </w:pPr>
            <w:r>
              <w:rPr>
                <w:rFonts w:hint="eastAsia" w:ascii="宋体" w:hAnsi="宋体" w:cs="宋体"/>
                <w:b/>
                <w:spacing w:val="34"/>
                <w:sz w:val="28"/>
              </w:rPr>
              <w:t>财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2" w:hRule="exact"/>
        </w:trPr>
        <w:tc>
          <w:tcPr>
            <w:tcW w:w="8831" w:type="dxa"/>
            <w:tcBorders>
              <w:top w:val="single" w:color="auto" w:sz="4" w:space="0"/>
              <w:left w:val="double" w:color="auto" w:sz="4" w:space="0"/>
              <w:bottom w:val="double" w:color="auto" w:sz="4" w:space="0"/>
              <w:right w:val="double" w:color="auto" w:sz="4" w:space="0"/>
            </w:tcBorders>
            <w:vAlign w:val="center"/>
          </w:tcPr>
          <w:p>
            <w:pPr>
              <w:spacing w:line="400" w:lineRule="exact"/>
              <w:ind w:right="-28"/>
              <w:rPr>
                <w:rFonts w:ascii="宋体" w:hAnsi="宋体" w:cs="宋体"/>
                <w:szCs w:val="21"/>
              </w:rPr>
            </w:pPr>
            <w:r>
              <w:rPr>
                <w:rFonts w:hint="eastAsia" w:ascii="宋体" w:hAnsi="宋体" w:cs="宋体"/>
                <w:szCs w:val="21"/>
                <w:lang w:eastAsia="zh-CN"/>
              </w:rPr>
              <w:t>交易响应单位</w:t>
            </w:r>
            <w:r>
              <w:rPr>
                <w:rFonts w:hint="eastAsia" w:ascii="宋体" w:hAnsi="宋体" w:cs="宋体"/>
                <w:szCs w:val="21"/>
              </w:rPr>
              <w:t>须提交近三年（</w:t>
            </w:r>
            <w:r>
              <w:rPr>
                <w:rFonts w:hint="eastAsia" w:ascii="宋体" w:hAnsi="宋体" w:cs="宋体"/>
                <w:szCs w:val="21"/>
                <w:lang w:eastAsia="zh-CN"/>
              </w:rPr>
              <w:t>2016年—2018年</w:t>
            </w:r>
            <w:r>
              <w:rPr>
                <w:rFonts w:hint="eastAsia" w:ascii="宋体" w:hAnsi="宋体" w:cs="宋体"/>
                <w:szCs w:val="21"/>
              </w:rPr>
              <w:t>）经会计事务所或审计机构审计的财务会计报告，包括利润表、损益表、现金流量表、资产负债表、财务情况说明书及其它财务资料。</w:t>
            </w:r>
          </w:p>
        </w:tc>
      </w:tr>
    </w:tbl>
    <w:p>
      <w:pPr>
        <w:spacing w:line="280" w:lineRule="exact"/>
        <w:ind w:firstLine="205" w:firstLineChars="98"/>
        <w:rPr>
          <w:rFonts w:ascii="宋体" w:hAnsi="宋体" w:cs="宋体"/>
          <w:szCs w:val="21"/>
        </w:rPr>
      </w:pPr>
    </w:p>
    <w:p>
      <w:pPr>
        <w:spacing w:line="280" w:lineRule="exact"/>
        <w:ind w:firstLine="210" w:firstLineChars="100"/>
        <w:rPr>
          <w:rFonts w:ascii="宋体" w:hAnsi="宋体" w:cs="宋体"/>
          <w:kern w:val="0"/>
          <w:szCs w:val="21"/>
        </w:rPr>
      </w:pPr>
      <w:r>
        <w:rPr>
          <w:rFonts w:hint="eastAsia" w:ascii="宋体" w:hAnsi="宋体" w:cs="宋体"/>
          <w:kern w:val="0"/>
          <w:szCs w:val="21"/>
        </w:rPr>
        <w:t>注：所有资料要求由法定代表人或授权委托人签字并盖公章。</w:t>
      </w:r>
    </w:p>
    <w:p>
      <w:pPr>
        <w:spacing w:line="240" w:lineRule="exact"/>
        <w:rPr>
          <w:rFonts w:ascii="宋体" w:hAnsi="宋体" w:cs="宋体"/>
          <w:b/>
          <w:sz w:val="28"/>
        </w:rPr>
      </w:pPr>
    </w:p>
    <w:p>
      <w:pPr>
        <w:spacing w:line="240" w:lineRule="exact"/>
        <w:rPr>
          <w:rFonts w:ascii="宋体" w:hAnsi="宋体" w:cs="宋体"/>
          <w:b/>
          <w:sz w:val="28"/>
        </w:rPr>
      </w:pPr>
    </w:p>
    <w:p>
      <w:pPr>
        <w:spacing w:line="400" w:lineRule="exact"/>
        <w:jc w:val="center"/>
        <w:rPr>
          <w:rFonts w:ascii="宋体" w:hAnsi="宋体" w:cs="宋体"/>
          <w:b/>
          <w:sz w:val="28"/>
          <w:szCs w:val="28"/>
        </w:rPr>
      </w:pPr>
      <w:r>
        <w:rPr>
          <w:rFonts w:hint="eastAsia" w:ascii="宋体" w:hAnsi="宋体" w:cs="宋体"/>
          <w:b/>
          <w:sz w:val="32"/>
        </w:rPr>
        <w:t xml:space="preserve"> 附录3  资格审查条件</w:t>
      </w:r>
      <w:r>
        <w:rPr>
          <w:rFonts w:hint="eastAsia" w:ascii="宋体" w:hAnsi="宋体" w:cs="宋体"/>
          <w:b/>
          <w:sz w:val="28"/>
          <w:szCs w:val="28"/>
        </w:rPr>
        <w:t>（业绩最低要求）</w:t>
      </w:r>
    </w:p>
    <w:p>
      <w:pPr>
        <w:spacing w:line="400" w:lineRule="exact"/>
        <w:jc w:val="center"/>
        <w:rPr>
          <w:rFonts w:ascii="宋体" w:hAnsi="宋体" w:cs="宋体"/>
          <w:b/>
          <w:sz w:val="28"/>
        </w:rPr>
      </w:pPr>
    </w:p>
    <w:tbl>
      <w:tblPr>
        <w:tblStyle w:val="16"/>
        <w:tblW w:w="8724" w:type="dxa"/>
        <w:tblInd w:w="31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6260"/>
        <w:gridCol w:w="12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exact"/>
        </w:trPr>
        <w:tc>
          <w:tcPr>
            <w:tcW w:w="1232" w:type="dxa"/>
            <w:tcBorders>
              <w:top w:val="double" w:color="auto" w:sz="4" w:space="0"/>
              <w:left w:val="double" w:color="auto" w:sz="4" w:space="0"/>
              <w:bottom w:val="single" w:color="auto" w:sz="4" w:space="0"/>
              <w:right w:val="single" w:color="auto" w:sz="4" w:space="0"/>
            </w:tcBorders>
            <w:vAlign w:val="bottom"/>
          </w:tcPr>
          <w:p>
            <w:pPr>
              <w:adjustRightInd w:val="0"/>
              <w:snapToGrid w:val="0"/>
              <w:spacing w:line="360" w:lineRule="auto"/>
              <w:jc w:val="center"/>
              <w:rPr>
                <w:rFonts w:ascii="宋体" w:hAnsi="宋体" w:cs="宋体"/>
                <w:b/>
                <w:sz w:val="24"/>
              </w:rPr>
            </w:pPr>
            <w:r>
              <w:rPr>
                <w:rFonts w:hint="eastAsia" w:ascii="宋体" w:hAnsi="宋体" w:cs="宋体"/>
                <w:b/>
                <w:sz w:val="24"/>
              </w:rPr>
              <w:t>项目</w:t>
            </w:r>
          </w:p>
        </w:tc>
        <w:tc>
          <w:tcPr>
            <w:tcW w:w="6260" w:type="dxa"/>
            <w:tcBorders>
              <w:top w:val="doub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ascii="宋体" w:hAnsi="宋体" w:cs="宋体"/>
                <w:b/>
                <w:sz w:val="24"/>
              </w:rPr>
            </w:pPr>
            <w:r>
              <w:rPr>
                <w:rFonts w:hint="eastAsia" w:ascii="宋体" w:hAnsi="宋体" w:cs="宋体"/>
                <w:b/>
                <w:sz w:val="24"/>
              </w:rPr>
              <w:t>业  绩  要  求</w:t>
            </w:r>
          </w:p>
        </w:tc>
        <w:tc>
          <w:tcPr>
            <w:tcW w:w="1232" w:type="dxa"/>
            <w:tcBorders>
              <w:top w:val="double" w:color="auto" w:sz="4" w:space="0"/>
              <w:left w:val="single" w:color="auto" w:sz="4" w:space="0"/>
              <w:bottom w:val="single" w:color="auto" w:sz="4" w:space="0"/>
              <w:right w:val="double" w:color="auto" w:sz="4" w:space="0"/>
            </w:tcBorders>
            <w:vAlign w:val="bottom"/>
          </w:tcPr>
          <w:p>
            <w:pPr>
              <w:adjustRightInd w:val="0"/>
              <w:snapToGrid w:val="0"/>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2" w:hRule="exact"/>
        </w:trPr>
        <w:tc>
          <w:tcPr>
            <w:tcW w:w="1232" w:type="dxa"/>
            <w:tcBorders>
              <w:top w:val="single" w:color="auto" w:sz="4" w:space="0"/>
              <w:left w:val="double" w:color="auto" w:sz="4" w:space="0"/>
              <w:bottom w:val="double" w:color="auto" w:sz="4" w:space="0"/>
              <w:right w:val="single" w:color="auto" w:sz="4" w:space="0"/>
            </w:tcBorders>
            <w:vAlign w:val="center"/>
          </w:tcPr>
          <w:p>
            <w:pPr>
              <w:adjustRightInd w:val="0"/>
              <w:snapToGrid w:val="0"/>
              <w:spacing w:line="340" w:lineRule="exact"/>
              <w:jc w:val="center"/>
              <w:rPr>
                <w:rFonts w:ascii="宋体" w:hAnsi="宋体" w:cs="宋体"/>
                <w:szCs w:val="21"/>
              </w:rPr>
            </w:pPr>
            <w:r>
              <w:rPr>
                <w:rFonts w:hint="eastAsia" w:ascii="宋体" w:hAnsi="宋体" w:cs="宋体"/>
                <w:szCs w:val="21"/>
              </w:rPr>
              <w:t>业绩</w:t>
            </w:r>
          </w:p>
        </w:tc>
        <w:tc>
          <w:tcPr>
            <w:tcW w:w="6260" w:type="dxa"/>
            <w:tcBorders>
              <w:top w:val="single" w:color="auto" w:sz="4" w:space="0"/>
              <w:left w:val="single" w:color="auto" w:sz="4" w:space="0"/>
              <w:bottom w:val="double" w:color="auto" w:sz="4" w:space="0"/>
              <w:right w:val="single" w:color="auto" w:sz="4" w:space="0"/>
            </w:tcBorders>
            <w:vAlign w:val="center"/>
          </w:tcPr>
          <w:p>
            <w:pPr>
              <w:pStyle w:val="15"/>
              <w:spacing w:beforeAutospacing="0" w:afterAutospacing="0" w:line="32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投标人近</w:t>
            </w: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年（投标截止前</w:t>
            </w:r>
            <w:r>
              <w:rPr>
                <w:rFonts w:hint="eastAsia" w:ascii="宋体" w:hAnsi="宋体" w:cs="宋体"/>
                <w:kern w:val="2"/>
                <w:sz w:val="21"/>
                <w:szCs w:val="21"/>
                <w:lang w:val="en-US" w:eastAsia="zh-CN" w:bidi="ar-SA"/>
              </w:rPr>
              <w:t>36</w:t>
            </w:r>
            <w:r>
              <w:rPr>
                <w:rFonts w:hint="eastAsia" w:ascii="宋体" w:hAnsi="宋体" w:eastAsia="宋体" w:cs="宋体"/>
                <w:kern w:val="2"/>
                <w:sz w:val="21"/>
                <w:szCs w:val="21"/>
                <w:lang w:val="en-US" w:eastAsia="zh-CN" w:bidi="ar-SA"/>
              </w:rPr>
              <w:t>个月之前交（竣）工验收合格止）内，至少独立地完成过</w:t>
            </w:r>
            <w:r>
              <w:rPr>
                <w:rFonts w:hint="eastAsia" w:ascii="宋体" w:hAnsi="宋体" w:cs="宋体"/>
                <w:kern w:val="2"/>
                <w:sz w:val="21"/>
                <w:szCs w:val="21"/>
                <w:lang w:val="en-US" w:eastAsia="zh-CN" w:bidi="ar-SA"/>
              </w:rPr>
              <w:t>一</w:t>
            </w:r>
            <w:r>
              <w:rPr>
                <w:rFonts w:hint="eastAsia" w:ascii="宋体" w:hAnsi="宋体" w:eastAsia="宋体" w:cs="宋体"/>
                <w:kern w:val="2"/>
                <w:sz w:val="21"/>
                <w:szCs w:val="21"/>
                <w:lang w:val="en-US" w:eastAsia="zh-CN" w:bidi="ar-SA"/>
              </w:rPr>
              <w:t>项类似工程合同额80万元及以上四级及以上等级公路。</w:t>
            </w:r>
          </w:p>
          <w:p>
            <w:pPr>
              <w:keepNext w:val="0"/>
              <w:keepLines w:val="0"/>
              <w:pageBreakBefore w:val="0"/>
              <w:widowControl w:val="0"/>
              <w:kinsoku/>
              <w:wordWrap/>
              <w:overflowPunct/>
              <w:topLinePunct w:val="0"/>
              <w:autoSpaceDE/>
              <w:autoSpaceDN/>
              <w:bidi w:val="0"/>
              <w:adjustRightInd/>
              <w:snapToGrid/>
              <w:spacing w:line="240" w:lineRule="auto"/>
              <w:ind w:right="-28"/>
              <w:jc w:val="center"/>
              <w:textAlignment w:val="auto"/>
              <w:outlineLvl w:val="9"/>
              <w:rPr>
                <w:rFonts w:hint="eastAsia" w:ascii="宋体" w:hAnsi="宋体" w:eastAsia="宋体"/>
                <w:color w:val="FF0000"/>
                <w:spacing w:val="28"/>
                <w:szCs w:val="21"/>
                <w:lang w:val="en-US" w:eastAsia="zh-CN"/>
              </w:rPr>
            </w:pPr>
          </w:p>
        </w:tc>
        <w:tc>
          <w:tcPr>
            <w:tcW w:w="1232" w:type="dxa"/>
            <w:tcBorders>
              <w:top w:val="single" w:color="auto" w:sz="4" w:space="0"/>
              <w:left w:val="single" w:color="auto" w:sz="4" w:space="0"/>
              <w:bottom w:val="double" w:color="auto" w:sz="4" w:space="0"/>
              <w:right w:val="double" w:color="auto" w:sz="4" w:space="0"/>
            </w:tcBorders>
            <w:vAlign w:val="center"/>
          </w:tcPr>
          <w:p>
            <w:pPr>
              <w:adjustRightInd w:val="0"/>
              <w:snapToGrid w:val="0"/>
              <w:spacing w:line="340" w:lineRule="exact"/>
              <w:ind w:firstLine="210" w:firstLineChars="100"/>
              <w:rPr>
                <w:rFonts w:ascii="宋体" w:hAnsi="宋体" w:cs="宋体"/>
                <w:szCs w:val="21"/>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cs="宋体"/>
          <w:color w:val="000000"/>
          <w:szCs w:val="21"/>
        </w:rPr>
      </w:pPr>
      <w:r>
        <w:rPr>
          <w:rFonts w:hint="eastAsia" w:ascii="宋体" w:cs="宋体"/>
          <w:color w:val="000000"/>
          <w:szCs w:val="21"/>
        </w:rPr>
        <w:t>注：1.招标人特别提醒：投标人应认真对照其所投标项目的业绩要求予以填报，确保相关信息资料真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s="宋体"/>
          <w:color w:val="000000"/>
          <w:szCs w:val="21"/>
        </w:rPr>
      </w:pPr>
      <w:r>
        <w:rPr>
          <w:rFonts w:hint="eastAsia" w:ascii="宋体" w:cs="宋体"/>
          <w:color w:val="000000"/>
          <w:szCs w:val="21"/>
          <w:lang w:eastAsia="zh-CN"/>
        </w:rPr>
        <w:t>　　</w:t>
      </w:r>
      <w:r>
        <w:rPr>
          <w:rFonts w:hint="eastAsia" w:ascii="宋体" w:cs="宋体"/>
          <w:color w:val="000000"/>
          <w:szCs w:val="21"/>
        </w:rPr>
        <w:t>实、完整、准确。</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360" w:lineRule="exact"/>
        <w:ind w:left="420" w:leftChars="200"/>
        <w:textAlignment w:val="auto"/>
        <w:rPr>
          <w:rFonts w:ascii="宋体" w:cs="宋体"/>
          <w:color w:val="000000"/>
          <w:szCs w:val="21"/>
        </w:rPr>
      </w:pPr>
      <w:r>
        <w:rPr>
          <w:rFonts w:hint="eastAsia" w:ascii="宋体" w:cs="宋体"/>
          <w:color w:val="000000"/>
          <w:szCs w:val="21"/>
        </w:rPr>
        <w:t>投标人应填写《近年完成类似项目情况表》，表格应填写具体工程量信息且满足上表要求的类似工程内容，每张表格只填写一个项目，并标明序号（未在投标文件中填报或多报的业绩不作为评审依据）。评标委员会仅对满足投标人须知附录3要求的类似工程项目进行评审。</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360" w:lineRule="exact"/>
        <w:ind w:left="420" w:leftChars="200"/>
        <w:textAlignment w:val="auto"/>
        <w:rPr>
          <w:rFonts w:ascii="宋体" w:cs="宋体"/>
          <w:color w:val="000000"/>
          <w:szCs w:val="21"/>
        </w:rPr>
      </w:pPr>
      <w:r>
        <w:rPr>
          <w:rFonts w:hint="eastAsia" w:ascii="宋体" w:cs="宋体"/>
          <w:color w:val="000000"/>
          <w:szCs w:val="21"/>
        </w:rPr>
        <w:t>表后必须附与项目业主签订的合同协议书、中标通知书，由发包人出具的公路工程（标段）交工验收证书的复印件作为证明材料。</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360" w:lineRule="exact"/>
        <w:ind w:left="420" w:leftChars="200"/>
        <w:textAlignment w:val="auto"/>
        <w:rPr>
          <w:rFonts w:ascii="宋体" w:cs="宋体"/>
          <w:color w:val="000000"/>
          <w:szCs w:val="21"/>
        </w:rPr>
      </w:pPr>
      <w:r>
        <w:rPr>
          <w:rFonts w:hint="eastAsia" w:ascii="宋体" w:cs="宋体"/>
          <w:color w:val="000000"/>
          <w:szCs w:val="21"/>
        </w:rPr>
        <w:t>如近年来，投标人法人机构发生合法变更或重组或法人名称变更时，应提供相关部门的合法批件或其他相关证明材料来证明其所附业绩的继承性。</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360" w:lineRule="exact"/>
        <w:ind w:left="420" w:leftChars="200"/>
        <w:textAlignment w:val="auto"/>
        <w:rPr>
          <w:rFonts w:ascii="宋体" w:cs="宋体"/>
          <w:color w:val="000000"/>
          <w:szCs w:val="21"/>
        </w:rPr>
      </w:pPr>
      <w:r>
        <w:rPr>
          <w:rFonts w:hint="eastAsia" w:ascii="宋体" w:cs="宋体"/>
          <w:color w:val="000000"/>
          <w:szCs w:val="21"/>
        </w:rPr>
        <w:t>投标人须在《近年完成类似项目情况表》备注中说明投标人承担的具体施工任务，是独立施工还是作为联合体的牵头人或成员单位施工。</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360" w:lineRule="exact"/>
        <w:ind w:left="420" w:leftChars="200"/>
        <w:textAlignment w:val="auto"/>
        <w:rPr>
          <w:rFonts w:ascii="宋体" w:cs="宋体"/>
          <w:color w:val="000000"/>
          <w:szCs w:val="21"/>
        </w:rPr>
      </w:pPr>
      <w:r>
        <w:rPr>
          <w:rFonts w:hint="eastAsia" w:ascii="宋体" w:cs="宋体"/>
          <w:color w:val="000000"/>
          <w:szCs w:val="21"/>
        </w:rPr>
        <w:t>业绩计算以项目交工验收之日为截止日。</w:t>
      </w:r>
    </w:p>
    <w:p>
      <w:pPr>
        <w:spacing w:line="400" w:lineRule="exact"/>
        <w:jc w:val="center"/>
        <w:rPr>
          <w:rFonts w:ascii="宋体" w:hAnsi="宋体" w:cs="宋体"/>
          <w:b/>
          <w:sz w:val="32"/>
        </w:rPr>
      </w:pPr>
      <w:r>
        <w:rPr>
          <w:rFonts w:hint="eastAsia" w:ascii="宋体" w:hAnsi="宋体" w:cs="宋体"/>
          <w:b/>
          <w:sz w:val="32"/>
        </w:rPr>
        <w:br w:type="page"/>
      </w:r>
      <w:r>
        <w:rPr>
          <w:rFonts w:hint="eastAsia" w:ascii="宋体" w:hAnsi="宋体" w:cs="宋体"/>
          <w:b/>
          <w:sz w:val="32"/>
        </w:rPr>
        <w:t>附录4 资格审查条件</w:t>
      </w:r>
      <w:r>
        <w:rPr>
          <w:rFonts w:hint="eastAsia" w:ascii="宋体" w:hAnsi="宋体" w:cs="宋体"/>
          <w:b/>
          <w:sz w:val="28"/>
          <w:szCs w:val="28"/>
        </w:rPr>
        <w:t>（信誉最低要求）</w:t>
      </w:r>
    </w:p>
    <w:p>
      <w:pPr>
        <w:spacing w:line="240" w:lineRule="exact"/>
        <w:jc w:val="center"/>
        <w:rPr>
          <w:rFonts w:ascii="宋体" w:hAnsi="宋体" w:cs="宋体"/>
          <w:szCs w:val="21"/>
        </w:rPr>
      </w:pPr>
    </w:p>
    <w:p>
      <w:pPr>
        <w:spacing w:line="240" w:lineRule="exact"/>
        <w:jc w:val="center"/>
        <w:rPr>
          <w:rFonts w:ascii="宋体" w:hAnsi="宋体" w:cs="宋体"/>
          <w:szCs w:val="21"/>
        </w:rPr>
      </w:pPr>
    </w:p>
    <w:tbl>
      <w:tblPr>
        <w:tblStyle w:val="16"/>
        <w:tblW w:w="914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9148" w:type="dxa"/>
            <w:tcBorders>
              <w:top w:val="double" w:color="auto" w:sz="4" w:space="0"/>
              <w:left w:val="double" w:color="auto" w:sz="4" w:space="0"/>
              <w:right w:val="double" w:color="auto" w:sz="4" w:space="0"/>
            </w:tcBorders>
            <w:vAlign w:val="center"/>
          </w:tcPr>
          <w:p>
            <w:pPr>
              <w:spacing w:line="400" w:lineRule="exact"/>
              <w:jc w:val="center"/>
              <w:rPr>
                <w:rFonts w:ascii="宋体" w:hAnsi="宋体" w:cs="宋体"/>
                <w:b/>
                <w:sz w:val="21"/>
                <w:szCs w:val="21"/>
              </w:rPr>
            </w:pPr>
            <w:r>
              <w:rPr>
                <w:rFonts w:hint="eastAsia" w:ascii="宋体" w:hAnsi="宋体" w:cs="宋体"/>
                <w:b/>
                <w:sz w:val="21"/>
                <w:szCs w:val="21"/>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3" w:hRule="exact"/>
        </w:trPr>
        <w:tc>
          <w:tcPr>
            <w:tcW w:w="9148" w:type="dxa"/>
            <w:tcBorders>
              <w:left w:val="double" w:color="auto" w:sz="4" w:space="0"/>
              <w:bottom w:val="double" w:color="auto" w:sz="4" w:space="0"/>
              <w:right w:val="double" w:color="auto" w:sz="4" w:space="0"/>
            </w:tcBorders>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Times New Roman"/>
                <w:sz w:val="21"/>
                <w:szCs w:val="21"/>
                <w:lang w:val="zh-CN" w:eastAsia="zh-CN"/>
              </w:rPr>
            </w:pPr>
            <w:r>
              <w:rPr>
                <w:rFonts w:hint="eastAsia" w:ascii="宋体" w:hAnsi="宋体" w:cs="Times New Roman"/>
                <w:sz w:val="21"/>
                <w:szCs w:val="21"/>
                <w:lang w:eastAsia="zh-CN"/>
              </w:rPr>
              <w:t>本次交易不接受被湖南省交通运输主管部门评为2018年度D级、连续两年（2017年和2018年）评为C级、连续三年（2016～2018）评为B级及以下信用等级的交易响应单位交易。</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sz w:val="21"/>
                <w:szCs w:val="21"/>
              </w:rPr>
            </w:pPr>
            <w:r>
              <w:rPr>
                <w:rFonts w:hint="eastAsia" w:ascii="宋体" w:hAnsi="宋体" w:cs="宋体"/>
                <w:sz w:val="21"/>
                <w:szCs w:val="21"/>
              </w:rPr>
              <w:t>2、近三年（201</w:t>
            </w:r>
            <w:r>
              <w:rPr>
                <w:rFonts w:hint="eastAsia" w:ascii="宋体" w:hAnsi="宋体" w:cs="宋体"/>
                <w:sz w:val="21"/>
                <w:szCs w:val="21"/>
                <w:lang w:val="en-US" w:eastAsia="zh-CN"/>
              </w:rPr>
              <w:t>6</w:t>
            </w:r>
            <w:r>
              <w:rPr>
                <w:rFonts w:hint="eastAsia" w:ascii="宋体" w:hAnsi="宋体" w:cs="宋体"/>
                <w:sz w:val="21"/>
                <w:szCs w:val="21"/>
              </w:rPr>
              <w:t>年</w:t>
            </w:r>
            <w:r>
              <w:rPr>
                <w:rFonts w:hint="eastAsia" w:ascii="宋体" w:hAnsi="宋体" w:cs="宋体"/>
                <w:sz w:val="21"/>
                <w:szCs w:val="21"/>
                <w:lang w:val="en-US" w:eastAsia="zh-CN"/>
              </w:rPr>
              <w:t>11</w:t>
            </w:r>
            <w:r>
              <w:rPr>
                <w:rFonts w:hint="eastAsia" w:ascii="宋体" w:hAnsi="宋体" w:cs="宋体"/>
                <w:sz w:val="21"/>
                <w:szCs w:val="21"/>
              </w:rPr>
              <w:t>月-201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10</w:t>
            </w:r>
            <w:r>
              <w:rPr>
                <w:rFonts w:hint="eastAsia" w:ascii="宋体" w:hAnsi="宋体" w:cs="宋体"/>
                <w:sz w:val="21"/>
                <w:szCs w:val="21"/>
              </w:rPr>
              <w:t>月）受到过湖南省内各行政主管部门的处罚及通报（指在工程建设过程受到过清退出场、取消投标资格等以及违反廉政建设、有违反招标投标及相关的处罚或通报）期内。</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凡涉及到《湖南省公共资源交易失信行为联合惩戒办法》（湘发改法规[2017]966号）相关规定，实行诚信记录公告制，经各级行政监督部门依法认定或惩戒的失信被执行人，和在“信用中国”网站（http://www.creditchina.gov.cn/）中被列入失信被执行人名单的投标人，不得参加投标。</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sz w:val="21"/>
                <w:szCs w:val="21"/>
                <w:lang w:val="en-US" w:eastAsia="zh-CN"/>
              </w:rPr>
            </w:pPr>
            <w:r>
              <w:rPr>
                <w:rFonts w:hint="eastAsia" w:ascii="宋体" w:hAnsi="宋体" w:cs="宋体"/>
                <w:sz w:val="21"/>
                <w:szCs w:val="21"/>
                <w:lang w:val="en-US" w:eastAsia="zh-CN"/>
              </w:rPr>
              <w:t>交易响应单位不得存在下列情形之一：</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sz w:val="21"/>
                <w:szCs w:val="21"/>
                <w:lang w:val="en-US" w:eastAsia="zh-CN"/>
              </w:rPr>
            </w:pPr>
            <w:r>
              <w:rPr>
                <w:rFonts w:hint="eastAsia" w:ascii="宋体" w:hAnsi="宋体" w:cs="宋体"/>
                <w:sz w:val="21"/>
                <w:szCs w:val="21"/>
                <w:lang w:val="en-US" w:eastAsia="zh-CN"/>
              </w:rPr>
              <w:t>（1）为交易单位不具有独立法人资格的附属机构（单位）；</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sz w:val="21"/>
                <w:szCs w:val="21"/>
                <w:lang w:val="en-US" w:eastAsia="zh-CN"/>
              </w:rPr>
            </w:pPr>
            <w:r>
              <w:rPr>
                <w:rFonts w:hint="eastAsia" w:ascii="宋体" w:hAnsi="宋体" w:cs="宋体"/>
                <w:sz w:val="21"/>
                <w:szCs w:val="21"/>
                <w:lang w:val="en-US" w:eastAsia="zh-CN"/>
              </w:rPr>
              <w:t>（2）与其所投的监理合同段对应工程的施工单位以及建筑材料、建筑构配件和设备供应单位有隶属关系或者其他利害关系的；</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sz w:val="21"/>
                <w:szCs w:val="21"/>
                <w:lang w:val="en-US" w:eastAsia="zh-CN"/>
              </w:rPr>
            </w:pPr>
            <w:r>
              <w:rPr>
                <w:rFonts w:hint="eastAsia" w:ascii="宋体" w:hAnsi="宋体" w:cs="宋体"/>
                <w:sz w:val="21"/>
                <w:szCs w:val="21"/>
                <w:lang w:val="en-US" w:eastAsia="zh-CN"/>
              </w:rPr>
              <w:t>（3）被责令停业的；</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sz w:val="21"/>
                <w:szCs w:val="21"/>
                <w:lang w:val="en-US" w:eastAsia="zh-CN"/>
              </w:rPr>
            </w:pPr>
            <w:r>
              <w:rPr>
                <w:rFonts w:hint="eastAsia" w:ascii="宋体" w:hAnsi="宋体" w:cs="宋体"/>
                <w:sz w:val="21"/>
                <w:szCs w:val="21"/>
                <w:lang w:val="en-US" w:eastAsia="zh-CN"/>
              </w:rPr>
              <w:t>（4）被暂停交易资格的；</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sz w:val="21"/>
                <w:szCs w:val="21"/>
                <w:lang w:val="en-US" w:eastAsia="zh-CN"/>
              </w:rPr>
            </w:pPr>
            <w:r>
              <w:rPr>
                <w:rFonts w:hint="eastAsia" w:ascii="宋体" w:hAnsi="宋体" w:cs="宋体"/>
                <w:sz w:val="21"/>
                <w:szCs w:val="21"/>
                <w:lang w:val="en-US" w:eastAsia="zh-CN"/>
              </w:rPr>
              <w:t>（5）财产被接管或冻结的；</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sz w:val="21"/>
                <w:szCs w:val="21"/>
                <w:lang w:val="en-US" w:eastAsia="zh-CN"/>
              </w:rPr>
            </w:pPr>
            <w:r>
              <w:rPr>
                <w:rFonts w:hint="eastAsia" w:ascii="宋体" w:hAnsi="宋体" w:cs="宋体"/>
                <w:sz w:val="21"/>
                <w:szCs w:val="21"/>
                <w:lang w:val="en-US" w:eastAsia="zh-CN"/>
              </w:rPr>
              <w:t>（6）在最近三年内有骗取中标或严重违约或所监工程存在重大工程质量问题的；</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sz w:val="21"/>
                <w:szCs w:val="21"/>
                <w:lang w:val="en-US" w:eastAsia="zh-CN"/>
              </w:rPr>
            </w:pPr>
            <w:r>
              <w:rPr>
                <w:rFonts w:hint="eastAsia" w:ascii="宋体" w:hAnsi="宋体" w:cs="宋体"/>
                <w:sz w:val="21"/>
                <w:szCs w:val="21"/>
                <w:lang w:val="en-US" w:eastAsia="zh-CN"/>
              </w:rPr>
              <w:t>（7）涉及正在诉讼的案件且经评标委员会认定会对承担本项目造成重大影响；</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sz w:val="21"/>
                <w:szCs w:val="21"/>
                <w:lang w:val="en-US" w:eastAsia="zh-CN"/>
              </w:rPr>
            </w:pPr>
            <w:r>
              <w:rPr>
                <w:rFonts w:hint="eastAsia" w:ascii="宋体" w:hAnsi="宋体" w:cs="宋体"/>
                <w:sz w:val="21"/>
                <w:szCs w:val="21"/>
                <w:lang w:val="en-US" w:eastAsia="zh-CN"/>
              </w:rPr>
              <w:t>（8）被省级及以上交通主管部门取消项目所在地的交易资格或禁止进入该区域公路建设市场且处于有效期内；</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sz w:val="21"/>
                <w:szCs w:val="21"/>
                <w:lang w:val="en-US" w:eastAsia="zh-CN"/>
              </w:rPr>
            </w:pPr>
            <w:r>
              <w:rPr>
                <w:rFonts w:hint="eastAsia" w:ascii="宋体" w:hAnsi="宋体" w:cs="宋体"/>
                <w:sz w:val="21"/>
                <w:szCs w:val="21"/>
                <w:lang w:val="en-US" w:eastAsia="zh-CN"/>
              </w:rPr>
              <w:t>（9）为投资参股本项目的法人单位；</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sz w:val="21"/>
                <w:szCs w:val="21"/>
                <w:lang w:val="en-US" w:eastAsia="zh-CN"/>
              </w:rPr>
            </w:pPr>
            <w:r>
              <w:rPr>
                <w:rFonts w:hint="eastAsia" w:ascii="宋体" w:hAnsi="宋体" w:cs="宋体"/>
                <w:sz w:val="21"/>
                <w:szCs w:val="21"/>
                <w:lang w:val="en-US" w:eastAsia="zh-CN"/>
              </w:rPr>
              <w:t>（10）单位负责人为同一人或者存在控股、管理关系的不同单位，或具有直接管理和被管理关系的母子（分）公司，或同一母公司的子（分）公司</w:t>
            </w:r>
            <w:r>
              <w:rPr>
                <w:rFonts w:hint="eastAsia" w:ascii="宋体" w:hAnsi="宋体" w:cs="宋体"/>
                <w:sz w:val="21"/>
                <w:szCs w:val="21"/>
                <w:lang w:val="en-US" w:eastAsia="zh-CN"/>
              </w:rPr>
              <w:footnoteReference w:id="0"/>
            </w:r>
            <w:r>
              <w:rPr>
                <w:rFonts w:hint="eastAsia" w:ascii="宋体" w:hAnsi="宋体" w:cs="宋体"/>
                <w:sz w:val="21"/>
                <w:szCs w:val="21"/>
                <w:lang w:val="en-US" w:eastAsia="zh-CN"/>
              </w:rPr>
              <w:t>（即利益相关企业），同时对同一标段提出交易申请。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 w:val="21"/>
                <w:szCs w:val="21"/>
                <w:lang w:val="en-US" w:eastAsia="zh-CN"/>
              </w:rPr>
            </w:pPr>
            <w:r>
              <w:rPr>
                <w:rFonts w:hint="eastAsia" w:ascii="宋体" w:hAnsi="宋体" w:cs="宋体"/>
                <w:sz w:val="21"/>
                <w:szCs w:val="21"/>
                <w:lang w:val="en-US" w:eastAsia="zh-CN"/>
              </w:rPr>
              <w:t>（11）与交易单位存在利害关系可能影响交易公正性的法人、其他组织或者个人交易；</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cs="宋体"/>
                <w:sz w:val="21"/>
                <w:szCs w:val="21"/>
              </w:rPr>
            </w:pPr>
          </w:p>
        </w:tc>
      </w:tr>
    </w:tbl>
    <w:p>
      <w:pPr>
        <w:spacing w:line="400" w:lineRule="exact"/>
        <w:rPr>
          <w:rFonts w:ascii="宋体" w:hAnsi="宋体" w:cs="宋体"/>
          <w:szCs w:val="21"/>
        </w:rPr>
      </w:pPr>
      <w:r>
        <w:rPr>
          <w:rFonts w:hint="eastAsia" w:ascii="宋体" w:hAnsi="宋体" w:cs="宋体"/>
          <w:szCs w:val="21"/>
        </w:rPr>
        <w:t xml:space="preserve">   注：</w:t>
      </w:r>
      <w:r>
        <w:rPr>
          <w:rFonts w:hint="eastAsia" w:ascii="宋体" w:hAnsi="宋体" w:cs="宋体"/>
          <w:szCs w:val="21"/>
          <w:lang w:eastAsia="zh-CN"/>
        </w:rPr>
        <w:t>交易响应单位</w:t>
      </w:r>
      <w:r>
        <w:rPr>
          <w:rFonts w:hint="eastAsia" w:ascii="宋体" w:hAnsi="宋体" w:cs="宋体"/>
          <w:szCs w:val="21"/>
        </w:rPr>
        <w:t>须在“信誉情况表”中说明相关的情况，并附有关证明材料。</w:t>
      </w:r>
    </w:p>
    <w:p>
      <w:pPr>
        <w:spacing w:line="400" w:lineRule="exact"/>
        <w:rPr>
          <w:rFonts w:ascii="宋体" w:hAnsi="宋体" w:cs="宋体"/>
          <w:b/>
          <w:sz w:val="28"/>
        </w:rPr>
      </w:pPr>
    </w:p>
    <w:p>
      <w:pPr>
        <w:rPr>
          <w:rFonts w:hint="eastAsia" w:ascii="宋体" w:hAnsi="宋体" w:cs="宋体"/>
          <w:b/>
          <w:sz w:val="32"/>
        </w:rPr>
      </w:pPr>
      <w:r>
        <w:rPr>
          <w:rFonts w:hint="eastAsia" w:ascii="宋体" w:hAnsi="宋体" w:cs="宋体"/>
          <w:b/>
          <w:sz w:val="32"/>
        </w:rPr>
        <w:br w:type="page"/>
      </w:r>
    </w:p>
    <w:p>
      <w:pPr>
        <w:spacing w:line="400" w:lineRule="exact"/>
        <w:rPr>
          <w:rFonts w:ascii="宋体" w:hAnsi="宋体" w:cs="宋体"/>
          <w:b/>
          <w:sz w:val="28"/>
        </w:rPr>
      </w:pPr>
      <w:r>
        <w:rPr>
          <w:rFonts w:hint="eastAsia" w:ascii="宋体" w:hAnsi="宋体" w:cs="宋体"/>
          <w:b/>
          <w:sz w:val="32"/>
        </w:rPr>
        <w:t>附录5  资格审查条件</w:t>
      </w:r>
      <w:r>
        <w:rPr>
          <w:rFonts w:hint="eastAsia" w:ascii="宋体" w:hAnsi="宋体" w:cs="宋体"/>
          <w:b/>
          <w:sz w:val="28"/>
          <w:szCs w:val="28"/>
        </w:rPr>
        <w:t>（项目经理和项目总工等主要人员要求）</w:t>
      </w:r>
    </w:p>
    <w:tbl>
      <w:tblPr>
        <w:tblStyle w:val="16"/>
        <w:tblW w:w="953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2253"/>
        <w:gridCol w:w="2497"/>
        <w:gridCol w:w="1303"/>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237" w:type="dxa"/>
            <w:tcBorders>
              <w:top w:val="double" w:color="auto" w:sz="4" w:space="0"/>
              <w:left w:val="double" w:color="auto" w:sz="4" w:space="0"/>
              <w:bottom w:val="single" w:color="auto" w:sz="4" w:space="0"/>
              <w:right w:val="single" w:color="auto" w:sz="4" w:space="0"/>
            </w:tcBorders>
            <w:vAlign w:val="center"/>
          </w:tcPr>
          <w:p>
            <w:pPr>
              <w:spacing w:line="400" w:lineRule="exact"/>
              <w:jc w:val="center"/>
              <w:rPr>
                <w:rFonts w:ascii="宋体" w:hAnsi="宋体" w:cs="宋体"/>
                <w:b/>
                <w:sz w:val="18"/>
                <w:szCs w:val="18"/>
              </w:rPr>
            </w:pPr>
            <w:r>
              <w:rPr>
                <w:rFonts w:hint="eastAsia" w:ascii="宋体" w:hAnsi="宋体" w:cs="宋体"/>
                <w:b/>
                <w:sz w:val="18"/>
                <w:szCs w:val="18"/>
              </w:rPr>
              <w:t>职  位</w:t>
            </w:r>
          </w:p>
        </w:tc>
        <w:tc>
          <w:tcPr>
            <w:tcW w:w="2253" w:type="dxa"/>
            <w:tcBorders>
              <w:top w:val="doub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18"/>
                <w:szCs w:val="18"/>
              </w:rPr>
            </w:pPr>
            <w:r>
              <w:rPr>
                <w:rFonts w:hint="eastAsia" w:ascii="宋体" w:hAnsi="宋体" w:cs="宋体"/>
                <w:b/>
                <w:sz w:val="18"/>
                <w:szCs w:val="18"/>
              </w:rPr>
              <w:t>职  称</w:t>
            </w:r>
          </w:p>
        </w:tc>
        <w:tc>
          <w:tcPr>
            <w:tcW w:w="2497" w:type="dxa"/>
            <w:tcBorders>
              <w:top w:val="doub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18"/>
                <w:szCs w:val="18"/>
              </w:rPr>
            </w:pPr>
            <w:r>
              <w:rPr>
                <w:rFonts w:hint="eastAsia" w:ascii="宋体" w:hAnsi="宋体" w:cs="宋体"/>
                <w:b/>
                <w:sz w:val="18"/>
                <w:szCs w:val="18"/>
              </w:rPr>
              <w:t>建 造 师 证</w:t>
            </w:r>
          </w:p>
        </w:tc>
        <w:tc>
          <w:tcPr>
            <w:tcW w:w="1303" w:type="dxa"/>
            <w:tcBorders>
              <w:top w:val="double" w:color="auto" w:sz="4" w:space="0"/>
              <w:left w:val="single" w:color="auto" w:sz="4" w:space="0"/>
              <w:bottom w:val="single" w:color="auto" w:sz="4" w:space="0"/>
              <w:right w:val="double" w:color="auto" w:sz="4" w:space="0"/>
            </w:tcBorders>
            <w:vAlign w:val="center"/>
          </w:tcPr>
          <w:p>
            <w:pPr>
              <w:spacing w:line="280" w:lineRule="exact"/>
              <w:jc w:val="center"/>
              <w:rPr>
                <w:rFonts w:ascii="宋体" w:hAnsi="宋体" w:cs="宋体"/>
                <w:b/>
                <w:sz w:val="18"/>
                <w:szCs w:val="18"/>
              </w:rPr>
            </w:pPr>
            <w:r>
              <w:rPr>
                <w:rFonts w:hint="eastAsia" w:ascii="宋体" w:hAnsi="宋体" w:cs="宋体"/>
                <w:b/>
                <w:sz w:val="18"/>
                <w:szCs w:val="18"/>
              </w:rPr>
              <w:t>人员数量</w:t>
            </w:r>
          </w:p>
          <w:p>
            <w:pPr>
              <w:spacing w:line="280" w:lineRule="exact"/>
              <w:jc w:val="center"/>
              <w:rPr>
                <w:rFonts w:ascii="宋体" w:hAnsi="宋体" w:cs="宋体"/>
                <w:b/>
                <w:sz w:val="18"/>
                <w:szCs w:val="18"/>
              </w:rPr>
            </w:pPr>
            <w:r>
              <w:rPr>
                <w:rFonts w:hint="eastAsia" w:ascii="宋体" w:hAnsi="宋体" w:cs="宋体"/>
                <w:b/>
                <w:sz w:val="18"/>
                <w:szCs w:val="18"/>
              </w:rPr>
              <w:t>（人）</w:t>
            </w:r>
          </w:p>
        </w:tc>
        <w:tc>
          <w:tcPr>
            <w:tcW w:w="2246" w:type="dxa"/>
            <w:tcBorders>
              <w:top w:val="double" w:color="auto" w:sz="4" w:space="0"/>
              <w:left w:val="single" w:color="auto" w:sz="4" w:space="0"/>
              <w:bottom w:val="single" w:color="auto" w:sz="4" w:space="0"/>
              <w:right w:val="double" w:color="auto" w:sz="4" w:space="0"/>
            </w:tcBorders>
            <w:vAlign w:val="center"/>
          </w:tcPr>
          <w:p>
            <w:pPr>
              <w:spacing w:line="280" w:lineRule="exact"/>
              <w:jc w:val="center"/>
              <w:rPr>
                <w:rFonts w:ascii="宋体" w:hAnsi="宋体" w:cs="宋体"/>
                <w:b/>
                <w:sz w:val="18"/>
                <w:szCs w:val="18"/>
              </w:rPr>
            </w:pPr>
            <w:r>
              <w:rPr>
                <w:rFonts w:hint="eastAsia" w:ascii="宋体" w:hAnsi="宋体" w:cs="宋体"/>
                <w:b/>
                <w:sz w:val="18"/>
                <w:szCs w:val="18"/>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exact"/>
        </w:trPr>
        <w:tc>
          <w:tcPr>
            <w:tcW w:w="1237" w:type="dxa"/>
            <w:tcBorders>
              <w:top w:val="single" w:color="auto" w:sz="4" w:space="0"/>
              <w:left w:val="double" w:color="auto" w:sz="4" w:space="0"/>
              <w:right w:val="single" w:color="auto" w:sz="4" w:space="0"/>
            </w:tcBorders>
            <w:vAlign w:val="center"/>
          </w:tcPr>
          <w:p>
            <w:pPr>
              <w:ind w:left="42" w:leftChars="20" w:right="42" w:rightChars="20"/>
              <w:jc w:val="center"/>
              <w:rPr>
                <w:rFonts w:ascii="宋体" w:hAnsi="宋体" w:cs="宋体"/>
                <w:sz w:val="18"/>
                <w:szCs w:val="18"/>
              </w:rPr>
            </w:pPr>
            <w:r>
              <w:rPr>
                <w:color w:val="000000"/>
                <w:szCs w:val="21"/>
              </w:rPr>
              <w:t>项目经理</w:t>
            </w:r>
          </w:p>
        </w:tc>
        <w:tc>
          <w:tcPr>
            <w:tcW w:w="2253" w:type="dxa"/>
            <w:tcBorders>
              <w:top w:val="single" w:color="auto" w:sz="4" w:space="0"/>
              <w:left w:val="single" w:color="auto" w:sz="4" w:space="0"/>
              <w:right w:val="single" w:color="auto" w:sz="4" w:space="0"/>
            </w:tcBorders>
            <w:vAlign w:val="center"/>
          </w:tcPr>
          <w:p>
            <w:pPr>
              <w:ind w:left="42" w:leftChars="20" w:right="42" w:rightChars="20"/>
              <w:jc w:val="center"/>
              <w:rPr>
                <w:rFonts w:ascii="宋体" w:hAnsi="宋体" w:cs="宋体"/>
                <w:sz w:val="18"/>
                <w:szCs w:val="18"/>
              </w:rPr>
            </w:pPr>
            <w:r>
              <w:rPr>
                <w:rFonts w:hint="eastAsia" w:ascii="宋体" w:hAnsi="宋体"/>
                <w:color w:val="auto"/>
                <w:szCs w:val="21"/>
              </w:rPr>
              <w:t>1</w:t>
            </w:r>
          </w:p>
        </w:tc>
        <w:tc>
          <w:tcPr>
            <w:tcW w:w="2497" w:type="dxa"/>
            <w:tcBorders>
              <w:top w:val="single" w:color="auto" w:sz="4" w:space="0"/>
              <w:left w:val="single" w:color="auto" w:sz="4" w:space="0"/>
              <w:bottom w:val="single" w:color="auto" w:sz="4" w:space="0"/>
              <w:right w:val="single" w:color="auto" w:sz="4" w:space="0"/>
            </w:tcBorders>
            <w:vAlign w:val="center"/>
          </w:tcPr>
          <w:p>
            <w:pPr>
              <w:ind w:left="42" w:leftChars="20" w:right="42" w:rightChars="20" w:firstLine="210" w:firstLineChars="100"/>
              <w:jc w:val="left"/>
              <w:rPr>
                <w:rFonts w:ascii="宋体" w:hAnsi="宋体" w:cs="宋体"/>
                <w:sz w:val="18"/>
                <w:szCs w:val="18"/>
              </w:rPr>
            </w:pPr>
            <w:r>
              <w:rPr>
                <w:rFonts w:hint="eastAsia" w:ascii="宋体" w:cs="宋体"/>
                <w:color w:val="auto"/>
                <w:szCs w:val="21"/>
              </w:rPr>
              <w:t>具有公路相关专业中级及以上技术职称，并具有公路工程专业贰级及以上注册建造师证和交通主管部门核发的安全生产考核合格证书（公路B类）</w:t>
            </w:r>
          </w:p>
        </w:tc>
        <w:tc>
          <w:tcPr>
            <w:tcW w:w="1303" w:type="dxa"/>
            <w:tcBorders>
              <w:top w:val="single" w:color="auto" w:sz="4" w:space="0"/>
              <w:left w:val="single" w:color="auto" w:sz="4" w:space="0"/>
              <w:bottom w:val="single" w:color="auto" w:sz="4" w:space="0"/>
              <w:right w:val="double" w:color="auto" w:sz="4" w:space="0"/>
            </w:tcBorders>
            <w:vAlign w:val="center"/>
          </w:tcPr>
          <w:p>
            <w:pPr>
              <w:spacing w:line="280" w:lineRule="exact"/>
              <w:rPr>
                <w:rFonts w:ascii="宋体" w:hAnsi="宋体" w:cs="宋体"/>
                <w:sz w:val="18"/>
                <w:szCs w:val="18"/>
              </w:rPr>
            </w:pPr>
            <w:r>
              <w:rPr>
                <w:rFonts w:hint="eastAsia" w:ascii="宋体" w:hAnsi="宋体" w:cs="宋体"/>
                <w:sz w:val="18"/>
                <w:szCs w:val="18"/>
              </w:rPr>
              <w:t xml:space="preserve">     1</w:t>
            </w:r>
          </w:p>
        </w:tc>
        <w:tc>
          <w:tcPr>
            <w:tcW w:w="2246" w:type="dxa"/>
            <w:vMerge w:val="restart"/>
            <w:tcBorders>
              <w:top w:val="single" w:color="auto" w:sz="4" w:space="0"/>
              <w:left w:val="single" w:color="auto" w:sz="4" w:space="0"/>
              <w:right w:val="double" w:color="auto" w:sz="4" w:space="0"/>
            </w:tcBorders>
            <w:vAlign w:val="center"/>
          </w:tcPr>
          <w:p>
            <w:pPr>
              <w:spacing w:line="280" w:lineRule="exact"/>
              <w:rPr>
                <w:rFonts w:ascii="宋体" w:hAnsi="宋体" w:cs="宋体"/>
                <w:sz w:val="18"/>
                <w:szCs w:val="18"/>
              </w:rPr>
            </w:pPr>
            <w:r>
              <w:rPr>
                <w:spacing w:val="-14"/>
                <w:sz w:val="18"/>
                <w:szCs w:val="18"/>
              </w:rPr>
              <w:t>无在岗项目</w:t>
            </w:r>
            <w:r>
              <w:rPr>
                <w:sz w:val="18"/>
                <w:szCs w:val="18"/>
              </w:rPr>
              <w:t>（</w:t>
            </w:r>
            <w:r>
              <w:rPr>
                <w:spacing w:val="-5"/>
                <w:sz w:val="18"/>
                <w:szCs w:val="18"/>
              </w:rPr>
              <w:t>指目前未在其他</w:t>
            </w:r>
            <w:r>
              <w:rPr>
                <w:spacing w:val="-10"/>
                <w:sz w:val="18"/>
                <w:szCs w:val="18"/>
              </w:rPr>
              <w:t>项目上任职，或虽在其他项目</w:t>
            </w:r>
            <w:r>
              <w:rPr>
                <w:spacing w:val="10"/>
                <w:sz w:val="18"/>
                <w:szCs w:val="18"/>
              </w:rPr>
              <w:t>上任职但本项目中标后能够</w:t>
            </w:r>
            <w:r>
              <w:rPr>
                <w:sz w:val="18"/>
                <w:szCs w:val="18"/>
              </w:rPr>
              <w:t>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exact"/>
        </w:trPr>
        <w:tc>
          <w:tcPr>
            <w:tcW w:w="1237" w:type="dxa"/>
            <w:tcBorders>
              <w:top w:val="single" w:color="auto" w:sz="4" w:space="0"/>
              <w:left w:val="double" w:color="auto" w:sz="4" w:space="0"/>
              <w:right w:val="single" w:color="auto" w:sz="4" w:space="0"/>
            </w:tcBorders>
            <w:vAlign w:val="center"/>
          </w:tcPr>
          <w:p>
            <w:pPr>
              <w:ind w:left="42" w:leftChars="20" w:right="42" w:rightChars="20"/>
              <w:jc w:val="center"/>
              <w:rPr>
                <w:rFonts w:hint="eastAsia" w:ascii="宋体" w:hAnsi="宋体" w:cs="宋体"/>
                <w:sz w:val="18"/>
                <w:szCs w:val="18"/>
              </w:rPr>
            </w:pPr>
            <w:r>
              <w:rPr>
                <w:color w:val="000000"/>
                <w:szCs w:val="21"/>
              </w:rPr>
              <w:t>项目总工</w:t>
            </w:r>
          </w:p>
        </w:tc>
        <w:tc>
          <w:tcPr>
            <w:tcW w:w="2253" w:type="dxa"/>
            <w:tcBorders>
              <w:top w:val="single" w:color="auto" w:sz="4" w:space="0"/>
              <w:left w:val="single" w:color="auto" w:sz="4" w:space="0"/>
              <w:right w:val="single" w:color="auto" w:sz="4" w:space="0"/>
            </w:tcBorders>
            <w:vAlign w:val="center"/>
          </w:tcPr>
          <w:p>
            <w:pPr>
              <w:ind w:left="42" w:leftChars="20" w:right="42" w:rightChars="20"/>
              <w:jc w:val="center"/>
              <w:rPr>
                <w:rFonts w:ascii="宋体" w:hAnsi="宋体" w:cs="宋体"/>
                <w:sz w:val="18"/>
                <w:szCs w:val="18"/>
              </w:rPr>
            </w:pPr>
            <w:r>
              <w:rPr>
                <w:rFonts w:hint="eastAsia" w:ascii="宋体" w:hAnsi="宋体"/>
                <w:color w:val="000000"/>
                <w:szCs w:val="21"/>
              </w:rPr>
              <w:t>1</w:t>
            </w:r>
          </w:p>
        </w:tc>
        <w:tc>
          <w:tcPr>
            <w:tcW w:w="2497" w:type="dxa"/>
            <w:tcBorders>
              <w:top w:val="single" w:color="auto" w:sz="4" w:space="0"/>
              <w:left w:val="single" w:color="auto" w:sz="4" w:space="0"/>
              <w:bottom w:val="single" w:color="auto" w:sz="4" w:space="0"/>
              <w:right w:val="single" w:color="auto" w:sz="4" w:space="0"/>
            </w:tcBorders>
            <w:vAlign w:val="center"/>
          </w:tcPr>
          <w:p>
            <w:pPr>
              <w:ind w:left="42" w:leftChars="20" w:right="42" w:rightChars="20" w:firstLine="210" w:firstLineChars="100"/>
              <w:jc w:val="left"/>
              <w:rPr>
                <w:rFonts w:hint="eastAsia" w:ascii="宋体" w:hAnsi="宋体" w:cs="宋体"/>
                <w:sz w:val="18"/>
                <w:szCs w:val="18"/>
              </w:rPr>
            </w:pPr>
            <w:r>
              <w:rPr>
                <w:rFonts w:hint="eastAsia" w:ascii="宋体" w:cs="宋体"/>
                <w:color w:val="000000"/>
                <w:szCs w:val="21"/>
              </w:rPr>
              <w:t>具有公路相关专业中级及以上技术职称</w:t>
            </w:r>
          </w:p>
        </w:tc>
        <w:tc>
          <w:tcPr>
            <w:tcW w:w="1303" w:type="dxa"/>
            <w:tcBorders>
              <w:top w:val="single" w:color="auto" w:sz="4" w:space="0"/>
              <w:left w:val="single" w:color="auto" w:sz="4" w:space="0"/>
              <w:bottom w:val="single" w:color="auto" w:sz="4" w:space="0"/>
              <w:right w:val="double" w:color="auto" w:sz="4" w:space="0"/>
            </w:tcBorders>
            <w:vAlign w:val="center"/>
          </w:tcPr>
          <w:p>
            <w:pPr>
              <w:spacing w:line="400" w:lineRule="exact"/>
              <w:ind w:left="239" w:leftChars="114" w:firstLine="315" w:firstLineChars="150"/>
              <w:rPr>
                <w:rFonts w:hint="eastAsia" w:ascii="宋体" w:hAnsi="宋体" w:cs="宋体"/>
                <w:sz w:val="18"/>
                <w:szCs w:val="18"/>
              </w:rPr>
            </w:pPr>
            <w:r>
              <w:rPr>
                <w:rFonts w:hint="eastAsia" w:ascii="宋体" w:hAnsi="宋体" w:cs="宋体"/>
                <w:szCs w:val="21"/>
              </w:rPr>
              <w:t>1</w:t>
            </w:r>
          </w:p>
        </w:tc>
        <w:tc>
          <w:tcPr>
            <w:tcW w:w="2246" w:type="dxa"/>
            <w:vMerge w:val="continue"/>
            <w:tcBorders>
              <w:left w:val="single" w:color="auto" w:sz="4" w:space="0"/>
              <w:right w:val="double" w:color="auto" w:sz="4" w:space="0"/>
            </w:tcBorders>
            <w:vAlign w:val="center"/>
          </w:tcPr>
          <w:p>
            <w:pPr>
              <w:spacing w:line="280" w:lineRule="exact"/>
              <w:rPr>
                <w:spacing w:val="-14"/>
                <w:sz w:val="18"/>
                <w:szCs w:val="18"/>
              </w:rPr>
            </w:pPr>
          </w:p>
        </w:tc>
      </w:tr>
    </w:tbl>
    <w:p>
      <w:pPr>
        <w:keepNext w:val="0"/>
        <w:keepLines w:val="0"/>
        <w:pageBreakBefore w:val="0"/>
        <w:widowControl w:val="0"/>
        <w:kinsoku/>
        <w:wordWrap/>
        <w:overflowPunct/>
        <w:topLinePunct w:val="0"/>
        <w:autoSpaceDE/>
        <w:autoSpaceDN/>
        <w:bidi w:val="0"/>
        <w:snapToGrid/>
        <w:spacing w:line="520" w:lineRule="exact"/>
        <w:ind w:left="735" w:leftChars="50" w:hanging="630" w:hangingChars="300"/>
        <w:rPr>
          <w:rFonts w:hint="eastAsia" w:ascii="宋体" w:hAnsi="宋体"/>
          <w:color w:val="000000"/>
          <w:sz w:val="21"/>
          <w:szCs w:val="21"/>
        </w:rPr>
      </w:pPr>
      <w:r>
        <w:rPr>
          <w:rFonts w:hint="eastAsia" w:ascii="宋体" w:hAnsi="宋体"/>
          <w:color w:val="000000"/>
          <w:sz w:val="21"/>
          <w:szCs w:val="21"/>
        </w:rPr>
        <w:t>注：1.投标人须提供《拟委任的项目经理和项目总工程师资历表》，表后应附项目经理和项目总工的身份证、职称资格证书以及上表要求的其他相关证书（如注册建造师注册证书、安全生产考核合格证书等）的复印件，附投标人所属社保机构出具的拟委任的项目经理和项目总工</w:t>
      </w:r>
      <w:r>
        <w:rPr>
          <w:rFonts w:hint="eastAsia" w:ascii="宋体" w:hAnsi="宋体"/>
          <w:color w:val="000000"/>
          <w:sz w:val="21"/>
          <w:szCs w:val="21"/>
          <w:lang w:eastAsia="zh-CN"/>
        </w:rPr>
        <w:t>程师</w:t>
      </w:r>
      <w:r>
        <w:rPr>
          <w:rFonts w:hint="eastAsia" w:ascii="宋体" w:hAnsi="宋体"/>
          <w:color w:val="000000"/>
          <w:sz w:val="21"/>
          <w:szCs w:val="21"/>
        </w:rPr>
        <w:t>近六个月</w:t>
      </w:r>
      <w:r>
        <w:rPr>
          <w:rFonts w:hint="eastAsia" w:ascii="宋体" w:hAnsi="宋体"/>
          <w:color w:val="000000" w:themeColor="text1"/>
          <w:sz w:val="21"/>
          <w:szCs w:val="21"/>
          <w14:textFill>
            <w14:solidFill>
              <w14:schemeClr w14:val="tx1"/>
            </w14:solidFill>
          </w14:textFill>
        </w:rPr>
        <w:t>提供最近</w:t>
      </w:r>
      <w:r>
        <w:rPr>
          <w:rFonts w:hint="eastAsia" w:ascii="宋体" w:hAnsi="宋体"/>
          <w:color w:val="000000" w:themeColor="text1"/>
          <w:sz w:val="21"/>
          <w:szCs w:val="21"/>
          <w:lang w:eastAsia="zh-CN"/>
          <w14:textFill>
            <w14:solidFill>
              <w14:schemeClr w14:val="tx1"/>
            </w14:solidFill>
          </w14:textFill>
        </w:rPr>
        <w:t>2019年4月1日起连续六个</w:t>
      </w:r>
      <w:r>
        <w:rPr>
          <w:rFonts w:hint="eastAsia" w:ascii="宋体" w:hAnsi="宋体"/>
          <w:color w:val="000000" w:themeColor="text1"/>
          <w:sz w:val="21"/>
          <w:szCs w:val="21"/>
          <w14:textFill>
            <w14:solidFill>
              <w14:schemeClr w14:val="tx1"/>
            </w14:solidFill>
          </w14:textFill>
        </w:rPr>
        <w:t>月</w:t>
      </w:r>
      <w:r>
        <w:rPr>
          <w:rFonts w:hint="eastAsia" w:ascii="宋体" w:hAnsi="宋体"/>
          <w:color w:val="000000"/>
          <w:sz w:val="21"/>
          <w:szCs w:val="21"/>
        </w:rPr>
        <w:t>参加社保的有效证明材料复印件并加盖社保机构单位公章。</w:t>
      </w:r>
    </w:p>
    <w:p>
      <w:pPr>
        <w:keepNext w:val="0"/>
        <w:keepLines w:val="0"/>
        <w:pageBreakBefore w:val="0"/>
        <w:widowControl w:val="0"/>
        <w:kinsoku/>
        <w:wordWrap/>
        <w:overflowPunct/>
        <w:topLinePunct w:val="0"/>
        <w:autoSpaceDE/>
        <w:autoSpaceDN/>
        <w:bidi w:val="0"/>
        <w:snapToGrid/>
        <w:spacing w:line="520" w:lineRule="exact"/>
        <w:ind w:left="735" w:leftChars="250" w:hanging="210" w:hangingChars="100"/>
        <w:rPr>
          <w:rFonts w:hint="eastAsia" w:ascii="宋体" w:hAnsi="宋体"/>
          <w:color w:val="000000"/>
          <w:sz w:val="21"/>
          <w:szCs w:val="21"/>
        </w:rPr>
      </w:pPr>
      <w:r>
        <w:rPr>
          <w:rFonts w:hint="eastAsia" w:ascii="宋体" w:hAnsi="宋体"/>
          <w:color w:val="000000"/>
          <w:sz w:val="21"/>
          <w:szCs w:val="21"/>
        </w:rPr>
        <w:t>2.项目经理和项目总工不得处于暂停执业处罚期内，且未被取消资格。在投标文件正本中，上述所有证件应采用清晰彩色复印件或彩色扫描件，并加盖投标人公章。</w:t>
      </w:r>
    </w:p>
    <w:p>
      <w:pPr>
        <w:keepNext w:val="0"/>
        <w:keepLines w:val="0"/>
        <w:pageBreakBefore w:val="0"/>
        <w:widowControl w:val="0"/>
        <w:kinsoku/>
        <w:wordWrap/>
        <w:overflowPunct/>
        <w:topLinePunct w:val="0"/>
        <w:autoSpaceDE/>
        <w:autoSpaceDN/>
        <w:bidi w:val="0"/>
        <w:snapToGrid/>
        <w:spacing w:line="520" w:lineRule="exact"/>
        <w:ind w:left="315" w:leftChars="150"/>
        <w:rPr>
          <w:rFonts w:hint="eastAsia" w:ascii="宋体" w:hAnsi="宋体"/>
          <w:color w:val="000000"/>
          <w:sz w:val="21"/>
          <w:szCs w:val="21"/>
        </w:rPr>
      </w:pPr>
      <w:r>
        <w:rPr>
          <w:rFonts w:hint="eastAsia" w:ascii="宋体" w:hAnsi="宋体"/>
          <w:color w:val="000000"/>
          <w:sz w:val="21"/>
          <w:szCs w:val="21"/>
        </w:rPr>
        <w:t xml:space="preserve">  3.如项目经理和项目总工目前在其他项目上任职，则应提供该项目发包人出具的、承诺上述人</w:t>
      </w:r>
    </w:p>
    <w:p>
      <w:pPr>
        <w:pStyle w:val="4"/>
        <w:keepNext w:val="0"/>
        <w:keepLines w:val="0"/>
        <w:pageBreakBefore w:val="0"/>
        <w:widowControl w:val="0"/>
        <w:kinsoku/>
        <w:wordWrap/>
        <w:overflowPunct/>
        <w:topLinePunct w:val="0"/>
        <w:autoSpaceDE/>
        <w:autoSpaceDN/>
        <w:bidi w:val="0"/>
        <w:snapToGrid/>
        <w:spacing w:line="520" w:lineRule="exact"/>
        <w:jc w:val="left"/>
        <w:rPr>
          <w:rFonts w:ascii="宋体" w:hAnsi="宋体" w:cs="宋体"/>
          <w:sz w:val="21"/>
          <w:szCs w:val="21"/>
        </w:rPr>
      </w:pPr>
      <w:r>
        <w:rPr>
          <w:rFonts w:hint="eastAsia" w:ascii="宋体" w:hAnsi="宋体" w:eastAsia="宋体" w:cs="Times New Roman"/>
          <w:b w:val="0"/>
          <w:color w:val="000000"/>
          <w:kern w:val="2"/>
          <w:sz w:val="21"/>
          <w:szCs w:val="21"/>
          <w:lang w:val="en-US" w:eastAsia="zh-CN" w:bidi="ar-SA"/>
        </w:rPr>
        <w:t>员能够从该项目撤离的书面证明材料原件，证明材料原件装在投标文件正本中。</w:t>
      </w:r>
      <w:r>
        <w:rPr>
          <w:rFonts w:hint="eastAsia" w:ascii="宋体" w:hAnsi="宋体" w:cs="宋体"/>
          <w:sz w:val="21"/>
          <w:szCs w:val="21"/>
        </w:rPr>
        <w:br w:type="page"/>
      </w:r>
    </w:p>
    <w:p>
      <w:pPr>
        <w:pStyle w:val="4"/>
        <w:spacing w:line="440" w:lineRule="exact"/>
        <w:ind w:firstLine="422" w:firstLineChars="200"/>
        <w:jc w:val="left"/>
        <w:rPr>
          <w:rFonts w:ascii="宋体" w:hAnsi="宋体" w:cs="宋体"/>
          <w:sz w:val="21"/>
          <w:szCs w:val="21"/>
        </w:rPr>
      </w:pPr>
      <w:r>
        <w:rPr>
          <w:rFonts w:hint="eastAsia" w:ascii="宋体" w:hAnsi="宋体" w:cs="宋体"/>
          <w:sz w:val="21"/>
          <w:szCs w:val="21"/>
        </w:rPr>
        <w:t>1. 总则</w:t>
      </w:r>
    </w:p>
    <w:p>
      <w:pPr>
        <w:pStyle w:val="4"/>
        <w:spacing w:line="440" w:lineRule="exact"/>
        <w:ind w:firstLine="422" w:firstLineChars="200"/>
        <w:jc w:val="left"/>
        <w:rPr>
          <w:rFonts w:ascii="宋体" w:hAnsi="宋体" w:cs="宋体"/>
          <w:sz w:val="21"/>
          <w:szCs w:val="21"/>
        </w:rPr>
      </w:pPr>
      <w:bookmarkStart w:id="14" w:name="_Toc369607996"/>
      <w:bookmarkStart w:id="15" w:name="_Toc432367702"/>
      <w:bookmarkStart w:id="16" w:name="_Toc22432"/>
      <w:r>
        <w:rPr>
          <w:rFonts w:hint="eastAsia" w:ascii="宋体" w:hAnsi="宋体" w:cs="宋体"/>
          <w:sz w:val="21"/>
          <w:szCs w:val="21"/>
        </w:rPr>
        <w:t>1.1 项目概况</w:t>
      </w:r>
      <w:bookmarkEnd w:id="14"/>
      <w:bookmarkEnd w:id="15"/>
      <w:bookmarkEnd w:id="16"/>
    </w:p>
    <w:p>
      <w:pPr>
        <w:pStyle w:val="34"/>
        <w:tabs>
          <w:tab w:val="left" w:pos="1450"/>
        </w:tabs>
        <w:spacing w:line="440" w:lineRule="exact"/>
        <w:ind w:left="0" w:firstLine="420" w:firstLineChars="200"/>
        <w:jc w:val="left"/>
        <w:rPr>
          <w:szCs w:val="21"/>
        </w:rPr>
      </w:pPr>
      <w:r>
        <w:rPr>
          <w:rFonts w:hint="eastAsia"/>
          <w:szCs w:val="21"/>
        </w:rPr>
        <w:t>1.1.1</w:t>
      </w:r>
      <w:r>
        <w:rPr>
          <w:rFonts w:hint="eastAsia"/>
          <w:szCs w:val="21"/>
          <w:lang w:val="en-US" w:bidi="ar-SA"/>
        </w:rPr>
        <w:t>根据《中华人民共和国招标投标法》《中华人民共和国招标投标法实施条例》《公路工程建设项目招标投标管理</w:t>
      </w:r>
      <w:r>
        <w:rPr>
          <w:rFonts w:hint="eastAsia"/>
          <w:szCs w:val="21"/>
        </w:rPr>
        <w:t>办法》等有关法律、法规和规章的规定，本招标项目已具备招标条件，现对本标段施工进行招标。</w:t>
      </w:r>
    </w:p>
    <w:p>
      <w:pPr>
        <w:spacing w:line="440" w:lineRule="exact"/>
        <w:ind w:firstLine="420" w:firstLineChars="200"/>
        <w:jc w:val="left"/>
        <w:rPr>
          <w:rFonts w:ascii="宋体" w:hAnsi="宋体" w:cs="宋体"/>
          <w:szCs w:val="21"/>
        </w:rPr>
      </w:pPr>
      <w:r>
        <w:rPr>
          <w:rFonts w:hint="eastAsia" w:ascii="宋体" w:hAnsi="宋体" w:cs="宋体"/>
          <w:szCs w:val="21"/>
        </w:rPr>
        <w:t>1.1.2 本招标项目招标人：见</w:t>
      </w:r>
      <w:r>
        <w:rPr>
          <w:rFonts w:hint="eastAsia" w:ascii="宋体" w:hAnsi="宋体" w:cs="宋体"/>
          <w:szCs w:val="21"/>
          <w:lang w:eastAsia="zh-CN"/>
        </w:rPr>
        <w:t>交易须知</w:t>
      </w:r>
      <w:r>
        <w:rPr>
          <w:rFonts w:hint="eastAsia" w:ascii="宋体" w:hAnsi="宋体" w:cs="宋体"/>
          <w:szCs w:val="21"/>
        </w:rPr>
        <w:t>前附表。</w:t>
      </w:r>
    </w:p>
    <w:p>
      <w:pPr>
        <w:spacing w:line="440" w:lineRule="exact"/>
        <w:ind w:firstLine="420" w:firstLineChars="200"/>
        <w:jc w:val="left"/>
        <w:rPr>
          <w:rFonts w:ascii="宋体" w:hAnsi="宋体" w:cs="宋体"/>
          <w:szCs w:val="21"/>
        </w:rPr>
      </w:pPr>
      <w:r>
        <w:rPr>
          <w:rFonts w:hint="eastAsia" w:ascii="宋体" w:hAnsi="宋体" w:cs="宋体"/>
          <w:szCs w:val="21"/>
        </w:rPr>
        <w:t>1.1.3 本项目招标代理机构：见</w:t>
      </w:r>
      <w:r>
        <w:rPr>
          <w:rFonts w:hint="eastAsia" w:ascii="宋体" w:hAnsi="宋体" w:cs="宋体"/>
          <w:szCs w:val="21"/>
          <w:lang w:eastAsia="zh-CN"/>
        </w:rPr>
        <w:t>交易须知</w:t>
      </w:r>
      <w:r>
        <w:rPr>
          <w:rFonts w:hint="eastAsia" w:ascii="宋体" w:hAnsi="宋体" w:cs="宋体"/>
          <w:szCs w:val="21"/>
        </w:rPr>
        <w:t>前附表。</w:t>
      </w:r>
    </w:p>
    <w:p>
      <w:pPr>
        <w:spacing w:line="440" w:lineRule="exact"/>
        <w:ind w:firstLine="420" w:firstLineChars="200"/>
        <w:jc w:val="left"/>
        <w:rPr>
          <w:rFonts w:ascii="宋体" w:hAnsi="宋体" w:cs="宋体"/>
          <w:szCs w:val="21"/>
        </w:rPr>
      </w:pPr>
      <w:r>
        <w:rPr>
          <w:rFonts w:hint="eastAsia" w:ascii="宋体" w:hAnsi="宋体" w:cs="宋体"/>
          <w:szCs w:val="21"/>
        </w:rPr>
        <w:t>1.1.4 本招标项目名称：见</w:t>
      </w:r>
      <w:r>
        <w:rPr>
          <w:rFonts w:hint="eastAsia" w:ascii="宋体" w:hAnsi="宋体" w:cs="宋体"/>
          <w:szCs w:val="21"/>
          <w:lang w:eastAsia="zh-CN"/>
        </w:rPr>
        <w:t>交易须知</w:t>
      </w:r>
      <w:r>
        <w:rPr>
          <w:rFonts w:hint="eastAsia" w:ascii="宋体" w:hAnsi="宋体" w:cs="宋体"/>
          <w:szCs w:val="21"/>
        </w:rPr>
        <w:t>前附表。</w:t>
      </w:r>
    </w:p>
    <w:p>
      <w:pPr>
        <w:spacing w:line="440" w:lineRule="exact"/>
        <w:ind w:firstLine="420" w:firstLineChars="200"/>
        <w:jc w:val="left"/>
        <w:rPr>
          <w:rFonts w:ascii="宋体" w:hAnsi="宋体" w:cs="宋体"/>
          <w:szCs w:val="21"/>
        </w:rPr>
      </w:pPr>
      <w:r>
        <w:rPr>
          <w:rFonts w:hint="eastAsia" w:ascii="宋体" w:hAnsi="宋体" w:cs="宋体"/>
          <w:szCs w:val="21"/>
        </w:rPr>
        <w:t>1.1.5 本项目建设地点：见</w:t>
      </w:r>
      <w:r>
        <w:rPr>
          <w:rFonts w:hint="eastAsia" w:ascii="宋体" w:hAnsi="宋体" w:cs="宋体"/>
          <w:szCs w:val="21"/>
          <w:lang w:eastAsia="zh-CN"/>
        </w:rPr>
        <w:t>交易须知</w:t>
      </w:r>
      <w:r>
        <w:rPr>
          <w:rFonts w:hint="eastAsia" w:ascii="宋体" w:hAnsi="宋体" w:cs="宋体"/>
          <w:szCs w:val="21"/>
        </w:rPr>
        <w:t>前附表。</w:t>
      </w:r>
    </w:p>
    <w:p>
      <w:pPr>
        <w:pStyle w:val="4"/>
        <w:spacing w:line="440" w:lineRule="exact"/>
        <w:ind w:firstLine="422" w:firstLineChars="200"/>
        <w:jc w:val="left"/>
        <w:rPr>
          <w:rFonts w:ascii="宋体" w:hAnsi="宋体" w:cs="宋体"/>
          <w:sz w:val="21"/>
          <w:szCs w:val="21"/>
        </w:rPr>
      </w:pPr>
      <w:bookmarkStart w:id="17" w:name="_Toc369607997"/>
      <w:bookmarkStart w:id="18" w:name="_Toc432367703"/>
      <w:bookmarkStart w:id="19" w:name="_Toc16000"/>
      <w:r>
        <w:rPr>
          <w:rFonts w:hint="eastAsia" w:ascii="宋体" w:hAnsi="宋体" w:cs="宋体"/>
          <w:sz w:val="21"/>
          <w:szCs w:val="21"/>
        </w:rPr>
        <w:t>1.2 招标项目资金来源和落实情况</w:t>
      </w:r>
      <w:bookmarkEnd w:id="17"/>
      <w:bookmarkEnd w:id="18"/>
      <w:bookmarkEnd w:id="19"/>
    </w:p>
    <w:p>
      <w:pPr>
        <w:spacing w:line="440" w:lineRule="exact"/>
        <w:ind w:firstLine="420" w:firstLineChars="200"/>
        <w:jc w:val="left"/>
        <w:rPr>
          <w:rFonts w:ascii="宋体" w:hAnsi="宋体" w:cs="宋体"/>
          <w:szCs w:val="21"/>
        </w:rPr>
      </w:pPr>
      <w:r>
        <w:rPr>
          <w:rFonts w:hint="eastAsia" w:ascii="宋体" w:hAnsi="宋体" w:cs="宋体"/>
          <w:szCs w:val="21"/>
        </w:rPr>
        <w:t>1.2.1 本招标项目的资金来源及比例：见</w:t>
      </w:r>
      <w:r>
        <w:rPr>
          <w:rFonts w:hint="eastAsia" w:ascii="宋体" w:hAnsi="宋体" w:cs="宋体"/>
          <w:szCs w:val="21"/>
          <w:lang w:eastAsia="zh-CN"/>
        </w:rPr>
        <w:t>交易须知</w:t>
      </w:r>
      <w:r>
        <w:rPr>
          <w:rFonts w:hint="eastAsia" w:ascii="宋体" w:hAnsi="宋体" w:cs="宋体"/>
          <w:szCs w:val="21"/>
        </w:rPr>
        <w:t>前附表。</w:t>
      </w:r>
    </w:p>
    <w:p>
      <w:pPr>
        <w:spacing w:line="440" w:lineRule="exact"/>
        <w:ind w:firstLine="420" w:firstLineChars="200"/>
        <w:jc w:val="left"/>
        <w:rPr>
          <w:rFonts w:ascii="宋体" w:hAnsi="宋体" w:cs="宋体"/>
          <w:szCs w:val="21"/>
        </w:rPr>
      </w:pPr>
      <w:r>
        <w:rPr>
          <w:rFonts w:hint="eastAsia" w:ascii="宋体" w:hAnsi="宋体" w:cs="宋体"/>
          <w:szCs w:val="21"/>
        </w:rPr>
        <w:t>1.2.2 本招标项目的资金落实情况：见</w:t>
      </w:r>
      <w:r>
        <w:rPr>
          <w:rFonts w:hint="eastAsia" w:ascii="宋体" w:hAnsi="宋体" w:cs="宋体"/>
          <w:szCs w:val="21"/>
          <w:lang w:eastAsia="zh-CN"/>
        </w:rPr>
        <w:t>交易须知</w:t>
      </w:r>
      <w:r>
        <w:rPr>
          <w:rFonts w:hint="eastAsia" w:ascii="宋体" w:hAnsi="宋体" w:cs="宋体"/>
          <w:szCs w:val="21"/>
        </w:rPr>
        <w:t>前附表。</w:t>
      </w:r>
    </w:p>
    <w:p>
      <w:pPr>
        <w:pStyle w:val="4"/>
        <w:spacing w:line="440" w:lineRule="exact"/>
        <w:ind w:firstLine="422" w:firstLineChars="200"/>
        <w:jc w:val="left"/>
        <w:rPr>
          <w:rFonts w:ascii="宋体" w:hAnsi="宋体" w:cs="宋体"/>
          <w:sz w:val="21"/>
          <w:szCs w:val="21"/>
        </w:rPr>
      </w:pPr>
      <w:bookmarkStart w:id="20" w:name="_Toc369607998"/>
      <w:bookmarkStart w:id="21" w:name="_Toc17561"/>
      <w:bookmarkStart w:id="22" w:name="_Toc432367704"/>
      <w:r>
        <w:rPr>
          <w:rFonts w:hint="eastAsia" w:ascii="宋体" w:hAnsi="宋体" w:cs="宋体"/>
          <w:sz w:val="21"/>
          <w:szCs w:val="21"/>
        </w:rPr>
        <w:t>1.3 招标范围、计划工期和质量要求</w:t>
      </w:r>
      <w:bookmarkEnd w:id="20"/>
      <w:bookmarkEnd w:id="21"/>
      <w:bookmarkEnd w:id="22"/>
    </w:p>
    <w:p>
      <w:pPr>
        <w:spacing w:line="440" w:lineRule="exact"/>
        <w:ind w:firstLine="420" w:firstLineChars="200"/>
        <w:jc w:val="left"/>
        <w:rPr>
          <w:rFonts w:ascii="宋体" w:hAnsi="宋体" w:cs="宋体"/>
          <w:szCs w:val="21"/>
        </w:rPr>
      </w:pPr>
      <w:r>
        <w:rPr>
          <w:rFonts w:hint="eastAsia" w:ascii="宋体" w:hAnsi="宋体" w:cs="宋体"/>
          <w:szCs w:val="21"/>
        </w:rPr>
        <w:t>1.3.1 本次招标范围：见</w:t>
      </w:r>
      <w:r>
        <w:rPr>
          <w:rFonts w:hint="eastAsia" w:ascii="宋体" w:hAnsi="宋体" w:cs="宋体"/>
          <w:szCs w:val="21"/>
          <w:lang w:eastAsia="zh-CN"/>
        </w:rPr>
        <w:t>交易须知</w:t>
      </w:r>
      <w:r>
        <w:rPr>
          <w:rFonts w:hint="eastAsia" w:ascii="宋体" w:hAnsi="宋体" w:cs="宋体"/>
          <w:szCs w:val="21"/>
        </w:rPr>
        <w:t>前附表。</w:t>
      </w:r>
    </w:p>
    <w:p>
      <w:pPr>
        <w:spacing w:line="440" w:lineRule="exact"/>
        <w:ind w:firstLine="420" w:firstLineChars="200"/>
        <w:jc w:val="left"/>
        <w:rPr>
          <w:rFonts w:ascii="宋体" w:hAnsi="宋体" w:cs="宋体"/>
          <w:szCs w:val="21"/>
        </w:rPr>
      </w:pPr>
      <w:r>
        <w:rPr>
          <w:rFonts w:hint="eastAsia" w:ascii="宋体" w:hAnsi="宋体" w:cs="宋体"/>
          <w:szCs w:val="21"/>
        </w:rPr>
        <w:t>1.3.2 本项目的计划工期：见</w:t>
      </w:r>
      <w:r>
        <w:rPr>
          <w:rFonts w:hint="eastAsia" w:ascii="宋体" w:hAnsi="宋体" w:cs="宋体"/>
          <w:szCs w:val="21"/>
          <w:lang w:eastAsia="zh-CN"/>
        </w:rPr>
        <w:t>交易须知</w:t>
      </w:r>
      <w:r>
        <w:rPr>
          <w:rFonts w:hint="eastAsia" w:ascii="宋体" w:hAnsi="宋体" w:cs="宋体"/>
          <w:szCs w:val="21"/>
        </w:rPr>
        <w:t>前附表。</w:t>
      </w:r>
    </w:p>
    <w:p>
      <w:pPr>
        <w:spacing w:line="440" w:lineRule="exact"/>
        <w:ind w:firstLine="420" w:firstLineChars="200"/>
        <w:jc w:val="left"/>
        <w:rPr>
          <w:rFonts w:ascii="宋体" w:hAnsi="宋体" w:cs="宋体"/>
          <w:szCs w:val="21"/>
        </w:rPr>
      </w:pPr>
      <w:r>
        <w:rPr>
          <w:rFonts w:hint="eastAsia" w:ascii="宋体" w:hAnsi="宋体" w:cs="宋体"/>
          <w:szCs w:val="21"/>
        </w:rPr>
        <w:t>1.3.3 本项目的质量要求：见</w:t>
      </w:r>
      <w:r>
        <w:rPr>
          <w:rFonts w:hint="eastAsia" w:ascii="宋体" w:hAnsi="宋体" w:cs="宋体"/>
          <w:szCs w:val="21"/>
          <w:lang w:eastAsia="zh-CN"/>
        </w:rPr>
        <w:t>交易须知</w:t>
      </w:r>
      <w:r>
        <w:rPr>
          <w:rFonts w:hint="eastAsia" w:ascii="宋体" w:hAnsi="宋体" w:cs="宋体"/>
          <w:szCs w:val="21"/>
        </w:rPr>
        <w:t>前附表。</w:t>
      </w:r>
    </w:p>
    <w:p>
      <w:pPr>
        <w:spacing w:line="440" w:lineRule="exact"/>
        <w:ind w:firstLine="420" w:firstLineChars="200"/>
        <w:jc w:val="left"/>
        <w:rPr>
          <w:rFonts w:ascii="宋体" w:hAnsi="宋体" w:cs="宋体"/>
          <w:szCs w:val="21"/>
        </w:rPr>
      </w:pPr>
      <w:r>
        <w:rPr>
          <w:rFonts w:hint="eastAsia" w:ascii="宋体" w:hAnsi="宋体" w:cs="宋体"/>
          <w:szCs w:val="21"/>
        </w:rPr>
        <w:t>1.3.4 本项目的安全目标：见</w:t>
      </w:r>
      <w:r>
        <w:rPr>
          <w:rFonts w:hint="eastAsia" w:ascii="宋体" w:hAnsi="宋体" w:cs="宋体"/>
          <w:szCs w:val="21"/>
          <w:lang w:eastAsia="zh-CN"/>
        </w:rPr>
        <w:t>交易须知</w:t>
      </w:r>
      <w:r>
        <w:rPr>
          <w:rFonts w:hint="eastAsia" w:ascii="宋体" w:hAnsi="宋体" w:cs="宋体"/>
          <w:szCs w:val="21"/>
        </w:rPr>
        <w:t>前附表。</w:t>
      </w:r>
    </w:p>
    <w:p>
      <w:pPr>
        <w:pStyle w:val="4"/>
        <w:spacing w:line="440" w:lineRule="exact"/>
        <w:ind w:firstLine="422" w:firstLineChars="200"/>
        <w:jc w:val="left"/>
        <w:rPr>
          <w:rFonts w:ascii="宋体" w:hAnsi="宋体" w:cs="宋体"/>
          <w:sz w:val="21"/>
          <w:szCs w:val="21"/>
        </w:rPr>
      </w:pPr>
      <w:bookmarkStart w:id="23" w:name="_Toc432367705"/>
      <w:bookmarkStart w:id="24" w:name="_Toc26512"/>
      <w:bookmarkStart w:id="25" w:name="_Toc369608000"/>
      <w:r>
        <w:rPr>
          <w:rFonts w:hint="eastAsia" w:ascii="宋体" w:hAnsi="宋体" w:cs="宋体"/>
          <w:sz w:val="21"/>
          <w:szCs w:val="21"/>
        </w:rPr>
        <w:t xml:space="preserve">1.4 </w:t>
      </w:r>
      <w:r>
        <w:rPr>
          <w:rFonts w:hint="eastAsia" w:ascii="宋体" w:hAnsi="宋体" w:cs="宋体"/>
          <w:sz w:val="21"/>
          <w:szCs w:val="21"/>
          <w:lang w:eastAsia="zh-CN"/>
        </w:rPr>
        <w:t>交易响应单位</w:t>
      </w:r>
      <w:r>
        <w:rPr>
          <w:rFonts w:hint="eastAsia" w:ascii="宋体" w:hAnsi="宋体" w:cs="宋体"/>
          <w:sz w:val="21"/>
          <w:szCs w:val="21"/>
        </w:rPr>
        <w:t>资格要求（适用于未进行资格预审的）</w:t>
      </w:r>
      <w:bookmarkEnd w:id="23"/>
      <w:bookmarkEnd w:id="24"/>
      <w:bookmarkEnd w:id="25"/>
    </w:p>
    <w:p>
      <w:pPr>
        <w:spacing w:line="440" w:lineRule="exact"/>
        <w:ind w:firstLine="420" w:firstLineChars="200"/>
        <w:jc w:val="left"/>
        <w:rPr>
          <w:rFonts w:ascii="宋体" w:hAnsi="宋体" w:cs="宋体"/>
          <w:szCs w:val="21"/>
        </w:rPr>
      </w:pPr>
      <w:r>
        <w:rPr>
          <w:rFonts w:hint="eastAsia" w:ascii="宋体" w:hAnsi="宋体" w:cs="宋体"/>
          <w:szCs w:val="21"/>
        </w:rPr>
        <w:t xml:space="preserve">1.4.1 </w:t>
      </w:r>
      <w:r>
        <w:rPr>
          <w:rFonts w:hint="eastAsia" w:ascii="宋体" w:hAnsi="宋体" w:cs="宋体"/>
          <w:szCs w:val="21"/>
          <w:lang w:eastAsia="zh-CN"/>
        </w:rPr>
        <w:t>交易响应单位</w:t>
      </w:r>
      <w:r>
        <w:rPr>
          <w:rFonts w:hint="eastAsia" w:ascii="宋体" w:hAnsi="宋体" w:cs="宋体"/>
          <w:szCs w:val="21"/>
        </w:rPr>
        <w:t>应具备承担本项目施工的资质条件、能力和信誉。</w:t>
      </w:r>
    </w:p>
    <w:p>
      <w:pPr>
        <w:spacing w:line="440" w:lineRule="exact"/>
        <w:ind w:firstLine="420" w:firstLineChars="200"/>
        <w:jc w:val="left"/>
        <w:rPr>
          <w:rFonts w:ascii="宋体" w:hAnsi="宋体" w:cs="宋体"/>
          <w:szCs w:val="21"/>
        </w:rPr>
      </w:pPr>
      <w:r>
        <w:rPr>
          <w:rFonts w:hint="eastAsia" w:ascii="宋体" w:hAnsi="宋体" w:cs="宋体"/>
          <w:szCs w:val="21"/>
        </w:rPr>
        <w:t>（1）资质条件：见</w:t>
      </w:r>
      <w:r>
        <w:rPr>
          <w:rFonts w:hint="eastAsia" w:ascii="宋体" w:hAnsi="宋体" w:cs="宋体"/>
          <w:szCs w:val="21"/>
          <w:lang w:eastAsia="zh-CN"/>
        </w:rPr>
        <w:t>交易须知</w:t>
      </w:r>
      <w:r>
        <w:rPr>
          <w:rFonts w:hint="eastAsia" w:ascii="宋体" w:hAnsi="宋体" w:cs="宋体"/>
          <w:szCs w:val="21"/>
        </w:rPr>
        <w:t>前附表；</w:t>
      </w:r>
    </w:p>
    <w:p>
      <w:pPr>
        <w:spacing w:line="440" w:lineRule="exact"/>
        <w:ind w:firstLine="420" w:firstLineChars="200"/>
        <w:jc w:val="left"/>
        <w:rPr>
          <w:rFonts w:ascii="宋体" w:hAnsi="宋体" w:cs="宋体"/>
          <w:szCs w:val="21"/>
        </w:rPr>
      </w:pPr>
      <w:r>
        <w:rPr>
          <w:rFonts w:hint="eastAsia" w:ascii="宋体" w:hAnsi="宋体" w:cs="宋体"/>
          <w:szCs w:val="21"/>
        </w:rPr>
        <w:t>（2）财务要求：见</w:t>
      </w:r>
      <w:r>
        <w:rPr>
          <w:rFonts w:hint="eastAsia" w:ascii="宋体" w:hAnsi="宋体" w:cs="宋体"/>
          <w:szCs w:val="21"/>
          <w:lang w:eastAsia="zh-CN"/>
        </w:rPr>
        <w:t>交易须知</w:t>
      </w:r>
      <w:r>
        <w:rPr>
          <w:rFonts w:hint="eastAsia" w:ascii="宋体" w:hAnsi="宋体" w:cs="宋体"/>
          <w:szCs w:val="21"/>
        </w:rPr>
        <w:t>前附表；</w:t>
      </w:r>
    </w:p>
    <w:p>
      <w:pPr>
        <w:spacing w:line="440" w:lineRule="exact"/>
        <w:ind w:firstLine="420" w:firstLineChars="200"/>
        <w:jc w:val="left"/>
        <w:rPr>
          <w:rFonts w:ascii="宋体" w:hAnsi="宋体" w:cs="宋体"/>
          <w:szCs w:val="21"/>
        </w:rPr>
      </w:pPr>
      <w:r>
        <w:rPr>
          <w:rFonts w:hint="eastAsia" w:ascii="宋体" w:hAnsi="宋体" w:cs="宋体"/>
          <w:szCs w:val="21"/>
        </w:rPr>
        <w:t>（3）业绩要求：见</w:t>
      </w:r>
      <w:r>
        <w:rPr>
          <w:rFonts w:hint="eastAsia" w:ascii="宋体" w:hAnsi="宋体" w:cs="宋体"/>
          <w:szCs w:val="21"/>
          <w:lang w:eastAsia="zh-CN"/>
        </w:rPr>
        <w:t>交易须知</w:t>
      </w:r>
      <w:r>
        <w:rPr>
          <w:rFonts w:hint="eastAsia" w:ascii="宋体" w:hAnsi="宋体" w:cs="宋体"/>
          <w:szCs w:val="21"/>
        </w:rPr>
        <w:t>前附表；</w:t>
      </w:r>
    </w:p>
    <w:p>
      <w:pPr>
        <w:spacing w:line="440" w:lineRule="exact"/>
        <w:ind w:firstLine="420" w:firstLineChars="200"/>
        <w:jc w:val="left"/>
        <w:rPr>
          <w:rFonts w:ascii="宋体" w:hAnsi="宋体" w:cs="宋体"/>
          <w:szCs w:val="21"/>
        </w:rPr>
      </w:pPr>
      <w:r>
        <w:rPr>
          <w:rFonts w:hint="eastAsia" w:ascii="宋体" w:hAnsi="宋体" w:cs="宋体"/>
          <w:szCs w:val="21"/>
        </w:rPr>
        <w:t>（4）信誉要求：见</w:t>
      </w:r>
      <w:r>
        <w:rPr>
          <w:rFonts w:hint="eastAsia" w:ascii="宋体" w:hAnsi="宋体" w:cs="宋体"/>
          <w:szCs w:val="21"/>
          <w:lang w:eastAsia="zh-CN"/>
        </w:rPr>
        <w:t>交易须知</w:t>
      </w:r>
      <w:r>
        <w:rPr>
          <w:rFonts w:hint="eastAsia" w:ascii="宋体" w:hAnsi="宋体" w:cs="宋体"/>
          <w:szCs w:val="21"/>
        </w:rPr>
        <w:t>前附表;</w:t>
      </w:r>
    </w:p>
    <w:p>
      <w:pPr>
        <w:spacing w:line="440" w:lineRule="exact"/>
        <w:ind w:firstLine="420" w:firstLineChars="200"/>
        <w:jc w:val="left"/>
        <w:rPr>
          <w:rFonts w:ascii="宋体" w:hAnsi="宋体" w:cs="宋体"/>
          <w:szCs w:val="21"/>
        </w:rPr>
      </w:pPr>
      <w:r>
        <w:rPr>
          <w:rFonts w:hint="eastAsia" w:ascii="宋体" w:hAnsi="宋体" w:cs="宋体"/>
          <w:szCs w:val="21"/>
        </w:rPr>
        <w:t>（5）项目经理资格：见</w:t>
      </w:r>
      <w:r>
        <w:rPr>
          <w:rFonts w:hint="eastAsia" w:ascii="宋体" w:hAnsi="宋体" w:cs="宋体"/>
          <w:szCs w:val="21"/>
          <w:lang w:eastAsia="zh-CN"/>
        </w:rPr>
        <w:t>交易须知</w:t>
      </w:r>
      <w:r>
        <w:rPr>
          <w:rFonts w:hint="eastAsia" w:ascii="宋体" w:hAnsi="宋体" w:cs="宋体"/>
          <w:szCs w:val="21"/>
        </w:rPr>
        <w:t>前附表；</w:t>
      </w:r>
    </w:p>
    <w:p>
      <w:pPr>
        <w:spacing w:line="440" w:lineRule="exact"/>
        <w:ind w:firstLine="420" w:firstLineChars="200"/>
        <w:jc w:val="left"/>
        <w:rPr>
          <w:rFonts w:ascii="宋体" w:hAnsi="宋体" w:cs="宋体"/>
          <w:szCs w:val="21"/>
        </w:rPr>
      </w:pPr>
      <w:r>
        <w:rPr>
          <w:rFonts w:hint="eastAsia" w:ascii="宋体" w:hAnsi="宋体" w:cs="宋体"/>
          <w:szCs w:val="21"/>
        </w:rPr>
        <w:t>（6）其他要求：见</w:t>
      </w:r>
      <w:r>
        <w:rPr>
          <w:rFonts w:hint="eastAsia" w:ascii="宋体" w:hAnsi="宋体" w:cs="宋体"/>
          <w:szCs w:val="21"/>
          <w:lang w:eastAsia="zh-CN"/>
        </w:rPr>
        <w:t>交易须知</w:t>
      </w:r>
      <w:r>
        <w:rPr>
          <w:rFonts w:hint="eastAsia" w:ascii="宋体" w:hAnsi="宋体" w:cs="宋体"/>
          <w:szCs w:val="21"/>
        </w:rPr>
        <w:t>前附表。</w:t>
      </w:r>
    </w:p>
    <w:p>
      <w:pPr>
        <w:spacing w:line="440" w:lineRule="exact"/>
        <w:ind w:firstLine="420" w:firstLineChars="200"/>
        <w:jc w:val="left"/>
        <w:rPr>
          <w:rFonts w:ascii="宋体" w:hAnsi="宋体" w:cs="宋体"/>
          <w:szCs w:val="21"/>
        </w:rPr>
      </w:pPr>
      <w:r>
        <w:rPr>
          <w:rFonts w:hint="eastAsia" w:ascii="宋体" w:hAnsi="宋体" w:cs="宋体"/>
          <w:szCs w:val="21"/>
        </w:rPr>
        <w:t>需要提交的相关证明材料见本章第 3.5 款的规定。</w:t>
      </w:r>
    </w:p>
    <w:p>
      <w:pPr>
        <w:spacing w:line="440" w:lineRule="exact"/>
        <w:ind w:firstLine="420" w:firstLineChars="200"/>
        <w:jc w:val="left"/>
        <w:rPr>
          <w:rFonts w:ascii="宋体" w:hAnsi="宋体" w:cs="宋体"/>
          <w:szCs w:val="21"/>
        </w:rPr>
      </w:pPr>
      <w:r>
        <w:rPr>
          <w:rFonts w:hint="eastAsia" w:ascii="宋体" w:hAnsi="宋体" w:cs="宋体"/>
          <w:szCs w:val="21"/>
        </w:rPr>
        <w:t xml:space="preserve">1.4.2 </w:t>
      </w:r>
      <w:r>
        <w:rPr>
          <w:rFonts w:hint="eastAsia" w:ascii="宋体" w:hAnsi="宋体" w:cs="宋体"/>
          <w:szCs w:val="21"/>
          <w:lang w:eastAsia="zh-CN"/>
        </w:rPr>
        <w:t>交易须知</w:t>
      </w:r>
      <w:r>
        <w:rPr>
          <w:rFonts w:hint="eastAsia" w:ascii="宋体" w:hAnsi="宋体" w:cs="宋体"/>
          <w:szCs w:val="21"/>
        </w:rPr>
        <w:t>前附表规定接受联合体投标的，除应符合本章第1.4.1项和</w:t>
      </w:r>
      <w:r>
        <w:rPr>
          <w:rFonts w:hint="eastAsia" w:ascii="宋体" w:hAnsi="宋体" w:cs="宋体"/>
          <w:szCs w:val="21"/>
          <w:lang w:eastAsia="zh-CN"/>
        </w:rPr>
        <w:t>交易须知</w:t>
      </w:r>
      <w:r>
        <w:rPr>
          <w:rFonts w:hint="eastAsia" w:ascii="宋体" w:hAnsi="宋体" w:cs="宋体"/>
          <w:szCs w:val="21"/>
        </w:rPr>
        <w:t>前附表的要求外，还应遵守以下规定：</w:t>
      </w:r>
    </w:p>
    <w:p>
      <w:pPr>
        <w:spacing w:line="440" w:lineRule="exact"/>
        <w:ind w:firstLine="420" w:firstLineChars="200"/>
        <w:jc w:val="left"/>
        <w:rPr>
          <w:rFonts w:ascii="宋体" w:hAnsi="宋体" w:cs="宋体"/>
          <w:szCs w:val="21"/>
        </w:rPr>
      </w:pPr>
      <w:r>
        <w:rPr>
          <w:rFonts w:hint="eastAsia" w:ascii="宋体" w:hAnsi="宋体" w:cs="宋体"/>
          <w:szCs w:val="21"/>
        </w:rPr>
        <w:t>（1）联合体各方应按</w:t>
      </w:r>
      <w:r>
        <w:rPr>
          <w:rFonts w:hint="eastAsia" w:ascii="宋体" w:hAnsi="宋体" w:cs="宋体"/>
          <w:szCs w:val="21"/>
          <w:lang w:eastAsia="zh-CN"/>
        </w:rPr>
        <w:t>交易文件</w:t>
      </w:r>
      <w:r>
        <w:rPr>
          <w:rFonts w:hint="eastAsia" w:ascii="宋体" w:hAnsi="宋体" w:cs="宋体"/>
          <w:szCs w:val="21"/>
        </w:rPr>
        <w:t>提供的格式签订联合体协议书，明确联合体牵头人和各方权利义务，并承诺就中标项目向招标人承担连带责任；</w:t>
      </w:r>
    </w:p>
    <w:p>
      <w:pPr>
        <w:spacing w:line="440" w:lineRule="exact"/>
        <w:ind w:firstLine="420" w:firstLineChars="200"/>
        <w:jc w:val="left"/>
        <w:rPr>
          <w:rFonts w:ascii="宋体" w:hAnsi="宋体" w:cs="宋体"/>
          <w:szCs w:val="21"/>
        </w:rPr>
      </w:pPr>
      <w:r>
        <w:rPr>
          <w:rFonts w:hint="eastAsia" w:ascii="宋体" w:hAnsi="宋体" w:cs="宋体"/>
          <w:szCs w:val="21"/>
        </w:rPr>
        <w:t>（2）由同一专业的单位组成的联合体，按照资质等级较低的单位确定资质等级；</w:t>
      </w:r>
    </w:p>
    <w:p>
      <w:pPr>
        <w:spacing w:line="440" w:lineRule="exact"/>
        <w:ind w:firstLine="420" w:firstLineChars="200"/>
        <w:jc w:val="left"/>
        <w:rPr>
          <w:rFonts w:ascii="宋体" w:hAnsi="宋体" w:cs="宋体"/>
          <w:szCs w:val="21"/>
        </w:rPr>
      </w:pPr>
      <w:r>
        <w:rPr>
          <w:rFonts w:hint="eastAsia" w:ascii="宋体" w:hAnsi="宋体" w:cs="宋体"/>
          <w:szCs w:val="21"/>
        </w:rPr>
        <w:t>（3）联合体各方不得再以自己名义单独或参加其他联合体在同一标段中投标；</w:t>
      </w:r>
    </w:p>
    <w:p>
      <w:pPr>
        <w:spacing w:line="440" w:lineRule="exact"/>
        <w:ind w:firstLine="420" w:firstLineChars="200"/>
        <w:jc w:val="left"/>
        <w:rPr>
          <w:rFonts w:ascii="宋体" w:hAnsi="宋体" w:cs="宋体"/>
          <w:szCs w:val="21"/>
        </w:rPr>
      </w:pPr>
      <w:r>
        <w:rPr>
          <w:rFonts w:hint="eastAsia" w:ascii="宋体" w:hAnsi="宋体" w:cs="宋体"/>
          <w:szCs w:val="21"/>
        </w:rPr>
        <w:t>（4）联合体各方应分别按照本</w:t>
      </w:r>
      <w:r>
        <w:rPr>
          <w:rFonts w:hint="eastAsia" w:ascii="宋体" w:hAnsi="宋体" w:cs="宋体"/>
          <w:szCs w:val="21"/>
          <w:lang w:eastAsia="zh-CN"/>
        </w:rPr>
        <w:t>交易文件</w:t>
      </w:r>
      <w:r>
        <w:rPr>
          <w:rFonts w:hint="eastAsia" w:ascii="宋体" w:hAnsi="宋体" w:cs="宋体"/>
          <w:szCs w:val="21"/>
        </w:rPr>
        <w:t>的要求，填写</w:t>
      </w:r>
      <w:r>
        <w:rPr>
          <w:rFonts w:hint="eastAsia" w:ascii="宋体" w:hAnsi="宋体" w:cs="宋体"/>
          <w:szCs w:val="21"/>
          <w:lang w:eastAsia="zh-CN"/>
        </w:rPr>
        <w:t>交易响应文件</w:t>
      </w:r>
      <w:r>
        <w:rPr>
          <w:rFonts w:hint="eastAsia" w:ascii="宋体" w:hAnsi="宋体" w:cs="宋体"/>
          <w:szCs w:val="21"/>
        </w:rPr>
        <w:t>中的相应表格， 并由联合体牵头人负责对联合体各成员的资料进行统一汇总后一并提交给招标人；联合体牵头人所提交的</w:t>
      </w:r>
      <w:r>
        <w:rPr>
          <w:rFonts w:hint="eastAsia" w:ascii="宋体" w:hAnsi="宋体" w:cs="宋体"/>
          <w:szCs w:val="21"/>
          <w:lang w:eastAsia="zh-CN"/>
        </w:rPr>
        <w:t>交易响应文件</w:t>
      </w:r>
      <w:r>
        <w:rPr>
          <w:rFonts w:hint="eastAsia" w:ascii="宋体" w:hAnsi="宋体" w:cs="宋体"/>
          <w:szCs w:val="21"/>
        </w:rPr>
        <w:t>应认为已代表了联合体各成员的真实情况；</w:t>
      </w:r>
    </w:p>
    <w:p>
      <w:pPr>
        <w:spacing w:line="440" w:lineRule="exact"/>
        <w:ind w:firstLine="420" w:firstLineChars="200"/>
        <w:jc w:val="left"/>
        <w:rPr>
          <w:rFonts w:ascii="宋体" w:hAnsi="宋体" w:cs="宋体"/>
          <w:szCs w:val="21"/>
        </w:rPr>
      </w:pPr>
      <w:r>
        <w:rPr>
          <w:rFonts w:hint="eastAsia" w:ascii="宋体" w:hAnsi="宋体" w:cs="宋体"/>
          <w:szCs w:val="21"/>
        </w:rPr>
        <w:t>（5）尽管委任了联合体牵头人，但联合体各成员在投标、签订合同与履行合同过程中，仍负有连带的和各自的法律责任。</w:t>
      </w:r>
    </w:p>
    <w:p>
      <w:pPr>
        <w:spacing w:line="440" w:lineRule="exact"/>
        <w:ind w:firstLine="420" w:firstLineChars="200"/>
        <w:jc w:val="left"/>
        <w:rPr>
          <w:rFonts w:ascii="宋体" w:hAnsi="宋体" w:cs="宋体"/>
          <w:szCs w:val="21"/>
        </w:rPr>
      </w:pPr>
      <w:r>
        <w:rPr>
          <w:rFonts w:hint="eastAsia" w:ascii="宋体" w:hAnsi="宋体" w:cs="宋体"/>
          <w:szCs w:val="21"/>
        </w:rPr>
        <w:t xml:space="preserve">1.4.3 </w:t>
      </w:r>
      <w:r>
        <w:rPr>
          <w:rFonts w:hint="eastAsia" w:ascii="宋体" w:hAnsi="宋体" w:cs="宋体"/>
          <w:szCs w:val="21"/>
          <w:lang w:eastAsia="zh-CN"/>
        </w:rPr>
        <w:t>交易响应单位</w:t>
      </w:r>
      <w:r>
        <w:rPr>
          <w:rFonts w:hint="eastAsia" w:ascii="宋体" w:hAnsi="宋体" w:cs="宋体"/>
          <w:szCs w:val="21"/>
        </w:rPr>
        <w:t>不得存在下列情形之一：</w:t>
      </w:r>
    </w:p>
    <w:p>
      <w:pPr>
        <w:spacing w:line="440" w:lineRule="exact"/>
        <w:ind w:firstLine="420" w:firstLineChars="200"/>
        <w:jc w:val="left"/>
        <w:rPr>
          <w:rFonts w:ascii="宋体" w:hAnsi="宋体" w:cs="宋体"/>
          <w:szCs w:val="21"/>
        </w:rPr>
      </w:pPr>
      <w:bookmarkStart w:id="26" w:name="_Toc28312"/>
      <w:bookmarkStart w:id="27" w:name="_Toc369608001"/>
      <w:bookmarkStart w:id="28" w:name="_Toc432367706"/>
      <w:r>
        <w:rPr>
          <w:rFonts w:hint="eastAsia" w:ascii="宋体" w:hAnsi="宋体" w:cs="宋体"/>
          <w:szCs w:val="21"/>
        </w:rPr>
        <w:t>（1）为招标人不具有独立法人资格的附属机构（单位）；</w:t>
      </w:r>
    </w:p>
    <w:p>
      <w:pPr>
        <w:spacing w:line="440" w:lineRule="exact"/>
        <w:ind w:firstLine="420" w:firstLineChars="200"/>
        <w:jc w:val="left"/>
        <w:rPr>
          <w:rFonts w:ascii="宋体" w:hAnsi="宋体" w:cs="宋体"/>
          <w:szCs w:val="21"/>
        </w:rPr>
      </w:pPr>
      <w:r>
        <w:rPr>
          <w:rFonts w:hint="eastAsia" w:ascii="宋体" w:hAnsi="宋体" w:cs="宋体"/>
          <w:szCs w:val="21"/>
        </w:rPr>
        <w:t>（2）与招标人存在利害关系且可能影响招标公正性；</w:t>
      </w:r>
    </w:p>
    <w:p>
      <w:pPr>
        <w:spacing w:line="440" w:lineRule="exact"/>
        <w:ind w:firstLine="420" w:firstLineChars="200"/>
        <w:jc w:val="left"/>
        <w:rPr>
          <w:rFonts w:ascii="宋体" w:hAnsi="宋体" w:cs="宋体"/>
          <w:szCs w:val="21"/>
        </w:rPr>
      </w:pPr>
      <w:r>
        <w:rPr>
          <w:rFonts w:hint="eastAsia" w:ascii="宋体" w:hAnsi="宋体" w:cs="宋体"/>
          <w:szCs w:val="21"/>
        </w:rPr>
        <w:t>（3）与本标段的其他</w:t>
      </w:r>
      <w:r>
        <w:rPr>
          <w:rFonts w:hint="eastAsia" w:ascii="宋体" w:hAnsi="宋体" w:cs="宋体"/>
          <w:szCs w:val="21"/>
          <w:lang w:eastAsia="zh-CN"/>
        </w:rPr>
        <w:t>交易响应单位</w:t>
      </w:r>
      <w:r>
        <w:rPr>
          <w:rFonts w:hint="eastAsia" w:ascii="宋体" w:hAnsi="宋体" w:cs="宋体"/>
          <w:szCs w:val="21"/>
        </w:rPr>
        <w:t>同为一个单位负责人；</w:t>
      </w:r>
    </w:p>
    <w:p>
      <w:pPr>
        <w:spacing w:line="440" w:lineRule="exact"/>
        <w:ind w:firstLine="420" w:firstLineChars="200"/>
        <w:jc w:val="left"/>
        <w:rPr>
          <w:rFonts w:ascii="宋体" w:hAnsi="宋体" w:cs="宋体"/>
          <w:szCs w:val="21"/>
        </w:rPr>
      </w:pPr>
      <w:r>
        <w:rPr>
          <w:rFonts w:hint="eastAsia" w:ascii="宋体" w:hAnsi="宋体" w:cs="宋体"/>
          <w:szCs w:val="21"/>
        </w:rPr>
        <w:t>（4）与本标段的其他</w:t>
      </w:r>
      <w:r>
        <w:rPr>
          <w:rFonts w:hint="eastAsia" w:ascii="宋体" w:hAnsi="宋体" w:cs="宋体"/>
          <w:szCs w:val="21"/>
          <w:lang w:eastAsia="zh-CN"/>
        </w:rPr>
        <w:t>交易响应单位</w:t>
      </w:r>
      <w:r>
        <w:rPr>
          <w:rFonts w:hint="eastAsia" w:ascii="宋体" w:hAnsi="宋体" w:cs="宋体"/>
          <w:szCs w:val="21"/>
        </w:rPr>
        <w:t>存在控股、管理关系；</w:t>
      </w:r>
    </w:p>
    <w:p>
      <w:pPr>
        <w:spacing w:line="440" w:lineRule="exact"/>
        <w:ind w:firstLine="420" w:firstLineChars="200"/>
        <w:jc w:val="left"/>
        <w:rPr>
          <w:rFonts w:ascii="宋体" w:hAnsi="宋体" w:cs="宋体"/>
          <w:szCs w:val="21"/>
        </w:rPr>
      </w:pPr>
      <w:r>
        <w:rPr>
          <w:rFonts w:hint="eastAsia" w:ascii="宋体" w:hAnsi="宋体" w:cs="宋体"/>
          <w:szCs w:val="21"/>
        </w:rPr>
        <w:t>（5）为本标段前期准备提供设计或咨询服务的法人或其任何附属机构（单位）；</w:t>
      </w:r>
    </w:p>
    <w:p>
      <w:pPr>
        <w:spacing w:line="440" w:lineRule="exact"/>
        <w:ind w:firstLine="420" w:firstLineChars="200"/>
        <w:jc w:val="left"/>
        <w:rPr>
          <w:rFonts w:ascii="宋体" w:hAnsi="宋体" w:cs="宋体"/>
          <w:szCs w:val="21"/>
        </w:rPr>
      </w:pPr>
      <w:r>
        <w:rPr>
          <w:rFonts w:hint="eastAsia" w:ascii="宋体" w:hAnsi="宋体" w:cs="宋体"/>
          <w:szCs w:val="21"/>
        </w:rPr>
        <w:t>（6）为本标段的监理人；</w:t>
      </w:r>
    </w:p>
    <w:p>
      <w:pPr>
        <w:spacing w:line="440" w:lineRule="exact"/>
        <w:ind w:firstLine="420" w:firstLineChars="200"/>
        <w:jc w:val="left"/>
        <w:rPr>
          <w:rFonts w:ascii="宋体" w:hAnsi="宋体" w:cs="宋体"/>
          <w:szCs w:val="21"/>
        </w:rPr>
      </w:pPr>
      <w:r>
        <w:rPr>
          <w:rFonts w:hint="eastAsia" w:ascii="宋体" w:hAnsi="宋体" w:cs="宋体"/>
          <w:szCs w:val="21"/>
        </w:rPr>
        <w:t>（7）为本标段的代建人；</w:t>
      </w:r>
    </w:p>
    <w:p>
      <w:pPr>
        <w:spacing w:line="440" w:lineRule="exact"/>
        <w:ind w:firstLine="420" w:firstLineChars="200"/>
        <w:jc w:val="left"/>
        <w:rPr>
          <w:rFonts w:ascii="宋体" w:hAnsi="宋体" w:cs="宋体"/>
          <w:szCs w:val="21"/>
        </w:rPr>
      </w:pPr>
      <w:r>
        <w:rPr>
          <w:rFonts w:hint="eastAsia" w:ascii="宋体" w:hAnsi="宋体" w:cs="宋体"/>
          <w:szCs w:val="21"/>
        </w:rPr>
        <w:t>（8）为本标段的招标代理机构；</w:t>
      </w:r>
    </w:p>
    <w:p>
      <w:pPr>
        <w:spacing w:line="440" w:lineRule="exact"/>
        <w:ind w:firstLine="420" w:firstLineChars="200"/>
        <w:jc w:val="left"/>
        <w:rPr>
          <w:rFonts w:ascii="宋体" w:hAnsi="宋体" w:cs="宋体"/>
          <w:szCs w:val="21"/>
        </w:rPr>
      </w:pPr>
      <w:r>
        <w:rPr>
          <w:rFonts w:hint="eastAsia" w:ascii="宋体" w:hAnsi="宋体" w:cs="宋体"/>
          <w:szCs w:val="21"/>
        </w:rPr>
        <w:t>（9）与本标段的监理人或代建人或招标代理机构同为一个法定代表人；</w:t>
      </w:r>
    </w:p>
    <w:p>
      <w:pPr>
        <w:spacing w:line="440" w:lineRule="exact"/>
        <w:ind w:firstLine="420" w:firstLineChars="200"/>
        <w:jc w:val="left"/>
        <w:rPr>
          <w:rFonts w:ascii="宋体" w:hAnsi="宋体" w:cs="宋体"/>
          <w:szCs w:val="21"/>
        </w:rPr>
      </w:pPr>
      <w:r>
        <w:rPr>
          <w:rFonts w:hint="eastAsia" w:ascii="宋体" w:hAnsi="宋体" w:cs="宋体"/>
          <w:szCs w:val="21"/>
        </w:rPr>
        <w:t>（10）与本标段的监理人或代建人或招标代理机构存在控股或参股关系；</w:t>
      </w:r>
    </w:p>
    <w:p>
      <w:pPr>
        <w:spacing w:line="440" w:lineRule="exact"/>
        <w:ind w:firstLine="420" w:firstLineChars="200"/>
        <w:jc w:val="left"/>
        <w:rPr>
          <w:rFonts w:ascii="宋体" w:hAnsi="宋体" w:cs="宋体"/>
          <w:szCs w:val="21"/>
        </w:rPr>
      </w:pPr>
      <w:r>
        <w:rPr>
          <w:rFonts w:hint="eastAsia" w:ascii="宋体" w:hAnsi="宋体" w:cs="宋体"/>
          <w:szCs w:val="21"/>
        </w:rPr>
        <w:t>（11）法律法规或</w:t>
      </w:r>
      <w:r>
        <w:rPr>
          <w:rFonts w:hint="eastAsia" w:ascii="宋体" w:hAnsi="宋体" w:cs="宋体"/>
          <w:szCs w:val="21"/>
          <w:lang w:eastAsia="zh-CN"/>
        </w:rPr>
        <w:t>交易须知</w:t>
      </w:r>
      <w:r>
        <w:rPr>
          <w:rFonts w:hint="eastAsia" w:ascii="宋体" w:hAnsi="宋体" w:cs="宋体"/>
          <w:szCs w:val="21"/>
        </w:rPr>
        <w:t>前附表规定的其他情形。</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1.4.4</w:t>
      </w:r>
      <w:r>
        <w:rPr>
          <w:rFonts w:hint="eastAsia"/>
          <w:szCs w:val="21"/>
          <w:lang w:val="en-US" w:eastAsia="zh-CN" w:bidi="ar-SA"/>
        </w:rPr>
        <w:t>交易响应单位</w:t>
      </w:r>
      <w:r>
        <w:rPr>
          <w:rFonts w:hint="eastAsia"/>
          <w:szCs w:val="21"/>
          <w:lang w:val="en-US" w:bidi="ar-SA"/>
        </w:rPr>
        <w:t>（包括联合体各成员）不得存在下列不良状况或不良信用记录：</w:t>
      </w:r>
    </w:p>
    <w:p>
      <w:pPr>
        <w:spacing w:line="440" w:lineRule="exact"/>
        <w:ind w:firstLine="420" w:firstLineChars="200"/>
        <w:jc w:val="left"/>
        <w:rPr>
          <w:rFonts w:ascii="宋体" w:hAnsi="宋体" w:cs="宋体"/>
          <w:szCs w:val="21"/>
        </w:rPr>
      </w:pPr>
      <w:r>
        <w:rPr>
          <w:rFonts w:hint="eastAsia" w:ascii="宋体" w:hAnsi="宋体" w:cs="宋体"/>
          <w:szCs w:val="21"/>
        </w:rPr>
        <w:t>（1）被省级及以上交通运输主管部门取消招标项目所在地的投标资格且处于有效期内；</w:t>
      </w:r>
    </w:p>
    <w:p>
      <w:pPr>
        <w:spacing w:line="440" w:lineRule="exact"/>
        <w:ind w:firstLine="420" w:firstLineChars="200"/>
        <w:jc w:val="left"/>
        <w:rPr>
          <w:rFonts w:ascii="宋体" w:hAnsi="宋体" w:cs="宋体"/>
          <w:szCs w:val="21"/>
        </w:rPr>
      </w:pPr>
      <w:r>
        <w:rPr>
          <w:rFonts w:hint="eastAsia" w:ascii="宋体" w:hAnsi="宋体" w:cs="宋体"/>
          <w:szCs w:val="21"/>
        </w:rPr>
        <w:t>（2）被责令停业，暂扣或吊销执照，或吊销资质证书；</w:t>
      </w:r>
    </w:p>
    <w:p>
      <w:pPr>
        <w:spacing w:line="440" w:lineRule="exact"/>
        <w:ind w:firstLine="420" w:firstLineChars="200"/>
        <w:jc w:val="left"/>
        <w:rPr>
          <w:rFonts w:ascii="宋体" w:hAnsi="宋体" w:cs="宋体"/>
          <w:szCs w:val="21"/>
        </w:rPr>
      </w:pPr>
      <w:r>
        <w:rPr>
          <w:rFonts w:hint="eastAsia" w:ascii="宋体" w:hAnsi="宋体" w:cs="宋体"/>
          <w:szCs w:val="21"/>
        </w:rPr>
        <w:t>（3）进入清算程序，或被宣告破产，或其他丧失履约能力的情形；</w:t>
      </w:r>
    </w:p>
    <w:p>
      <w:pPr>
        <w:spacing w:line="440" w:lineRule="exact"/>
        <w:ind w:firstLine="420" w:firstLineChars="200"/>
        <w:jc w:val="left"/>
        <w:rPr>
          <w:rFonts w:ascii="宋体" w:hAnsi="宋体" w:cs="宋体"/>
          <w:szCs w:val="21"/>
        </w:rPr>
      </w:pPr>
      <w:r>
        <w:rPr>
          <w:rFonts w:hint="eastAsia" w:ascii="宋体" w:hAnsi="宋体" w:cs="宋体"/>
          <w:szCs w:val="21"/>
        </w:rPr>
        <w:t>（4）在国家企业信用信息公示系统（</w:t>
      </w:r>
      <w:r>
        <w:fldChar w:fldCharType="begin"/>
      </w:r>
      <w:r>
        <w:instrText xml:space="preserve"> HYPERLINK "http://www.gsxt.gov.cn/" \h </w:instrText>
      </w:r>
      <w:r>
        <w:fldChar w:fldCharType="separate"/>
      </w:r>
      <w:r>
        <w:rPr>
          <w:rFonts w:hint="eastAsia" w:ascii="宋体" w:hAnsi="宋体" w:cs="宋体"/>
          <w:szCs w:val="21"/>
        </w:rPr>
        <w:t>http://www.gsxt.gov.cn/</w:t>
      </w:r>
      <w:r>
        <w:rPr>
          <w:rFonts w:hint="eastAsia" w:ascii="宋体" w:hAnsi="宋体" w:cs="宋体"/>
          <w:szCs w:val="21"/>
        </w:rPr>
        <w:fldChar w:fldCharType="end"/>
      </w:r>
      <w:r>
        <w:rPr>
          <w:rFonts w:hint="eastAsia" w:ascii="宋体" w:hAnsi="宋体" w:cs="宋体"/>
          <w:szCs w:val="21"/>
        </w:rPr>
        <w:t>）中被列入严重违法失信企业名单；</w:t>
      </w:r>
    </w:p>
    <w:p>
      <w:pPr>
        <w:spacing w:line="440" w:lineRule="exact"/>
        <w:ind w:firstLine="420" w:firstLineChars="200"/>
        <w:jc w:val="left"/>
        <w:rPr>
          <w:rFonts w:ascii="宋体" w:hAnsi="宋体" w:cs="宋体"/>
          <w:szCs w:val="21"/>
        </w:rPr>
      </w:pPr>
      <w:r>
        <w:rPr>
          <w:rFonts w:hint="eastAsia" w:ascii="宋体" w:hAnsi="宋体" w:cs="宋体"/>
          <w:szCs w:val="21"/>
        </w:rPr>
        <w:t>（5）在“信用中国”网站（</w:t>
      </w:r>
      <w:r>
        <w:fldChar w:fldCharType="begin"/>
      </w:r>
      <w:r>
        <w:instrText xml:space="preserve"> HYPERLINK "http://www.creditchina.gov.cn/" \h </w:instrText>
      </w:r>
      <w:r>
        <w:fldChar w:fldCharType="separate"/>
      </w:r>
      <w:r>
        <w:rPr>
          <w:rFonts w:hint="eastAsia" w:ascii="宋体" w:hAnsi="宋体" w:cs="宋体"/>
          <w:szCs w:val="21"/>
        </w:rPr>
        <w:t>http://www.creditchina.gov.cn/</w:t>
      </w:r>
      <w:r>
        <w:rPr>
          <w:rFonts w:hint="eastAsia" w:ascii="宋体" w:hAnsi="宋体" w:cs="宋体"/>
          <w:szCs w:val="21"/>
        </w:rPr>
        <w:fldChar w:fldCharType="end"/>
      </w:r>
      <w:r>
        <w:rPr>
          <w:rFonts w:hint="eastAsia" w:ascii="宋体" w:hAnsi="宋体" w:cs="宋体"/>
          <w:szCs w:val="21"/>
        </w:rPr>
        <w:t>）中被列入失信被执行人名单；</w:t>
      </w:r>
    </w:p>
    <w:p>
      <w:pPr>
        <w:spacing w:line="440" w:lineRule="exact"/>
        <w:ind w:firstLine="420" w:firstLineChars="200"/>
        <w:jc w:val="left"/>
        <w:rPr>
          <w:rFonts w:ascii="宋体" w:hAnsi="宋体" w:cs="宋体"/>
          <w:szCs w:val="21"/>
        </w:rPr>
      </w:pPr>
      <w:r>
        <w:rPr>
          <w:rFonts w:hint="eastAsia" w:ascii="宋体" w:hAnsi="宋体" w:cs="宋体"/>
          <w:szCs w:val="21"/>
        </w:rPr>
        <w:t>（6）</w:t>
      </w:r>
      <w:r>
        <w:rPr>
          <w:rFonts w:hint="eastAsia" w:ascii="宋体" w:hAnsi="宋体" w:cs="宋体"/>
          <w:szCs w:val="21"/>
          <w:lang w:eastAsia="zh-CN"/>
        </w:rPr>
        <w:t>交易响应单位</w:t>
      </w:r>
      <w:r>
        <w:rPr>
          <w:rFonts w:hint="eastAsia" w:ascii="宋体" w:hAnsi="宋体" w:cs="宋体"/>
          <w:szCs w:val="21"/>
        </w:rPr>
        <w:t>或其法定代表人、拟委任的项目经理在近三年内有行贿犯罪行为的（ 行贿犯罪行为的认定以网上的查询结果为准）；</w:t>
      </w:r>
    </w:p>
    <w:p>
      <w:pPr>
        <w:spacing w:line="440" w:lineRule="exact"/>
        <w:ind w:firstLine="420" w:firstLineChars="200"/>
        <w:jc w:val="left"/>
        <w:rPr>
          <w:rFonts w:ascii="宋体" w:hAnsi="宋体" w:cs="宋体"/>
          <w:szCs w:val="21"/>
        </w:rPr>
      </w:pPr>
      <w:r>
        <w:rPr>
          <w:rFonts w:hint="eastAsia" w:ascii="宋体" w:hAnsi="宋体" w:cs="宋体"/>
          <w:szCs w:val="21"/>
        </w:rPr>
        <w:t>（7）法律法规或</w:t>
      </w:r>
      <w:r>
        <w:rPr>
          <w:rFonts w:hint="eastAsia" w:ascii="宋体" w:hAnsi="宋体" w:cs="宋体"/>
          <w:szCs w:val="21"/>
          <w:lang w:eastAsia="zh-CN"/>
        </w:rPr>
        <w:t>交易须知</w:t>
      </w:r>
      <w:r>
        <w:rPr>
          <w:rFonts w:hint="eastAsia" w:ascii="宋体" w:hAnsi="宋体" w:cs="宋体"/>
          <w:szCs w:val="21"/>
        </w:rPr>
        <w:t>前附表规定的其他情形。</w:t>
      </w:r>
    </w:p>
    <w:p>
      <w:pPr>
        <w:spacing w:line="440" w:lineRule="exact"/>
        <w:ind w:firstLine="420" w:firstLineChars="200"/>
        <w:jc w:val="left"/>
        <w:rPr>
          <w:rFonts w:ascii="宋体" w:hAnsi="宋体" w:cs="宋体"/>
          <w:szCs w:val="21"/>
        </w:rPr>
      </w:pPr>
      <w:r>
        <w:rPr>
          <w:rFonts w:hint="eastAsia" w:ascii="宋体" w:hAnsi="宋体"/>
          <w:szCs w:val="21"/>
        </w:rPr>
        <w:t>1.4.</w:t>
      </w:r>
      <w:r>
        <w:rPr>
          <w:rFonts w:ascii="宋体" w:hAnsi="宋体"/>
          <w:szCs w:val="21"/>
        </w:rPr>
        <w:t>5</w:t>
      </w:r>
      <w:r>
        <w:rPr>
          <w:rFonts w:hint="eastAsia" w:ascii="宋体" w:hAnsi="宋体" w:cs="Times New Roman"/>
          <w:sz w:val="22"/>
          <w:szCs w:val="22"/>
          <w:lang w:eastAsia="zh-CN"/>
        </w:rPr>
        <w:t>本次交易不接受被湖南省交通运输主管部门评为2018年度D级、连续两年（2017年和2018年）评为C级、连续三年（2016～2018）评为B级及以下信用等级的交易响应单位交易。</w:t>
      </w:r>
      <w:r>
        <w:rPr>
          <w:rFonts w:hint="eastAsia" w:ascii="宋体" w:hAnsi="宋体" w:cs="宋体"/>
          <w:szCs w:val="21"/>
        </w:rPr>
        <w:t>近三年（201</w:t>
      </w:r>
      <w:r>
        <w:rPr>
          <w:rFonts w:hint="eastAsia" w:ascii="宋体" w:hAnsi="宋体" w:cs="宋体"/>
          <w:szCs w:val="21"/>
          <w:lang w:val="en-US" w:eastAsia="zh-CN"/>
        </w:rPr>
        <w:t>6</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月-201</w:t>
      </w:r>
      <w:r>
        <w:rPr>
          <w:rFonts w:hint="eastAsia" w:ascii="宋体" w:hAnsi="宋体" w:cs="宋体"/>
          <w:szCs w:val="21"/>
          <w:lang w:val="en-US" w:eastAsia="zh-CN"/>
        </w:rPr>
        <w:t>9</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受到过湖南省内各行政主管部门的处罚及通报（指在工程建设过程受到过清退出场、取消投标资格等以及违反廉政建设、有违反招标投标及相关的处罚或通报）期内；凡涉及到湘交基建[2017]79号文件“关于2016年部分涉案施工企业及人员违规行为处理结果的通报”中单位及人员均不得参与本项目投标。</w:t>
      </w:r>
      <w:r>
        <w:rPr>
          <w:rFonts w:hint="eastAsia" w:ascii="宋体" w:hAnsi="宋体"/>
          <w:szCs w:val="21"/>
        </w:rPr>
        <w:t xml:space="preserve"> </w:t>
      </w:r>
    </w:p>
    <w:p>
      <w:pPr>
        <w:pStyle w:val="4"/>
        <w:spacing w:line="440" w:lineRule="exact"/>
        <w:ind w:firstLine="422" w:firstLineChars="200"/>
        <w:jc w:val="left"/>
        <w:rPr>
          <w:rFonts w:ascii="宋体" w:hAnsi="宋体" w:cs="宋体"/>
          <w:sz w:val="21"/>
          <w:szCs w:val="21"/>
        </w:rPr>
      </w:pPr>
      <w:r>
        <w:rPr>
          <w:rFonts w:hint="eastAsia" w:ascii="宋体" w:hAnsi="宋体" w:cs="宋体"/>
          <w:sz w:val="21"/>
          <w:szCs w:val="21"/>
        </w:rPr>
        <w:t>1.5 费用承担</w:t>
      </w:r>
      <w:bookmarkEnd w:id="26"/>
      <w:bookmarkEnd w:id="27"/>
      <w:bookmarkEnd w:id="28"/>
    </w:p>
    <w:p>
      <w:pPr>
        <w:spacing w:line="440" w:lineRule="exact"/>
        <w:ind w:firstLine="420" w:firstLineChars="200"/>
        <w:jc w:val="left"/>
        <w:rPr>
          <w:rFonts w:ascii="宋体" w:hAnsi="宋体" w:cs="宋体"/>
          <w:szCs w:val="21"/>
        </w:rPr>
      </w:pPr>
      <w:r>
        <w:rPr>
          <w:rFonts w:hint="eastAsia" w:ascii="宋体" w:hAnsi="宋体" w:cs="宋体"/>
          <w:szCs w:val="21"/>
          <w:lang w:eastAsia="zh-CN"/>
        </w:rPr>
        <w:t>交易响应单位</w:t>
      </w:r>
      <w:r>
        <w:rPr>
          <w:rFonts w:hint="eastAsia" w:ascii="宋体" w:hAnsi="宋体" w:cs="宋体"/>
          <w:szCs w:val="21"/>
        </w:rPr>
        <w:t>准备和参加投标活动发生的费用自理。</w:t>
      </w:r>
    </w:p>
    <w:p>
      <w:pPr>
        <w:pStyle w:val="4"/>
        <w:spacing w:line="440" w:lineRule="exact"/>
        <w:ind w:firstLine="422" w:firstLineChars="200"/>
        <w:jc w:val="left"/>
        <w:rPr>
          <w:rFonts w:ascii="宋体" w:hAnsi="宋体" w:cs="宋体"/>
          <w:sz w:val="21"/>
          <w:szCs w:val="21"/>
        </w:rPr>
      </w:pPr>
      <w:bookmarkStart w:id="29" w:name="_Toc6818"/>
      <w:bookmarkStart w:id="30" w:name="_Toc369608002"/>
      <w:bookmarkStart w:id="31" w:name="_Toc432367707"/>
      <w:r>
        <w:rPr>
          <w:rFonts w:hint="eastAsia" w:ascii="宋体" w:hAnsi="宋体" w:cs="宋体"/>
          <w:sz w:val="21"/>
          <w:szCs w:val="21"/>
        </w:rPr>
        <w:t>1.6 保密</w:t>
      </w:r>
      <w:bookmarkEnd w:id="29"/>
      <w:bookmarkEnd w:id="30"/>
      <w:bookmarkEnd w:id="31"/>
    </w:p>
    <w:p>
      <w:pPr>
        <w:spacing w:line="440" w:lineRule="exact"/>
        <w:ind w:firstLine="420" w:firstLineChars="200"/>
        <w:jc w:val="left"/>
        <w:rPr>
          <w:rFonts w:ascii="宋体" w:hAnsi="宋体" w:cs="宋体"/>
          <w:szCs w:val="21"/>
        </w:rPr>
      </w:pPr>
      <w:r>
        <w:rPr>
          <w:rFonts w:hint="eastAsia" w:ascii="宋体" w:hAnsi="宋体" w:cs="宋体"/>
          <w:szCs w:val="21"/>
        </w:rPr>
        <w:t>参与招标投标活动的各方应对</w:t>
      </w:r>
      <w:r>
        <w:rPr>
          <w:rFonts w:hint="eastAsia" w:ascii="宋体" w:hAnsi="宋体" w:cs="宋体"/>
          <w:szCs w:val="21"/>
          <w:lang w:eastAsia="zh-CN"/>
        </w:rPr>
        <w:t>交易文件</w:t>
      </w:r>
      <w:r>
        <w:rPr>
          <w:rFonts w:hint="eastAsia" w:ascii="宋体" w:hAnsi="宋体" w:cs="宋体"/>
          <w:szCs w:val="21"/>
        </w:rPr>
        <w:t>和</w:t>
      </w:r>
      <w:r>
        <w:rPr>
          <w:rFonts w:hint="eastAsia" w:ascii="宋体" w:hAnsi="宋体" w:cs="宋体"/>
          <w:szCs w:val="21"/>
          <w:lang w:eastAsia="zh-CN"/>
        </w:rPr>
        <w:t>交易响应文件</w:t>
      </w:r>
      <w:r>
        <w:rPr>
          <w:rFonts w:hint="eastAsia" w:ascii="宋体" w:hAnsi="宋体" w:cs="宋体"/>
          <w:szCs w:val="21"/>
        </w:rPr>
        <w:t>中的商业和技术等秘密保密，违者应对由此造成的后果承担法律责任。</w:t>
      </w:r>
    </w:p>
    <w:p>
      <w:pPr>
        <w:pStyle w:val="4"/>
        <w:spacing w:line="440" w:lineRule="exact"/>
        <w:ind w:firstLine="422" w:firstLineChars="200"/>
        <w:jc w:val="left"/>
        <w:rPr>
          <w:rFonts w:ascii="宋体" w:hAnsi="宋体" w:cs="宋体"/>
          <w:sz w:val="21"/>
          <w:szCs w:val="21"/>
        </w:rPr>
      </w:pPr>
      <w:bookmarkStart w:id="32" w:name="_Toc369608003"/>
      <w:bookmarkStart w:id="33" w:name="_Toc432367708"/>
      <w:bookmarkStart w:id="34" w:name="_Toc24656"/>
      <w:r>
        <w:rPr>
          <w:rFonts w:hint="eastAsia" w:ascii="宋体" w:hAnsi="宋体" w:cs="宋体"/>
          <w:sz w:val="21"/>
          <w:szCs w:val="21"/>
        </w:rPr>
        <w:t>1.7 语言文字</w:t>
      </w:r>
      <w:bookmarkEnd w:id="32"/>
      <w:bookmarkEnd w:id="33"/>
      <w:bookmarkEnd w:id="34"/>
    </w:p>
    <w:p>
      <w:pPr>
        <w:spacing w:line="440" w:lineRule="exact"/>
        <w:ind w:firstLine="420" w:firstLineChars="200"/>
        <w:jc w:val="left"/>
        <w:rPr>
          <w:rFonts w:ascii="宋体" w:hAnsi="宋体" w:cs="宋体"/>
          <w:szCs w:val="21"/>
        </w:rPr>
      </w:pPr>
      <w:r>
        <w:rPr>
          <w:rFonts w:hint="eastAsia" w:ascii="宋体" w:hAnsi="宋体" w:cs="宋体"/>
          <w:szCs w:val="21"/>
        </w:rPr>
        <w:t>除专用术语外，与招标投标有关的语言均使用中文。必要时专用术语应附有中文注释。</w:t>
      </w:r>
    </w:p>
    <w:p>
      <w:pPr>
        <w:pStyle w:val="4"/>
        <w:spacing w:line="440" w:lineRule="exact"/>
        <w:ind w:firstLine="422" w:firstLineChars="200"/>
        <w:jc w:val="left"/>
        <w:rPr>
          <w:rFonts w:ascii="宋体" w:hAnsi="宋体" w:cs="宋体"/>
          <w:sz w:val="21"/>
          <w:szCs w:val="21"/>
        </w:rPr>
      </w:pPr>
      <w:bookmarkStart w:id="35" w:name="_Toc432367709"/>
      <w:bookmarkStart w:id="36" w:name="_Toc19029"/>
      <w:bookmarkStart w:id="37" w:name="_Toc369608004"/>
      <w:r>
        <w:rPr>
          <w:rFonts w:hint="eastAsia" w:ascii="宋体" w:hAnsi="宋体" w:cs="宋体"/>
          <w:sz w:val="21"/>
          <w:szCs w:val="21"/>
        </w:rPr>
        <w:t>1.8 计量单位</w:t>
      </w:r>
      <w:bookmarkEnd w:id="35"/>
      <w:bookmarkEnd w:id="36"/>
      <w:bookmarkEnd w:id="37"/>
    </w:p>
    <w:p>
      <w:pPr>
        <w:spacing w:line="440" w:lineRule="exact"/>
        <w:ind w:firstLine="420" w:firstLineChars="200"/>
        <w:jc w:val="left"/>
        <w:rPr>
          <w:rFonts w:ascii="宋体" w:hAnsi="宋体" w:cs="宋体"/>
          <w:szCs w:val="21"/>
        </w:rPr>
      </w:pPr>
      <w:r>
        <w:rPr>
          <w:rFonts w:hint="eastAsia" w:ascii="宋体" w:hAnsi="宋体" w:cs="宋体"/>
          <w:szCs w:val="21"/>
        </w:rPr>
        <w:t>所有计量均采用中华人民共和国法定计量单位。</w:t>
      </w:r>
    </w:p>
    <w:p>
      <w:pPr>
        <w:pStyle w:val="4"/>
        <w:spacing w:line="440" w:lineRule="exact"/>
        <w:ind w:firstLine="422" w:firstLineChars="200"/>
        <w:jc w:val="left"/>
        <w:rPr>
          <w:rFonts w:ascii="宋体" w:hAnsi="宋体" w:cs="宋体"/>
          <w:sz w:val="21"/>
          <w:szCs w:val="21"/>
        </w:rPr>
      </w:pPr>
      <w:bookmarkStart w:id="38" w:name="_Toc20940"/>
      <w:bookmarkStart w:id="39" w:name="_Toc369608005"/>
      <w:bookmarkStart w:id="40" w:name="_Toc432367710"/>
      <w:r>
        <w:rPr>
          <w:rFonts w:hint="eastAsia" w:ascii="宋体" w:hAnsi="宋体" w:cs="宋体"/>
          <w:sz w:val="21"/>
          <w:szCs w:val="21"/>
        </w:rPr>
        <w:t>1.9 踏勘现场</w:t>
      </w:r>
      <w:bookmarkEnd w:id="38"/>
      <w:bookmarkEnd w:id="39"/>
      <w:bookmarkEnd w:id="40"/>
    </w:p>
    <w:p>
      <w:pPr>
        <w:pStyle w:val="4"/>
        <w:spacing w:line="440" w:lineRule="exact"/>
        <w:ind w:firstLine="420" w:firstLineChars="200"/>
        <w:jc w:val="left"/>
        <w:rPr>
          <w:rFonts w:ascii="宋体" w:hAnsi="宋体" w:cs="宋体"/>
          <w:b w:val="0"/>
          <w:sz w:val="21"/>
          <w:szCs w:val="21"/>
        </w:rPr>
      </w:pPr>
      <w:bookmarkStart w:id="41" w:name="_Toc432367711"/>
      <w:bookmarkStart w:id="42" w:name="_Toc369608006"/>
      <w:bookmarkStart w:id="43" w:name="_Toc18114"/>
      <w:r>
        <w:rPr>
          <w:rFonts w:hint="eastAsia" w:ascii="宋体" w:hAnsi="宋体" w:cs="宋体"/>
          <w:b w:val="0"/>
          <w:sz w:val="21"/>
          <w:szCs w:val="21"/>
        </w:rPr>
        <w:t>不组织</w:t>
      </w:r>
    </w:p>
    <w:p>
      <w:pPr>
        <w:pStyle w:val="4"/>
        <w:spacing w:line="440" w:lineRule="exact"/>
        <w:ind w:firstLine="422" w:firstLineChars="200"/>
        <w:jc w:val="left"/>
        <w:rPr>
          <w:rFonts w:ascii="宋体" w:hAnsi="宋体" w:cs="宋体"/>
          <w:sz w:val="21"/>
          <w:szCs w:val="21"/>
        </w:rPr>
      </w:pPr>
      <w:r>
        <w:rPr>
          <w:rFonts w:hint="eastAsia" w:ascii="宋体" w:hAnsi="宋体" w:cs="宋体"/>
          <w:sz w:val="21"/>
          <w:szCs w:val="21"/>
        </w:rPr>
        <w:t>1.10 投标预备会</w:t>
      </w:r>
      <w:bookmarkEnd w:id="41"/>
      <w:bookmarkEnd w:id="42"/>
      <w:bookmarkEnd w:id="43"/>
    </w:p>
    <w:p>
      <w:pPr>
        <w:pStyle w:val="4"/>
        <w:spacing w:line="440" w:lineRule="exact"/>
        <w:ind w:firstLine="420" w:firstLineChars="200"/>
        <w:jc w:val="left"/>
        <w:rPr>
          <w:rFonts w:ascii="宋体" w:hAnsi="宋体" w:cs="宋体"/>
          <w:b w:val="0"/>
          <w:sz w:val="21"/>
          <w:szCs w:val="21"/>
        </w:rPr>
      </w:pPr>
      <w:bookmarkStart w:id="44" w:name="_Toc29176"/>
      <w:bookmarkStart w:id="45" w:name="_Toc432367712"/>
      <w:bookmarkStart w:id="46" w:name="_Toc369608007"/>
      <w:r>
        <w:rPr>
          <w:rFonts w:hint="eastAsia" w:ascii="宋体" w:hAnsi="宋体" w:cs="宋体"/>
          <w:b w:val="0"/>
          <w:sz w:val="21"/>
          <w:szCs w:val="21"/>
        </w:rPr>
        <w:t>不召开</w:t>
      </w:r>
    </w:p>
    <w:p>
      <w:pPr>
        <w:pStyle w:val="4"/>
        <w:spacing w:line="440" w:lineRule="exact"/>
        <w:ind w:firstLine="422" w:firstLineChars="200"/>
        <w:jc w:val="left"/>
        <w:rPr>
          <w:rFonts w:ascii="宋体" w:hAnsi="宋体" w:cs="宋体"/>
          <w:sz w:val="21"/>
          <w:szCs w:val="21"/>
        </w:rPr>
      </w:pPr>
      <w:r>
        <w:rPr>
          <w:rFonts w:hint="eastAsia" w:ascii="宋体" w:hAnsi="宋体" w:cs="宋体"/>
          <w:sz w:val="21"/>
          <w:szCs w:val="21"/>
        </w:rPr>
        <w:t>1.11 分包</w:t>
      </w:r>
      <w:bookmarkEnd w:id="44"/>
      <w:bookmarkEnd w:id="45"/>
      <w:bookmarkEnd w:id="46"/>
    </w:p>
    <w:p>
      <w:pPr>
        <w:spacing w:line="440" w:lineRule="exact"/>
        <w:ind w:firstLine="420" w:firstLineChars="200"/>
        <w:jc w:val="left"/>
        <w:rPr>
          <w:rFonts w:ascii="宋体" w:hAnsi="宋体" w:cs="宋体"/>
          <w:szCs w:val="21"/>
        </w:rPr>
      </w:pPr>
      <w:r>
        <w:rPr>
          <w:rFonts w:hint="eastAsia" w:ascii="宋体" w:hAnsi="宋体" w:cs="宋体"/>
          <w:szCs w:val="21"/>
        </w:rPr>
        <w:t>1.11.1</w:t>
      </w:r>
      <w:r>
        <w:rPr>
          <w:rFonts w:hint="eastAsia" w:ascii="宋体" w:hAnsi="宋体" w:cs="宋体"/>
          <w:szCs w:val="21"/>
          <w:lang w:eastAsia="zh-CN"/>
        </w:rPr>
        <w:t>交易响应单位</w:t>
      </w:r>
      <w:r>
        <w:rPr>
          <w:rFonts w:hint="eastAsia" w:ascii="宋体" w:hAnsi="宋体" w:cs="宋体"/>
          <w:szCs w:val="21"/>
        </w:rPr>
        <w:t>拟在中标后将中标项目的部分非主体、非关键性工作进行分包的， 应符合以下规定：</w:t>
      </w:r>
    </w:p>
    <w:p>
      <w:pPr>
        <w:spacing w:line="440" w:lineRule="exact"/>
        <w:ind w:firstLine="420" w:firstLineChars="200"/>
        <w:jc w:val="left"/>
        <w:rPr>
          <w:rFonts w:ascii="宋体" w:hAnsi="宋体" w:cs="宋体"/>
          <w:szCs w:val="21"/>
        </w:rPr>
      </w:pPr>
      <w:r>
        <w:rPr>
          <w:rFonts w:hint="eastAsia" w:ascii="宋体" w:hAnsi="宋体" w:cs="宋体"/>
          <w:szCs w:val="21"/>
        </w:rPr>
        <w:t>（1）分包内容要求：允许分包的工程范围仅限于非关键性工程或适合专业化队伍施工的专项工程。招标人允许分包或不允许分包的专项工程（如有）应在</w:t>
      </w:r>
      <w:r>
        <w:rPr>
          <w:rFonts w:hint="eastAsia" w:ascii="宋体" w:hAnsi="宋体" w:cs="宋体"/>
          <w:szCs w:val="21"/>
          <w:lang w:eastAsia="zh-CN"/>
        </w:rPr>
        <w:t>交易须知</w:t>
      </w:r>
      <w:r>
        <w:rPr>
          <w:rFonts w:hint="eastAsia" w:ascii="宋体" w:hAnsi="宋体" w:cs="宋体"/>
          <w:szCs w:val="21"/>
        </w:rPr>
        <w:t>前附表中载明。</w:t>
      </w:r>
    </w:p>
    <w:p>
      <w:pPr>
        <w:spacing w:line="440" w:lineRule="exact"/>
        <w:ind w:firstLine="420" w:firstLineChars="200"/>
        <w:jc w:val="left"/>
        <w:rPr>
          <w:rFonts w:ascii="宋体" w:hAnsi="宋体" w:cs="宋体"/>
          <w:szCs w:val="21"/>
        </w:rPr>
      </w:pPr>
      <w:r>
        <w:rPr>
          <w:rFonts w:hint="eastAsia" w:ascii="宋体" w:hAnsi="宋体" w:cs="宋体"/>
          <w:szCs w:val="21"/>
        </w:rPr>
        <w:t>（2）接受分包的第三人资格要求：分包人的资格能力应与其分包工程的标准和规模相适应，且具备</w:t>
      </w:r>
      <w:r>
        <w:rPr>
          <w:rFonts w:hint="eastAsia" w:ascii="宋体" w:hAnsi="宋体" w:cs="宋体"/>
          <w:szCs w:val="21"/>
          <w:lang w:eastAsia="zh-CN"/>
        </w:rPr>
        <w:t>交易须知</w:t>
      </w:r>
      <w:r>
        <w:rPr>
          <w:rFonts w:hint="eastAsia" w:ascii="宋体" w:hAnsi="宋体" w:cs="宋体"/>
          <w:szCs w:val="21"/>
        </w:rPr>
        <w:t>前附表中规定的资格条件。</w:t>
      </w:r>
    </w:p>
    <w:p>
      <w:pPr>
        <w:spacing w:line="440" w:lineRule="exact"/>
        <w:ind w:firstLine="420" w:firstLineChars="200"/>
        <w:jc w:val="left"/>
        <w:rPr>
          <w:rFonts w:ascii="宋体" w:hAnsi="宋体" w:cs="宋体"/>
          <w:szCs w:val="21"/>
        </w:rPr>
      </w:pPr>
      <w:r>
        <w:rPr>
          <w:rFonts w:hint="eastAsia" w:ascii="宋体" w:hAnsi="宋体" w:cs="宋体"/>
          <w:szCs w:val="21"/>
        </w:rPr>
        <w:t>（3）其他要求：</w:t>
      </w:r>
      <w:r>
        <w:rPr>
          <w:rFonts w:hint="eastAsia" w:ascii="宋体" w:hAnsi="宋体" w:cs="宋体"/>
          <w:szCs w:val="21"/>
          <w:lang w:eastAsia="zh-CN"/>
        </w:rPr>
        <w:t>交易响应单位</w:t>
      </w:r>
      <w:r>
        <w:rPr>
          <w:rFonts w:hint="eastAsia" w:ascii="宋体" w:hAnsi="宋体" w:cs="宋体"/>
          <w:szCs w:val="21"/>
        </w:rPr>
        <w:t>如有分包计划，应按第九章“</w:t>
      </w:r>
      <w:r>
        <w:rPr>
          <w:rFonts w:hint="eastAsia" w:ascii="宋体" w:hAnsi="宋体" w:cs="宋体"/>
          <w:szCs w:val="21"/>
          <w:lang w:eastAsia="zh-CN"/>
        </w:rPr>
        <w:t>交易响应文件</w:t>
      </w:r>
      <w:r>
        <w:rPr>
          <w:rFonts w:hint="eastAsia" w:ascii="宋体" w:hAnsi="宋体" w:cs="宋体"/>
          <w:szCs w:val="21"/>
        </w:rPr>
        <w:t>格式”的要求填写“拟分包项目情况表”，明确拟分包的工程及规模，且</w:t>
      </w:r>
      <w:r>
        <w:rPr>
          <w:rFonts w:hint="eastAsia" w:ascii="宋体" w:hAnsi="宋体" w:cs="宋体"/>
          <w:szCs w:val="21"/>
          <w:lang w:eastAsia="zh-CN"/>
        </w:rPr>
        <w:t>交易响应单位</w:t>
      </w:r>
      <w:r>
        <w:rPr>
          <w:rFonts w:hint="eastAsia" w:ascii="宋体" w:hAnsi="宋体" w:cs="宋体"/>
          <w:szCs w:val="21"/>
        </w:rPr>
        <w:t>中标后的分包应满足合同条款第 4.3 款的相关要求。</w:t>
      </w:r>
    </w:p>
    <w:p>
      <w:pPr>
        <w:spacing w:line="440" w:lineRule="exact"/>
        <w:ind w:firstLine="420" w:firstLineChars="200"/>
        <w:jc w:val="left"/>
        <w:rPr>
          <w:rFonts w:ascii="宋体" w:hAnsi="宋体" w:cs="宋体"/>
          <w:szCs w:val="21"/>
        </w:rPr>
      </w:pPr>
      <w:r>
        <w:rPr>
          <w:rFonts w:hint="eastAsia" w:ascii="宋体" w:hAnsi="宋体" w:cs="宋体"/>
          <w:szCs w:val="21"/>
        </w:rPr>
        <w:t>1.11.2中标人不得向他人转让中标项目，接受分包的人不得再次分包。中标人应就分包项目向招标人负责，接受分包的人就分包项目承担连带责任。</w:t>
      </w:r>
    </w:p>
    <w:p>
      <w:pPr>
        <w:pStyle w:val="4"/>
        <w:spacing w:line="440" w:lineRule="exact"/>
        <w:ind w:firstLine="422" w:firstLineChars="200"/>
        <w:jc w:val="left"/>
        <w:rPr>
          <w:rFonts w:ascii="宋体" w:hAnsi="宋体" w:cs="宋体"/>
          <w:sz w:val="21"/>
          <w:szCs w:val="21"/>
          <w:vertAlign w:val="superscript"/>
        </w:rPr>
      </w:pPr>
      <w:bookmarkStart w:id="47" w:name="_Toc432367713"/>
      <w:bookmarkStart w:id="48" w:name="_Toc369608008"/>
      <w:bookmarkStart w:id="49" w:name="_Toc3454"/>
      <w:r>
        <w:rPr>
          <w:rFonts w:hint="eastAsia" w:ascii="宋体" w:hAnsi="宋体" w:cs="宋体"/>
          <w:sz w:val="21"/>
          <w:szCs w:val="21"/>
        </w:rPr>
        <w:t>1.12 响应和偏离</w:t>
      </w:r>
      <w:bookmarkEnd w:id="47"/>
      <w:bookmarkEnd w:id="48"/>
      <w:bookmarkEnd w:id="49"/>
    </w:p>
    <w:p>
      <w:pPr>
        <w:spacing w:line="440" w:lineRule="exact"/>
        <w:ind w:firstLine="420" w:firstLineChars="200"/>
        <w:jc w:val="left"/>
        <w:rPr>
          <w:rFonts w:ascii="宋体" w:hAnsi="宋体" w:cs="宋体"/>
          <w:szCs w:val="21"/>
        </w:rPr>
      </w:pPr>
      <w:r>
        <w:rPr>
          <w:rFonts w:hint="eastAsia" w:ascii="宋体" w:hAnsi="宋体" w:cs="宋体"/>
          <w:szCs w:val="21"/>
        </w:rPr>
        <w:t>1.12.1</w:t>
      </w:r>
      <w:r>
        <w:rPr>
          <w:rFonts w:hint="eastAsia" w:ascii="宋体" w:hAnsi="宋体" w:cs="宋体"/>
          <w:szCs w:val="21"/>
          <w:lang w:eastAsia="zh-CN"/>
        </w:rPr>
        <w:t>交易响应文件</w:t>
      </w:r>
      <w:r>
        <w:rPr>
          <w:rFonts w:hint="eastAsia" w:ascii="宋体" w:hAnsi="宋体" w:cs="宋体"/>
          <w:szCs w:val="21"/>
        </w:rPr>
        <w:t>偏离</w:t>
      </w:r>
      <w:r>
        <w:rPr>
          <w:rFonts w:hint="eastAsia" w:ascii="宋体" w:hAnsi="宋体" w:cs="宋体"/>
          <w:szCs w:val="21"/>
          <w:lang w:eastAsia="zh-CN"/>
        </w:rPr>
        <w:t>交易文件</w:t>
      </w:r>
      <w:r>
        <w:rPr>
          <w:rFonts w:hint="eastAsia" w:ascii="宋体" w:hAnsi="宋体" w:cs="宋体"/>
          <w:szCs w:val="21"/>
        </w:rPr>
        <w:t>某些要求，视为</w:t>
      </w:r>
      <w:r>
        <w:rPr>
          <w:rFonts w:hint="eastAsia" w:ascii="宋体" w:hAnsi="宋体" w:cs="宋体"/>
          <w:szCs w:val="21"/>
          <w:lang w:eastAsia="zh-CN"/>
        </w:rPr>
        <w:t>交易响应文件</w:t>
      </w:r>
      <w:r>
        <w:rPr>
          <w:rFonts w:hint="eastAsia" w:ascii="宋体" w:hAnsi="宋体" w:cs="宋体"/>
          <w:szCs w:val="21"/>
        </w:rPr>
        <w:t>存在偏差。偏差包括重大偏差和细微偏差。</w:t>
      </w:r>
    </w:p>
    <w:p>
      <w:pPr>
        <w:spacing w:line="440" w:lineRule="exact"/>
        <w:ind w:firstLine="420" w:firstLineChars="200"/>
        <w:jc w:val="left"/>
        <w:rPr>
          <w:rFonts w:ascii="宋体" w:hAnsi="宋体" w:cs="宋体"/>
          <w:szCs w:val="21"/>
        </w:rPr>
      </w:pPr>
      <w:r>
        <w:rPr>
          <w:rFonts w:hint="eastAsia" w:ascii="宋体" w:hAnsi="宋体" w:cs="宋体"/>
          <w:szCs w:val="21"/>
        </w:rPr>
        <w:t>1.12.2</w:t>
      </w:r>
      <w:r>
        <w:rPr>
          <w:rFonts w:hint="eastAsia" w:ascii="宋体" w:hAnsi="宋体" w:cs="宋体"/>
          <w:szCs w:val="21"/>
          <w:lang w:eastAsia="zh-CN"/>
        </w:rPr>
        <w:t>交易响应文件</w:t>
      </w:r>
      <w:r>
        <w:rPr>
          <w:rFonts w:hint="eastAsia" w:ascii="宋体" w:hAnsi="宋体" w:cs="宋体"/>
          <w:szCs w:val="21"/>
        </w:rPr>
        <w:t>应对</w:t>
      </w:r>
      <w:r>
        <w:rPr>
          <w:rFonts w:hint="eastAsia" w:ascii="宋体" w:hAnsi="宋体" w:cs="宋体"/>
          <w:szCs w:val="21"/>
          <w:lang w:eastAsia="zh-CN"/>
        </w:rPr>
        <w:t>交易文件</w:t>
      </w:r>
      <w:r>
        <w:rPr>
          <w:rFonts w:hint="eastAsia" w:ascii="宋体" w:hAnsi="宋体" w:cs="宋体"/>
          <w:szCs w:val="21"/>
        </w:rPr>
        <w:t>的实质性要求和条件作出满足性或更有利于招标人的响应，否则，视为</w:t>
      </w:r>
      <w:r>
        <w:rPr>
          <w:rFonts w:hint="eastAsia" w:ascii="宋体" w:hAnsi="宋体" w:cs="宋体"/>
          <w:szCs w:val="21"/>
          <w:lang w:eastAsia="zh-CN"/>
        </w:rPr>
        <w:t>交易响应文件</w:t>
      </w:r>
      <w:r>
        <w:rPr>
          <w:rFonts w:hint="eastAsia" w:ascii="宋体" w:hAnsi="宋体" w:cs="宋体"/>
          <w:szCs w:val="21"/>
        </w:rPr>
        <w:t>存在重大偏差，</w:t>
      </w:r>
      <w:r>
        <w:rPr>
          <w:rFonts w:hint="eastAsia" w:ascii="宋体" w:hAnsi="宋体" w:cs="宋体"/>
          <w:szCs w:val="21"/>
          <w:lang w:eastAsia="zh-CN"/>
        </w:rPr>
        <w:t>交易响应单位</w:t>
      </w:r>
      <w:r>
        <w:rPr>
          <w:rFonts w:hint="eastAsia" w:ascii="宋体" w:hAnsi="宋体" w:cs="宋体"/>
          <w:szCs w:val="21"/>
        </w:rPr>
        <w:t>的投标将被否决。</w:t>
      </w:r>
    </w:p>
    <w:p>
      <w:pPr>
        <w:spacing w:line="440" w:lineRule="exact"/>
        <w:ind w:firstLine="420" w:firstLineChars="200"/>
        <w:jc w:val="left"/>
        <w:rPr>
          <w:rFonts w:ascii="宋体" w:hAnsi="宋体" w:cs="宋体"/>
          <w:szCs w:val="21"/>
        </w:rPr>
      </w:pPr>
      <w:r>
        <w:rPr>
          <w:rFonts w:hint="eastAsia" w:ascii="宋体" w:hAnsi="宋体" w:cs="宋体"/>
          <w:szCs w:val="21"/>
          <w:lang w:eastAsia="zh-CN"/>
        </w:rPr>
        <w:t>交易响应文件</w:t>
      </w:r>
      <w:r>
        <w:rPr>
          <w:rFonts w:hint="eastAsia" w:ascii="宋体" w:hAnsi="宋体" w:cs="宋体"/>
          <w:szCs w:val="21"/>
        </w:rPr>
        <w:t>存在第三章“评标办法”中所列任一否决投标情形的，均属于存在重大偏差。</w:t>
      </w:r>
    </w:p>
    <w:p>
      <w:pPr>
        <w:spacing w:line="440" w:lineRule="exact"/>
        <w:ind w:firstLine="420" w:firstLineChars="200"/>
        <w:jc w:val="left"/>
        <w:rPr>
          <w:rFonts w:ascii="宋体" w:hAnsi="宋体" w:cs="宋体"/>
          <w:szCs w:val="21"/>
        </w:rPr>
      </w:pPr>
      <w:r>
        <w:rPr>
          <w:rFonts w:hint="eastAsia" w:ascii="宋体" w:hAnsi="宋体" w:cs="宋体"/>
          <w:szCs w:val="21"/>
        </w:rPr>
        <w:t>1.12.3</w:t>
      </w:r>
      <w:r>
        <w:rPr>
          <w:rFonts w:hint="eastAsia" w:ascii="宋体" w:hAnsi="宋体" w:cs="宋体"/>
          <w:szCs w:val="21"/>
          <w:lang w:eastAsia="zh-CN"/>
        </w:rPr>
        <w:t>交易响应文件</w:t>
      </w:r>
      <w:r>
        <w:rPr>
          <w:rFonts w:hint="eastAsia" w:ascii="宋体" w:hAnsi="宋体" w:cs="宋体"/>
          <w:szCs w:val="21"/>
        </w:rPr>
        <w:t>中的下列偏差为细微偏差：</w:t>
      </w:r>
    </w:p>
    <w:p>
      <w:pPr>
        <w:spacing w:line="440" w:lineRule="exact"/>
        <w:ind w:firstLine="420" w:firstLineChars="200"/>
        <w:jc w:val="left"/>
        <w:rPr>
          <w:rFonts w:ascii="宋体" w:hAnsi="宋体" w:cs="宋体"/>
          <w:szCs w:val="21"/>
        </w:rPr>
      </w:pPr>
      <w:r>
        <w:rPr>
          <w:rFonts w:hint="eastAsia" w:ascii="宋体" w:hAnsi="宋体" w:cs="宋体"/>
          <w:szCs w:val="21"/>
        </w:rPr>
        <w:t>（1）在按照第三章“评标办法”的规定对投标价进行算术性错误修正及其他错误修正后，最终投标报价未超过最高投标限价（如有）的情况下，出现第三章“评标办法”规定的算术性错误和投标报价的其他错误；</w:t>
      </w:r>
    </w:p>
    <w:p>
      <w:pPr>
        <w:spacing w:line="440" w:lineRule="exact"/>
        <w:ind w:firstLine="420" w:firstLineChars="200"/>
        <w:jc w:val="left"/>
        <w:rPr>
          <w:rFonts w:ascii="宋体" w:hAnsi="宋体" w:cs="宋体"/>
          <w:szCs w:val="21"/>
        </w:rPr>
      </w:pPr>
      <w:r>
        <w:rPr>
          <w:rFonts w:hint="eastAsia" w:ascii="宋体" w:hAnsi="宋体" w:cs="宋体"/>
          <w:szCs w:val="21"/>
        </w:rPr>
        <w:t>（2）施工组织设计（含关键工程技术方案）和项目管理机构不够完善；</w:t>
      </w:r>
    </w:p>
    <w:p>
      <w:pPr>
        <w:spacing w:line="440" w:lineRule="exact"/>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lang w:eastAsia="zh-CN"/>
        </w:rPr>
        <w:t>交易响应文件</w:t>
      </w:r>
      <w:r>
        <w:rPr>
          <w:rFonts w:hint="eastAsia" w:ascii="宋体" w:hAnsi="宋体" w:cs="宋体"/>
          <w:szCs w:val="21"/>
        </w:rPr>
        <w:t>页码不连续、采用活页夹装订、个别文字有遗漏错误等不影响</w:t>
      </w:r>
      <w:r>
        <w:rPr>
          <w:rFonts w:hint="eastAsia" w:ascii="宋体" w:hAnsi="宋体" w:cs="宋体"/>
          <w:szCs w:val="21"/>
          <w:lang w:eastAsia="zh-CN"/>
        </w:rPr>
        <w:t>交易响应文件</w:t>
      </w:r>
      <w:r>
        <w:rPr>
          <w:rFonts w:hint="eastAsia" w:ascii="宋体" w:hAnsi="宋体" w:cs="宋体"/>
          <w:szCs w:val="21"/>
        </w:rPr>
        <w:t>实质性内容的偏差。</w:t>
      </w:r>
    </w:p>
    <w:p>
      <w:pPr>
        <w:spacing w:line="440" w:lineRule="exact"/>
        <w:ind w:firstLine="420" w:firstLineChars="200"/>
        <w:jc w:val="left"/>
        <w:rPr>
          <w:rFonts w:ascii="宋体" w:hAnsi="宋体" w:cs="宋体"/>
          <w:szCs w:val="21"/>
        </w:rPr>
      </w:pPr>
      <w:r>
        <w:rPr>
          <w:rFonts w:hint="eastAsia" w:ascii="宋体" w:hAnsi="宋体" w:cs="宋体"/>
          <w:szCs w:val="21"/>
        </w:rPr>
        <w:t>1.12.4评标委员会对</w:t>
      </w:r>
      <w:r>
        <w:rPr>
          <w:rFonts w:hint="eastAsia" w:ascii="宋体" w:hAnsi="宋体" w:cs="宋体"/>
          <w:szCs w:val="21"/>
          <w:lang w:eastAsia="zh-CN"/>
        </w:rPr>
        <w:t>交易响应文件</w:t>
      </w:r>
      <w:r>
        <w:rPr>
          <w:rFonts w:hint="eastAsia" w:ascii="宋体" w:hAnsi="宋体" w:cs="宋体"/>
          <w:szCs w:val="21"/>
        </w:rPr>
        <w:t>中的细微偏差按如下规定处理：</w:t>
      </w:r>
    </w:p>
    <w:p>
      <w:pPr>
        <w:spacing w:line="440" w:lineRule="exact"/>
        <w:ind w:firstLine="420" w:firstLineChars="200"/>
        <w:jc w:val="left"/>
        <w:rPr>
          <w:rFonts w:ascii="宋体" w:hAnsi="宋体" w:cs="宋体"/>
          <w:szCs w:val="21"/>
        </w:rPr>
      </w:pPr>
      <w:r>
        <w:rPr>
          <w:rFonts w:hint="eastAsia" w:ascii="宋体" w:hAnsi="宋体" w:cs="宋体"/>
          <w:szCs w:val="21"/>
        </w:rPr>
        <w:t>（1）对于本章第 1.12.3 项（1）目所述的细微偏差，按照第三章“评标办法”的规定予以修正并要求</w:t>
      </w:r>
      <w:r>
        <w:rPr>
          <w:rFonts w:hint="eastAsia" w:ascii="宋体" w:hAnsi="宋体" w:cs="宋体"/>
          <w:szCs w:val="21"/>
          <w:lang w:eastAsia="zh-CN"/>
        </w:rPr>
        <w:t>交易响应单位</w:t>
      </w:r>
      <w:r>
        <w:rPr>
          <w:rFonts w:hint="eastAsia" w:ascii="宋体" w:hAnsi="宋体" w:cs="宋体"/>
          <w:szCs w:val="21"/>
        </w:rPr>
        <w:t>进行澄清；</w:t>
      </w:r>
    </w:p>
    <w:p>
      <w:pPr>
        <w:spacing w:line="440" w:lineRule="exact"/>
        <w:ind w:firstLine="420" w:firstLineChars="200"/>
        <w:jc w:val="left"/>
        <w:rPr>
          <w:rFonts w:ascii="宋体" w:hAnsi="宋体" w:cs="宋体"/>
          <w:szCs w:val="21"/>
        </w:rPr>
      </w:pPr>
      <w:r>
        <w:rPr>
          <w:rFonts w:hint="eastAsia" w:ascii="宋体" w:hAnsi="宋体" w:cs="宋体"/>
          <w:szCs w:val="21"/>
        </w:rPr>
        <w:t>（2）对于本章第 1.12.3 项（2）目所述的细微偏差，如果采用合理低价法或经评审的最低投标价法评标，应要求</w:t>
      </w:r>
      <w:r>
        <w:rPr>
          <w:rFonts w:hint="eastAsia" w:ascii="宋体" w:hAnsi="宋体" w:cs="宋体"/>
          <w:szCs w:val="21"/>
          <w:lang w:eastAsia="zh-CN"/>
        </w:rPr>
        <w:t>交易响应单位</w:t>
      </w:r>
      <w:r>
        <w:rPr>
          <w:rFonts w:hint="eastAsia" w:ascii="宋体" w:hAnsi="宋体" w:cs="宋体"/>
          <w:szCs w:val="21"/>
        </w:rPr>
        <w:t>对细微偏差进行澄清，只有</w:t>
      </w:r>
      <w:r>
        <w:rPr>
          <w:rFonts w:hint="eastAsia" w:ascii="宋体" w:hAnsi="宋体" w:cs="宋体"/>
          <w:szCs w:val="21"/>
          <w:lang w:eastAsia="zh-CN"/>
        </w:rPr>
        <w:t>交易响应单位</w:t>
      </w:r>
      <w:r>
        <w:rPr>
          <w:rFonts w:hint="eastAsia" w:ascii="宋体" w:hAnsi="宋体" w:cs="宋体"/>
          <w:szCs w:val="21"/>
        </w:rPr>
        <w:t>的澄清文件</w:t>
      </w:r>
      <w:r>
        <w:rPr>
          <w:rFonts w:hint="eastAsia" w:ascii="宋体" w:hAnsi="宋体" w:cs="宋体"/>
          <w:spacing w:val="-9"/>
          <w:szCs w:val="21"/>
        </w:rPr>
        <w:t>被评标委员会接受，</w:t>
      </w:r>
      <w:r>
        <w:rPr>
          <w:rFonts w:hint="eastAsia" w:ascii="宋体" w:hAnsi="宋体" w:cs="宋体"/>
          <w:spacing w:val="-9"/>
          <w:szCs w:val="21"/>
          <w:lang w:eastAsia="zh-CN"/>
        </w:rPr>
        <w:t>交易响应单位</w:t>
      </w:r>
      <w:r>
        <w:rPr>
          <w:rFonts w:hint="eastAsia" w:ascii="宋体" w:hAnsi="宋体" w:cs="宋体"/>
          <w:spacing w:val="-9"/>
          <w:szCs w:val="21"/>
        </w:rPr>
        <w:t>才能参加评标价的最终评比。如果采用技术评分最低标价</w:t>
      </w:r>
      <w:r>
        <w:rPr>
          <w:rFonts w:hint="eastAsia" w:ascii="宋体" w:hAnsi="宋体" w:cs="宋体"/>
          <w:szCs w:val="21"/>
        </w:rPr>
        <w:t>法或综合评分法评标，可在相关评分因素的评分中酌情扣分；</w:t>
      </w:r>
    </w:p>
    <w:p>
      <w:pPr>
        <w:spacing w:line="440" w:lineRule="exact"/>
        <w:ind w:firstLine="420" w:firstLineChars="200"/>
        <w:jc w:val="left"/>
        <w:rPr>
          <w:rFonts w:ascii="宋体" w:hAnsi="宋体" w:cs="宋体"/>
          <w:szCs w:val="21"/>
        </w:rPr>
      </w:pPr>
      <w:r>
        <w:rPr>
          <w:rFonts w:hint="eastAsia" w:ascii="宋体" w:hAnsi="宋体" w:cs="宋体"/>
          <w:szCs w:val="21"/>
        </w:rPr>
        <w:t>（3）对于本章第 1.12.3 项（3）目所述的细微偏差，可要求</w:t>
      </w:r>
      <w:r>
        <w:rPr>
          <w:rFonts w:hint="eastAsia" w:ascii="宋体" w:hAnsi="宋体" w:cs="宋体"/>
          <w:szCs w:val="21"/>
          <w:lang w:eastAsia="zh-CN"/>
        </w:rPr>
        <w:t>交易响应单位</w:t>
      </w:r>
      <w:r>
        <w:rPr>
          <w:rFonts w:hint="eastAsia" w:ascii="宋体" w:hAnsi="宋体" w:cs="宋体"/>
          <w:szCs w:val="21"/>
        </w:rPr>
        <w:t>对细微偏差进行澄清。</w:t>
      </w:r>
    </w:p>
    <w:p>
      <w:pPr>
        <w:spacing w:line="440" w:lineRule="exact"/>
        <w:ind w:firstLine="420" w:firstLineChars="200"/>
        <w:jc w:val="left"/>
        <w:rPr>
          <w:rFonts w:ascii="宋体" w:hAnsi="宋体" w:cs="宋体"/>
          <w:szCs w:val="21"/>
        </w:rPr>
      </w:pPr>
      <w:r>
        <w:rPr>
          <w:rFonts w:hint="eastAsia" w:ascii="宋体" w:hAnsi="宋体" w:cs="宋体"/>
          <w:szCs w:val="21"/>
        </w:rPr>
        <w:t>1.12.5</w:t>
      </w:r>
      <w:r>
        <w:rPr>
          <w:rFonts w:hint="eastAsia" w:ascii="宋体" w:hAnsi="宋体" w:cs="宋体"/>
          <w:szCs w:val="21"/>
          <w:lang w:eastAsia="zh-CN"/>
        </w:rPr>
        <w:t>交易响应单位</w:t>
      </w:r>
      <w:r>
        <w:rPr>
          <w:rFonts w:hint="eastAsia" w:ascii="宋体" w:hAnsi="宋体" w:cs="宋体"/>
          <w:szCs w:val="21"/>
        </w:rPr>
        <w:t>应根据</w:t>
      </w:r>
      <w:r>
        <w:rPr>
          <w:rFonts w:hint="eastAsia" w:ascii="宋体" w:hAnsi="宋体" w:cs="宋体"/>
          <w:szCs w:val="21"/>
          <w:lang w:eastAsia="zh-CN"/>
        </w:rPr>
        <w:t>交易文件</w:t>
      </w:r>
      <w:r>
        <w:rPr>
          <w:rFonts w:hint="eastAsia" w:ascii="宋体" w:hAnsi="宋体" w:cs="宋体"/>
          <w:szCs w:val="21"/>
        </w:rPr>
        <w:t>的要求提供施工组织设计等内容以对</w:t>
      </w:r>
      <w:r>
        <w:rPr>
          <w:rFonts w:hint="eastAsia" w:ascii="宋体" w:hAnsi="宋体" w:cs="宋体"/>
          <w:szCs w:val="21"/>
          <w:lang w:eastAsia="zh-CN"/>
        </w:rPr>
        <w:t>交易文件</w:t>
      </w:r>
      <w:r>
        <w:rPr>
          <w:rFonts w:hint="eastAsia" w:ascii="宋体" w:hAnsi="宋体" w:cs="宋体"/>
          <w:szCs w:val="21"/>
        </w:rPr>
        <w:t>作出响应。</w:t>
      </w:r>
    </w:p>
    <w:p>
      <w:pPr>
        <w:pStyle w:val="4"/>
        <w:spacing w:line="440" w:lineRule="exact"/>
        <w:ind w:firstLine="422" w:firstLineChars="200"/>
        <w:jc w:val="left"/>
        <w:rPr>
          <w:rFonts w:hint="eastAsia" w:ascii="宋体" w:hAnsi="宋体" w:eastAsia="宋体" w:cs="宋体"/>
          <w:sz w:val="21"/>
          <w:szCs w:val="21"/>
          <w:lang w:eastAsia="zh-CN"/>
        </w:rPr>
      </w:pPr>
      <w:r>
        <w:rPr>
          <w:rFonts w:hint="eastAsia" w:ascii="宋体" w:hAnsi="宋体" w:cs="宋体"/>
          <w:sz w:val="21"/>
          <w:szCs w:val="21"/>
        </w:rPr>
        <w:t xml:space="preserve">2. </w:t>
      </w:r>
      <w:r>
        <w:rPr>
          <w:rFonts w:hint="eastAsia" w:ascii="宋体" w:hAnsi="宋体" w:cs="宋体"/>
          <w:sz w:val="21"/>
          <w:szCs w:val="21"/>
          <w:lang w:eastAsia="zh-CN"/>
        </w:rPr>
        <w:t>交易文件</w:t>
      </w:r>
    </w:p>
    <w:p>
      <w:pPr>
        <w:pStyle w:val="4"/>
        <w:spacing w:line="440" w:lineRule="exact"/>
        <w:ind w:firstLine="422" w:firstLineChars="200"/>
        <w:jc w:val="left"/>
        <w:rPr>
          <w:rFonts w:ascii="宋体" w:hAnsi="宋体" w:cs="宋体"/>
          <w:sz w:val="21"/>
          <w:szCs w:val="21"/>
        </w:rPr>
      </w:pPr>
      <w:bookmarkStart w:id="50" w:name="_Toc432367715"/>
      <w:bookmarkStart w:id="51" w:name="_Toc14965"/>
      <w:bookmarkStart w:id="52" w:name="_Toc369608010"/>
      <w:r>
        <w:rPr>
          <w:rFonts w:hint="eastAsia" w:ascii="宋体" w:hAnsi="宋体" w:cs="宋体"/>
          <w:sz w:val="21"/>
          <w:szCs w:val="21"/>
        </w:rPr>
        <w:t xml:space="preserve">2.1 </w:t>
      </w:r>
      <w:r>
        <w:rPr>
          <w:rFonts w:hint="eastAsia" w:ascii="宋体" w:hAnsi="宋体" w:cs="宋体"/>
          <w:sz w:val="21"/>
          <w:szCs w:val="21"/>
          <w:lang w:eastAsia="zh-CN"/>
        </w:rPr>
        <w:t>交易文件</w:t>
      </w:r>
      <w:r>
        <w:rPr>
          <w:rFonts w:hint="eastAsia" w:ascii="宋体" w:hAnsi="宋体" w:cs="宋体"/>
          <w:sz w:val="21"/>
          <w:szCs w:val="21"/>
        </w:rPr>
        <w:t>的组成</w:t>
      </w:r>
      <w:bookmarkEnd w:id="50"/>
      <w:bookmarkEnd w:id="51"/>
      <w:bookmarkEnd w:id="52"/>
    </w:p>
    <w:p>
      <w:pPr>
        <w:spacing w:line="440" w:lineRule="exact"/>
        <w:ind w:firstLine="420" w:firstLineChars="200"/>
        <w:jc w:val="left"/>
        <w:rPr>
          <w:rFonts w:ascii="宋体" w:hAnsi="宋体" w:cs="宋体"/>
          <w:szCs w:val="21"/>
        </w:rPr>
      </w:pPr>
      <w:r>
        <w:rPr>
          <w:rFonts w:hint="eastAsia" w:ascii="宋体" w:hAnsi="宋体" w:cs="宋体"/>
          <w:szCs w:val="21"/>
        </w:rPr>
        <w:t>本</w:t>
      </w:r>
      <w:r>
        <w:rPr>
          <w:rFonts w:hint="eastAsia" w:ascii="宋体" w:hAnsi="宋体" w:cs="宋体"/>
          <w:szCs w:val="21"/>
          <w:lang w:eastAsia="zh-CN"/>
        </w:rPr>
        <w:t>交易文件</w:t>
      </w:r>
      <w:r>
        <w:rPr>
          <w:rFonts w:hint="eastAsia" w:ascii="宋体" w:hAnsi="宋体" w:cs="宋体"/>
          <w:szCs w:val="21"/>
        </w:rPr>
        <w:t>包括：</w:t>
      </w:r>
    </w:p>
    <w:p>
      <w:pPr>
        <w:spacing w:line="44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eastAsia="zh-CN"/>
        </w:rPr>
        <w:t>交易公告</w:t>
      </w:r>
      <w:r>
        <w:rPr>
          <w:rFonts w:hint="eastAsia" w:ascii="宋体" w:hAnsi="宋体" w:cs="宋体"/>
          <w:szCs w:val="21"/>
        </w:rPr>
        <w:t>（或投标邀请书）；</w:t>
      </w:r>
    </w:p>
    <w:p>
      <w:pPr>
        <w:spacing w:line="440" w:lineRule="exact"/>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lang w:eastAsia="zh-CN"/>
        </w:rPr>
        <w:t>交易须知</w:t>
      </w:r>
      <w:r>
        <w:rPr>
          <w:rFonts w:hint="eastAsia" w:ascii="宋体" w:hAnsi="宋体" w:cs="宋体"/>
          <w:szCs w:val="21"/>
        </w:rPr>
        <w:t>；</w:t>
      </w:r>
    </w:p>
    <w:p>
      <w:pPr>
        <w:spacing w:line="440" w:lineRule="exact"/>
        <w:ind w:firstLine="420" w:firstLineChars="200"/>
        <w:jc w:val="left"/>
        <w:rPr>
          <w:rFonts w:ascii="宋体" w:hAnsi="宋体" w:cs="宋体"/>
          <w:szCs w:val="21"/>
        </w:rPr>
      </w:pPr>
      <w:r>
        <w:rPr>
          <w:rFonts w:hint="eastAsia" w:ascii="宋体" w:hAnsi="宋体" w:cs="宋体"/>
          <w:szCs w:val="21"/>
        </w:rPr>
        <w:t>（3）评标办法；</w:t>
      </w:r>
    </w:p>
    <w:p>
      <w:pPr>
        <w:spacing w:line="440" w:lineRule="exact"/>
        <w:ind w:firstLine="420" w:firstLineChars="200"/>
        <w:jc w:val="left"/>
        <w:rPr>
          <w:rFonts w:ascii="宋体" w:hAnsi="宋体" w:cs="宋体"/>
          <w:szCs w:val="21"/>
        </w:rPr>
      </w:pPr>
      <w:r>
        <w:rPr>
          <w:rFonts w:hint="eastAsia" w:ascii="宋体" w:hAnsi="宋体" w:cs="宋体"/>
          <w:szCs w:val="21"/>
        </w:rPr>
        <w:t>（4）合同条款及格式；</w:t>
      </w:r>
    </w:p>
    <w:p>
      <w:pPr>
        <w:spacing w:line="440" w:lineRule="exact"/>
        <w:ind w:firstLine="420" w:firstLineChars="200"/>
        <w:jc w:val="left"/>
        <w:rPr>
          <w:rFonts w:ascii="宋体" w:hAnsi="宋体" w:cs="宋体"/>
          <w:szCs w:val="21"/>
        </w:rPr>
      </w:pPr>
      <w:r>
        <w:rPr>
          <w:rFonts w:hint="eastAsia" w:ascii="宋体" w:hAnsi="宋体" w:cs="宋体"/>
          <w:szCs w:val="21"/>
        </w:rPr>
        <w:t>（5）工程量清单；</w:t>
      </w:r>
    </w:p>
    <w:p>
      <w:pPr>
        <w:spacing w:line="440" w:lineRule="exact"/>
        <w:ind w:firstLine="420" w:firstLineChars="200"/>
        <w:jc w:val="left"/>
        <w:rPr>
          <w:rFonts w:ascii="宋体" w:hAnsi="宋体" w:cs="宋体"/>
          <w:szCs w:val="21"/>
        </w:rPr>
      </w:pPr>
      <w:r>
        <w:rPr>
          <w:rFonts w:hint="eastAsia" w:ascii="宋体" w:hAnsi="宋体" w:cs="宋体"/>
          <w:szCs w:val="21"/>
        </w:rPr>
        <w:t>（6）图纸；</w:t>
      </w:r>
    </w:p>
    <w:p>
      <w:pPr>
        <w:spacing w:line="440" w:lineRule="exact"/>
        <w:ind w:firstLine="420" w:firstLineChars="200"/>
        <w:jc w:val="left"/>
        <w:rPr>
          <w:rFonts w:ascii="宋体" w:hAnsi="宋体" w:cs="宋体"/>
          <w:szCs w:val="21"/>
        </w:rPr>
      </w:pPr>
      <w:r>
        <w:rPr>
          <w:rFonts w:hint="eastAsia" w:ascii="宋体" w:hAnsi="宋体" w:cs="宋体"/>
          <w:szCs w:val="21"/>
        </w:rPr>
        <w:t>（7）技术规范；</w:t>
      </w:r>
    </w:p>
    <w:p>
      <w:pPr>
        <w:spacing w:line="440" w:lineRule="exact"/>
        <w:ind w:firstLine="420" w:firstLineChars="200"/>
        <w:jc w:val="left"/>
        <w:rPr>
          <w:rFonts w:ascii="宋体" w:hAnsi="宋体" w:cs="宋体"/>
          <w:szCs w:val="21"/>
        </w:rPr>
      </w:pPr>
      <w:r>
        <w:rPr>
          <w:rFonts w:hint="eastAsia" w:ascii="宋体" w:hAnsi="宋体" w:cs="宋体"/>
          <w:szCs w:val="21"/>
        </w:rPr>
        <w:t>（8）工程量清单计量规则；</w:t>
      </w:r>
    </w:p>
    <w:p>
      <w:pPr>
        <w:spacing w:line="440" w:lineRule="exact"/>
        <w:ind w:firstLine="420" w:firstLineChars="200"/>
        <w:jc w:val="left"/>
        <w:rPr>
          <w:rFonts w:ascii="宋体" w:hAnsi="宋体" w:cs="宋体"/>
          <w:szCs w:val="21"/>
        </w:rPr>
      </w:pPr>
      <w:r>
        <w:rPr>
          <w:rFonts w:hint="eastAsia" w:ascii="宋体" w:hAnsi="宋体" w:cs="宋体"/>
          <w:szCs w:val="21"/>
        </w:rPr>
        <w:t>（9）</w:t>
      </w:r>
      <w:r>
        <w:rPr>
          <w:rFonts w:hint="eastAsia" w:ascii="宋体" w:hAnsi="宋体" w:cs="宋体"/>
          <w:szCs w:val="21"/>
          <w:lang w:eastAsia="zh-CN"/>
        </w:rPr>
        <w:t>交易响应文件</w:t>
      </w:r>
      <w:r>
        <w:rPr>
          <w:rFonts w:hint="eastAsia" w:ascii="宋体" w:hAnsi="宋体" w:cs="宋体"/>
          <w:szCs w:val="21"/>
        </w:rPr>
        <w:t>格式；</w:t>
      </w:r>
    </w:p>
    <w:p>
      <w:pPr>
        <w:spacing w:line="440" w:lineRule="exact"/>
        <w:ind w:firstLine="420" w:firstLineChars="200"/>
        <w:jc w:val="left"/>
        <w:rPr>
          <w:rFonts w:ascii="宋体" w:hAnsi="宋体" w:cs="宋体"/>
          <w:szCs w:val="21"/>
        </w:rPr>
      </w:pPr>
      <w:r>
        <w:rPr>
          <w:rFonts w:hint="eastAsia" w:ascii="宋体" w:hAnsi="宋体" w:cs="宋体"/>
          <w:szCs w:val="21"/>
        </w:rPr>
        <w:t>（10）</w:t>
      </w:r>
      <w:r>
        <w:rPr>
          <w:rFonts w:hint="eastAsia" w:ascii="宋体" w:hAnsi="宋体" w:cs="宋体"/>
          <w:szCs w:val="21"/>
          <w:lang w:eastAsia="zh-CN"/>
        </w:rPr>
        <w:t>交易须知</w:t>
      </w:r>
      <w:r>
        <w:rPr>
          <w:rFonts w:hint="eastAsia" w:ascii="宋体" w:hAnsi="宋体" w:cs="宋体"/>
          <w:szCs w:val="21"/>
        </w:rPr>
        <w:t>前附表规定的其他资料。</w:t>
      </w:r>
    </w:p>
    <w:p>
      <w:pPr>
        <w:spacing w:line="440" w:lineRule="exact"/>
        <w:ind w:firstLine="420" w:firstLineChars="200"/>
        <w:jc w:val="left"/>
        <w:rPr>
          <w:rFonts w:ascii="宋体" w:hAnsi="宋体" w:cs="宋体"/>
          <w:szCs w:val="21"/>
        </w:rPr>
      </w:pPr>
      <w:r>
        <w:rPr>
          <w:rFonts w:hint="eastAsia" w:ascii="宋体" w:hAnsi="宋体" w:cs="宋体"/>
          <w:szCs w:val="21"/>
        </w:rPr>
        <w:t>根据本章第 1.10 款、第 2.2 款和第 2.3 款对</w:t>
      </w:r>
      <w:r>
        <w:rPr>
          <w:rFonts w:hint="eastAsia" w:ascii="宋体" w:hAnsi="宋体" w:cs="宋体"/>
          <w:szCs w:val="21"/>
          <w:lang w:eastAsia="zh-CN"/>
        </w:rPr>
        <w:t>交易文件</w:t>
      </w:r>
      <w:r>
        <w:rPr>
          <w:rFonts w:hint="eastAsia" w:ascii="宋体" w:hAnsi="宋体" w:cs="宋体"/>
          <w:szCs w:val="21"/>
        </w:rPr>
        <w:t>所作的澄清、修改，构成</w:t>
      </w:r>
      <w:r>
        <w:rPr>
          <w:rFonts w:hint="eastAsia" w:ascii="宋体" w:hAnsi="宋体" w:cs="宋体"/>
          <w:szCs w:val="21"/>
          <w:lang w:eastAsia="zh-CN"/>
        </w:rPr>
        <w:t>交易文件</w:t>
      </w:r>
      <w:r>
        <w:rPr>
          <w:rFonts w:hint="eastAsia" w:ascii="宋体" w:hAnsi="宋体" w:cs="宋体"/>
          <w:szCs w:val="21"/>
        </w:rPr>
        <w:t>的组成部分。</w:t>
      </w:r>
    </w:p>
    <w:p>
      <w:pPr>
        <w:spacing w:line="440" w:lineRule="exact"/>
        <w:ind w:firstLine="420" w:firstLineChars="200"/>
        <w:jc w:val="left"/>
        <w:rPr>
          <w:rFonts w:ascii="宋体" w:hAnsi="宋体" w:cs="宋体"/>
          <w:szCs w:val="21"/>
        </w:rPr>
      </w:pPr>
      <w:r>
        <w:rPr>
          <w:rFonts w:hint="eastAsia" w:ascii="宋体" w:hAnsi="宋体" w:cs="宋体"/>
          <w:szCs w:val="21"/>
        </w:rPr>
        <w:t>当</w:t>
      </w:r>
      <w:r>
        <w:rPr>
          <w:rFonts w:hint="eastAsia" w:ascii="宋体" w:hAnsi="宋体" w:cs="宋体"/>
          <w:szCs w:val="21"/>
          <w:lang w:eastAsia="zh-CN"/>
        </w:rPr>
        <w:t>交易文件</w:t>
      </w:r>
      <w:r>
        <w:rPr>
          <w:rFonts w:hint="eastAsia" w:ascii="宋体" w:hAnsi="宋体" w:cs="宋体"/>
          <w:szCs w:val="21"/>
        </w:rPr>
        <w:t>、</w:t>
      </w:r>
      <w:r>
        <w:rPr>
          <w:rFonts w:hint="eastAsia" w:ascii="宋体" w:hAnsi="宋体" w:cs="宋体"/>
          <w:szCs w:val="21"/>
          <w:lang w:eastAsia="zh-CN"/>
        </w:rPr>
        <w:t>交易文件</w:t>
      </w:r>
      <w:r>
        <w:rPr>
          <w:rFonts w:hint="eastAsia" w:ascii="宋体" w:hAnsi="宋体" w:cs="宋体"/>
          <w:szCs w:val="21"/>
        </w:rPr>
        <w:t>的澄清或修改等在同一内容的表述上不一致时，以最后发出的书面文件为准。</w:t>
      </w:r>
    </w:p>
    <w:p>
      <w:pPr>
        <w:pStyle w:val="4"/>
        <w:spacing w:line="440" w:lineRule="exact"/>
        <w:ind w:firstLine="422" w:firstLineChars="200"/>
        <w:jc w:val="left"/>
        <w:rPr>
          <w:rFonts w:ascii="宋体" w:hAnsi="宋体" w:cs="宋体"/>
          <w:sz w:val="21"/>
          <w:szCs w:val="21"/>
        </w:rPr>
      </w:pPr>
      <w:bookmarkStart w:id="53" w:name="_Toc31976"/>
      <w:bookmarkStart w:id="54" w:name="_Toc432367716"/>
      <w:bookmarkStart w:id="55" w:name="_Toc369608011"/>
      <w:r>
        <w:rPr>
          <w:rFonts w:hint="eastAsia" w:ascii="宋体" w:hAnsi="宋体" w:cs="宋体"/>
          <w:sz w:val="21"/>
          <w:szCs w:val="21"/>
        </w:rPr>
        <w:t xml:space="preserve">2.2 </w:t>
      </w:r>
      <w:r>
        <w:rPr>
          <w:rFonts w:hint="eastAsia" w:ascii="宋体" w:hAnsi="宋体" w:cs="宋体"/>
          <w:sz w:val="21"/>
          <w:szCs w:val="21"/>
          <w:lang w:eastAsia="zh-CN"/>
        </w:rPr>
        <w:t>交易文件</w:t>
      </w:r>
      <w:r>
        <w:rPr>
          <w:rFonts w:hint="eastAsia" w:ascii="宋体" w:hAnsi="宋体" w:cs="宋体"/>
          <w:sz w:val="21"/>
          <w:szCs w:val="21"/>
        </w:rPr>
        <w:t>的澄清</w:t>
      </w:r>
      <w:bookmarkEnd w:id="53"/>
      <w:bookmarkEnd w:id="54"/>
      <w:bookmarkEnd w:id="55"/>
    </w:p>
    <w:p>
      <w:pPr>
        <w:spacing w:line="440" w:lineRule="exact"/>
        <w:ind w:firstLine="420" w:firstLineChars="200"/>
        <w:jc w:val="left"/>
        <w:rPr>
          <w:rFonts w:ascii="宋体" w:hAnsi="宋体" w:cs="宋体"/>
          <w:szCs w:val="21"/>
        </w:rPr>
      </w:pPr>
      <w:r>
        <w:rPr>
          <w:rFonts w:hint="eastAsia" w:ascii="宋体" w:hAnsi="宋体" w:cs="宋体"/>
          <w:szCs w:val="21"/>
        </w:rPr>
        <w:t>2.2.1</w:t>
      </w:r>
      <w:r>
        <w:rPr>
          <w:rFonts w:hint="eastAsia" w:ascii="宋体" w:hAnsi="宋体" w:cs="宋体"/>
          <w:szCs w:val="21"/>
          <w:lang w:eastAsia="zh-CN"/>
        </w:rPr>
        <w:t>交易响应单位</w:t>
      </w:r>
      <w:r>
        <w:rPr>
          <w:rFonts w:hint="eastAsia" w:ascii="宋体" w:hAnsi="宋体" w:cs="宋体"/>
          <w:szCs w:val="21"/>
        </w:rPr>
        <w:t>应仔细阅读和检查</w:t>
      </w:r>
      <w:r>
        <w:rPr>
          <w:rFonts w:hint="eastAsia" w:ascii="宋体" w:hAnsi="宋体" w:cs="宋体"/>
          <w:szCs w:val="21"/>
          <w:lang w:eastAsia="zh-CN"/>
        </w:rPr>
        <w:t>交易文件</w:t>
      </w:r>
      <w:r>
        <w:rPr>
          <w:rFonts w:hint="eastAsia" w:ascii="宋体" w:hAnsi="宋体" w:cs="宋体"/>
          <w:szCs w:val="21"/>
        </w:rPr>
        <w:t>的全部内容。如发现缺页或附件不全， 应及时向招标人提出，以便补齐。如有疑问，应按</w:t>
      </w:r>
      <w:r>
        <w:rPr>
          <w:rFonts w:hint="eastAsia" w:ascii="宋体" w:hAnsi="宋体" w:cs="宋体"/>
          <w:szCs w:val="21"/>
          <w:lang w:eastAsia="zh-CN"/>
        </w:rPr>
        <w:t>交易须知</w:t>
      </w:r>
      <w:r>
        <w:rPr>
          <w:rFonts w:hint="eastAsia" w:ascii="宋体" w:hAnsi="宋体" w:cs="宋体"/>
          <w:szCs w:val="21"/>
        </w:rPr>
        <w:t>前附表规定的时间和形式将提出的问题送达招标人，要求招标人对</w:t>
      </w:r>
      <w:r>
        <w:rPr>
          <w:rFonts w:hint="eastAsia" w:ascii="宋体" w:hAnsi="宋体" w:cs="宋体"/>
          <w:szCs w:val="21"/>
          <w:lang w:eastAsia="zh-CN"/>
        </w:rPr>
        <w:t>交易文件</w:t>
      </w:r>
      <w:r>
        <w:rPr>
          <w:rFonts w:hint="eastAsia" w:ascii="宋体" w:hAnsi="宋体" w:cs="宋体"/>
          <w:szCs w:val="21"/>
        </w:rPr>
        <w:t>予以澄清。</w:t>
      </w:r>
    </w:p>
    <w:p>
      <w:pPr>
        <w:spacing w:line="440" w:lineRule="exact"/>
        <w:ind w:firstLine="420" w:firstLineChars="200"/>
        <w:jc w:val="left"/>
        <w:rPr>
          <w:rFonts w:ascii="宋体" w:hAnsi="宋体" w:cs="宋体"/>
          <w:szCs w:val="21"/>
        </w:rPr>
      </w:pPr>
      <w:r>
        <w:rPr>
          <w:rFonts w:hint="eastAsia" w:ascii="宋体" w:hAnsi="宋体" w:cs="宋体"/>
          <w:szCs w:val="21"/>
        </w:rPr>
        <w:t>2.2.2</w:t>
      </w:r>
      <w:r>
        <w:rPr>
          <w:rFonts w:hint="eastAsia" w:ascii="宋体" w:hAnsi="宋体" w:cs="宋体"/>
          <w:szCs w:val="21"/>
          <w:lang w:eastAsia="zh-CN"/>
        </w:rPr>
        <w:t>交易文件</w:t>
      </w:r>
      <w:r>
        <w:rPr>
          <w:rFonts w:hint="eastAsia" w:ascii="宋体" w:hAnsi="宋体" w:cs="宋体"/>
          <w:szCs w:val="21"/>
        </w:rPr>
        <w:t>的澄清以</w:t>
      </w:r>
      <w:r>
        <w:rPr>
          <w:rFonts w:hint="eastAsia" w:ascii="宋体" w:hAnsi="宋体" w:cs="宋体"/>
          <w:szCs w:val="21"/>
          <w:lang w:eastAsia="zh-CN"/>
        </w:rPr>
        <w:t>交易须知</w:t>
      </w:r>
      <w:r>
        <w:rPr>
          <w:rFonts w:hint="eastAsia" w:ascii="宋体" w:hAnsi="宋体" w:cs="宋体"/>
          <w:szCs w:val="21"/>
        </w:rPr>
        <w:t>前附表规定的形式发给所有购买</w:t>
      </w:r>
      <w:r>
        <w:rPr>
          <w:rFonts w:hint="eastAsia" w:ascii="宋体" w:hAnsi="宋体" w:cs="宋体"/>
          <w:szCs w:val="21"/>
          <w:lang w:eastAsia="zh-CN"/>
        </w:rPr>
        <w:t>交易文件</w:t>
      </w:r>
      <w:r>
        <w:rPr>
          <w:rFonts w:hint="eastAsia" w:ascii="宋体" w:hAnsi="宋体" w:cs="宋体"/>
          <w:szCs w:val="21"/>
        </w:rPr>
        <w:t>的</w:t>
      </w:r>
      <w:r>
        <w:rPr>
          <w:rFonts w:hint="eastAsia" w:ascii="宋体" w:hAnsi="宋体" w:cs="宋体"/>
          <w:szCs w:val="21"/>
          <w:lang w:eastAsia="zh-CN"/>
        </w:rPr>
        <w:t>交易响应单位</w:t>
      </w:r>
      <w:r>
        <w:rPr>
          <w:rFonts w:hint="eastAsia" w:ascii="宋体" w:hAnsi="宋体" w:cs="宋体"/>
          <w:szCs w:val="21"/>
        </w:rPr>
        <w:t xml:space="preserve">，但不指明澄清问题的来源。澄清发出的时间距本章第 </w:t>
      </w:r>
      <w:r>
        <w:rPr>
          <w:rFonts w:hint="eastAsia" w:ascii="宋体" w:hAnsi="宋体" w:cs="宋体"/>
          <w:szCs w:val="21"/>
          <w:lang w:val="en-US" w:eastAsia="zh-CN"/>
        </w:rPr>
        <w:t>2</w:t>
      </w:r>
      <w:r>
        <w:rPr>
          <w:rFonts w:hint="eastAsia" w:ascii="宋体" w:hAnsi="宋体" w:cs="宋体"/>
          <w:szCs w:val="21"/>
        </w:rPr>
        <w:t xml:space="preserve">.2.1 项规定的投标截止时间不足 </w:t>
      </w:r>
      <w:r>
        <w:rPr>
          <w:rFonts w:hint="eastAsia" w:ascii="宋体" w:hAnsi="宋体" w:cs="宋体"/>
          <w:szCs w:val="21"/>
          <w:lang w:val="en-US" w:eastAsia="zh-CN"/>
        </w:rPr>
        <w:t>3</w:t>
      </w:r>
      <w:r>
        <w:rPr>
          <w:rFonts w:hint="eastAsia" w:ascii="宋体" w:hAnsi="宋体" w:cs="宋体"/>
          <w:szCs w:val="21"/>
        </w:rPr>
        <w:t xml:space="preserve"> 日，且澄清内容可能影响</w:t>
      </w:r>
      <w:r>
        <w:rPr>
          <w:rFonts w:hint="eastAsia" w:ascii="宋体" w:hAnsi="宋体" w:cs="宋体"/>
          <w:szCs w:val="21"/>
          <w:lang w:eastAsia="zh-CN"/>
        </w:rPr>
        <w:t>交易响应文件</w:t>
      </w:r>
      <w:r>
        <w:rPr>
          <w:rFonts w:hint="eastAsia" w:ascii="宋体" w:hAnsi="宋体" w:cs="宋体"/>
          <w:szCs w:val="21"/>
        </w:rPr>
        <w:t>编制的，将相应延长投标截止时间。</w:t>
      </w:r>
    </w:p>
    <w:p>
      <w:pPr>
        <w:spacing w:line="440" w:lineRule="exact"/>
        <w:ind w:firstLine="420" w:firstLineChars="200"/>
        <w:jc w:val="left"/>
        <w:rPr>
          <w:rFonts w:ascii="宋体" w:hAnsi="宋体" w:cs="宋体"/>
          <w:szCs w:val="21"/>
        </w:rPr>
      </w:pPr>
      <w:r>
        <w:rPr>
          <w:rFonts w:hint="eastAsia" w:ascii="宋体" w:hAnsi="宋体" w:cs="宋体"/>
          <w:szCs w:val="21"/>
        </w:rPr>
        <w:t>2.2.3</w:t>
      </w:r>
      <w:r>
        <w:rPr>
          <w:rFonts w:hint="eastAsia" w:ascii="宋体" w:hAnsi="宋体" w:cs="宋体"/>
          <w:szCs w:val="21"/>
          <w:lang w:eastAsia="zh-CN"/>
        </w:rPr>
        <w:t>交易响应单位</w:t>
      </w:r>
      <w:r>
        <w:rPr>
          <w:rFonts w:hint="eastAsia" w:ascii="宋体" w:hAnsi="宋体" w:cs="宋体"/>
          <w:szCs w:val="21"/>
        </w:rPr>
        <w:t>在收到澄清后，应按</w:t>
      </w:r>
      <w:r>
        <w:rPr>
          <w:rFonts w:hint="eastAsia" w:ascii="宋体" w:hAnsi="宋体" w:cs="宋体"/>
          <w:szCs w:val="21"/>
          <w:lang w:eastAsia="zh-CN"/>
        </w:rPr>
        <w:t>交易须知</w:t>
      </w:r>
      <w:r>
        <w:rPr>
          <w:rFonts w:hint="eastAsia" w:ascii="宋体" w:hAnsi="宋体" w:cs="宋体"/>
          <w:szCs w:val="21"/>
        </w:rPr>
        <w:t>前附表规定的时间和形式通知招标人，确认已收到该澄清。</w:t>
      </w:r>
    </w:p>
    <w:p>
      <w:pPr>
        <w:spacing w:line="440" w:lineRule="exact"/>
        <w:ind w:firstLine="420" w:firstLineChars="200"/>
        <w:jc w:val="left"/>
        <w:rPr>
          <w:rFonts w:ascii="宋体" w:hAnsi="宋体" w:cs="宋体"/>
          <w:szCs w:val="21"/>
        </w:rPr>
      </w:pPr>
      <w:r>
        <w:rPr>
          <w:rFonts w:hint="eastAsia" w:ascii="宋体" w:hAnsi="宋体" w:cs="宋体"/>
          <w:szCs w:val="21"/>
        </w:rPr>
        <w:t>2.2.4除非招标人认为确有必要答复，否则，招标人有权拒绝回复</w:t>
      </w:r>
      <w:r>
        <w:rPr>
          <w:rFonts w:hint="eastAsia" w:ascii="宋体" w:hAnsi="宋体" w:cs="宋体"/>
          <w:szCs w:val="21"/>
          <w:lang w:eastAsia="zh-CN"/>
        </w:rPr>
        <w:t>交易响应单位</w:t>
      </w:r>
      <w:r>
        <w:rPr>
          <w:rFonts w:hint="eastAsia" w:ascii="宋体" w:hAnsi="宋体" w:cs="宋体"/>
          <w:szCs w:val="21"/>
        </w:rPr>
        <w:t>在本章第 2.2.1 项规定的时间后提出的任何澄清要求。</w:t>
      </w:r>
    </w:p>
    <w:p>
      <w:pPr>
        <w:pStyle w:val="4"/>
        <w:spacing w:line="440" w:lineRule="exact"/>
        <w:ind w:firstLine="422" w:firstLineChars="200"/>
        <w:jc w:val="left"/>
        <w:rPr>
          <w:rFonts w:ascii="宋体" w:hAnsi="宋体" w:cs="宋体"/>
          <w:sz w:val="21"/>
          <w:szCs w:val="21"/>
        </w:rPr>
      </w:pPr>
      <w:bookmarkStart w:id="56" w:name="_Toc369608012"/>
      <w:bookmarkStart w:id="57" w:name="_Toc432367717"/>
      <w:bookmarkStart w:id="58" w:name="_Toc10459"/>
      <w:r>
        <w:rPr>
          <w:rFonts w:hint="eastAsia" w:ascii="宋体" w:hAnsi="宋体" w:cs="宋体"/>
          <w:sz w:val="21"/>
          <w:szCs w:val="21"/>
        </w:rPr>
        <w:t xml:space="preserve">2.3 </w:t>
      </w:r>
      <w:r>
        <w:rPr>
          <w:rFonts w:hint="eastAsia" w:ascii="宋体" w:hAnsi="宋体" w:cs="宋体"/>
          <w:sz w:val="21"/>
          <w:szCs w:val="21"/>
          <w:lang w:eastAsia="zh-CN"/>
        </w:rPr>
        <w:t>交易文件</w:t>
      </w:r>
      <w:r>
        <w:rPr>
          <w:rFonts w:hint="eastAsia" w:ascii="宋体" w:hAnsi="宋体" w:cs="宋体"/>
          <w:sz w:val="21"/>
          <w:szCs w:val="21"/>
        </w:rPr>
        <w:t>的修改</w:t>
      </w:r>
      <w:bookmarkEnd w:id="56"/>
      <w:bookmarkEnd w:id="57"/>
      <w:bookmarkEnd w:id="58"/>
    </w:p>
    <w:p>
      <w:pPr>
        <w:spacing w:line="440" w:lineRule="exact"/>
        <w:ind w:firstLine="420" w:firstLineChars="200"/>
        <w:jc w:val="left"/>
        <w:rPr>
          <w:rFonts w:ascii="宋体" w:hAnsi="宋体" w:cs="宋体"/>
          <w:szCs w:val="21"/>
        </w:rPr>
      </w:pPr>
      <w:r>
        <w:rPr>
          <w:rFonts w:hint="eastAsia" w:ascii="宋体" w:hAnsi="宋体" w:cs="宋体"/>
          <w:szCs w:val="21"/>
        </w:rPr>
        <w:t>2.3.1招标人以</w:t>
      </w:r>
      <w:r>
        <w:rPr>
          <w:rFonts w:hint="eastAsia" w:ascii="宋体" w:hAnsi="宋体" w:cs="宋体"/>
          <w:szCs w:val="21"/>
          <w:lang w:eastAsia="zh-CN"/>
        </w:rPr>
        <w:t>交易须知</w:t>
      </w:r>
      <w:r>
        <w:rPr>
          <w:rFonts w:hint="eastAsia" w:ascii="宋体" w:hAnsi="宋体" w:cs="宋体"/>
          <w:szCs w:val="21"/>
        </w:rPr>
        <w:t>前附表规定的形式修改</w:t>
      </w:r>
      <w:r>
        <w:rPr>
          <w:rFonts w:hint="eastAsia" w:ascii="宋体" w:hAnsi="宋体" w:cs="宋体"/>
          <w:szCs w:val="21"/>
          <w:lang w:eastAsia="zh-CN"/>
        </w:rPr>
        <w:t>交易文件</w:t>
      </w:r>
      <w:r>
        <w:rPr>
          <w:rFonts w:hint="eastAsia" w:ascii="宋体" w:hAnsi="宋体" w:cs="宋体"/>
          <w:szCs w:val="21"/>
        </w:rPr>
        <w:t>，并通知所有已购买</w:t>
      </w:r>
      <w:r>
        <w:rPr>
          <w:rFonts w:hint="eastAsia" w:ascii="宋体" w:hAnsi="宋体" w:cs="宋体"/>
          <w:szCs w:val="21"/>
          <w:lang w:eastAsia="zh-CN"/>
        </w:rPr>
        <w:t>交易文件</w:t>
      </w:r>
      <w:r>
        <w:rPr>
          <w:rFonts w:hint="eastAsia" w:ascii="宋体" w:hAnsi="宋体" w:cs="宋体"/>
          <w:szCs w:val="21"/>
        </w:rPr>
        <w:t>的</w:t>
      </w:r>
      <w:r>
        <w:rPr>
          <w:rFonts w:hint="eastAsia" w:ascii="宋体" w:hAnsi="宋体" w:cs="宋体"/>
          <w:szCs w:val="21"/>
          <w:lang w:eastAsia="zh-CN"/>
        </w:rPr>
        <w:t>交易响应单位</w:t>
      </w:r>
      <w:r>
        <w:rPr>
          <w:rFonts w:hint="eastAsia" w:ascii="宋体" w:hAnsi="宋体" w:cs="宋体"/>
          <w:szCs w:val="21"/>
        </w:rPr>
        <w:t>。修改</w:t>
      </w:r>
      <w:r>
        <w:rPr>
          <w:rFonts w:hint="eastAsia" w:ascii="宋体" w:hAnsi="宋体" w:cs="宋体"/>
          <w:szCs w:val="21"/>
          <w:lang w:eastAsia="zh-CN"/>
        </w:rPr>
        <w:t>交易文件</w:t>
      </w:r>
      <w:r>
        <w:rPr>
          <w:rFonts w:hint="eastAsia" w:ascii="宋体" w:hAnsi="宋体" w:cs="宋体"/>
          <w:szCs w:val="21"/>
        </w:rPr>
        <w:t>的时间距本章第</w:t>
      </w:r>
      <w:r>
        <w:rPr>
          <w:rFonts w:hint="eastAsia" w:ascii="宋体" w:hAnsi="宋体" w:cs="宋体"/>
          <w:szCs w:val="21"/>
          <w:lang w:val="en-US" w:eastAsia="zh-CN"/>
        </w:rPr>
        <w:t>1.10.2</w:t>
      </w:r>
      <w:r>
        <w:rPr>
          <w:rFonts w:hint="eastAsia" w:ascii="宋体" w:hAnsi="宋体" w:cs="宋体"/>
          <w:szCs w:val="21"/>
        </w:rPr>
        <w:t>项规定的投标截止时间不足</w:t>
      </w:r>
      <w:r>
        <w:rPr>
          <w:rFonts w:hint="eastAsia" w:ascii="宋体" w:hAnsi="宋体" w:cs="宋体"/>
          <w:szCs w:val="21"/>
          <w:lang w:val="en-US" w:eastAsia="zh-CN"/>
        </w:rPr>
        <w:t>3</w:t>
      </w:r>
      <w:r>
        <w:rPr>
          <w:rFonts w:hint="eastAsia" w:ascii="宋体" w:hAnsi="宋体" w:cs="宋体"/>
          <w:szCs w:val="21"/>
        </w:rPr>
        <w:t xml:space="preserve"> 日，且修改内容可能影响</w:t>
      </w:r>
      <w:r>
        <w:rPr>
          <w:rFonts w:hint="eastAsia" w:ascii="宋体" w:hAnsi="宋体" w:cs="宋体"/>
          <w:szCs w:val="21"/>
          <w:lang w:eastAsia="zh-CN"/>
        </w:rPr>
        <w:t>交易响应文件</w:t>
      </w:r>
      <w:r>
        <w:rPr>
          <w:rFonts w:hint="eastAsia" w:ascii="宋体" w:hAnsi="宋体" w:cs="宋体"/>
          <w:szCs w:val="21"/>
        </w:rPr>
        <w:t>编制的，将相应延长投标截止时间。</w:t>
      </w:r>
    </w:p>
    <w:p>
      <w:pPr>
        <w:spacing w:line="440" w:lineRule="exact"/>
        <w:ind w:firstLine="420" w:firstLineChars="200"/>
        <w:jc w:val="left"/>
        <w:rPr>
          <w:rFonts w:ascii="宋体" w:hAnsi="宋体" w:cs="宋体"/>
          <w:szCs w:val="21"/>
        </w:rPr>
      </w:pPr>
      <w:r>
        <w:rPr>
          <w:rFonts w:hint="eastAsia" w:ascii="宋体" w:hAnsi="宋体" w:cs="宋体"/>
          <w:szCs w:val="21"/>
        </w:rPr>
        <w:t>2.3.2</w:t>
      </w:r>
      <w:r>
        <w:rPr>
          <w:rFonts w:hint="eastAsia" w:ascii="宋体" w:hAnsi="宋体" w:cs="宋体"/>
          <w:szCs w:val="21"/>
          <w:lang w:eastAsia="zh-CN"/>
        </w:rPr>
        <w:t>交易响应单位</w:t>
      </w:r>
      <w:r>
        <w:rPr>
          <w:rFonts w:hint="eastAsia" w:ascii="宋体" w:hAnsi="宋体" w:cs="宋体"/>
          <w:szCs w:val="21"/>
        </w:rPr>
        <w:t>收到修改内容后，应按</w:t>
      </w:r>
      <w:r>
        <w:rPr>
          <w:rFonts w:hint="eastAsia" w:ascii="宋体" w:hAnsi="宋体" w:cs="宋体"/>
          <w:szCs w:val="21"/>
          <w:lang w:eastAsia="zh-CN"/>
        </w:rPr>
        <w:t>交易须知</w:t>
      </w:r>
      <w:r>
        <w:rPr>
          <w:rFonts w:hint="eastAsia" w:ascii="宋体" w:hAnsi="宋体" w:cs="宋体"/>
          <w:szCs w:val="21"/>
        </w:rPr>
        <w:t>前附表规定的时间和形式通知招标人，确认已收到该修改。</w:t>
      </w:r>
    </w:p>
    <w:p>
      <w:pPr>
        <w:pStyle w:val="34"/>
        <w:tabs>
          <w:tab w:val="left" w:pos="850"/>
        </w:tabs>
        <w:spacing w:line="440" w:lineRule="exact"/>
        <w:ind w:left="0" w:firstLine="422" w:firstLineChars="200"/>
        <w:jc w:val="left"/>
        <w:rPr>
          <w:szCs w:val="21"/>
        </w:rPr>
      </w:pPr>
      <w:r>
        <w:rPr>
          <w:rFonts w:hint="eastAsia"/>
          <w:b/>
          <w:szCs w:val="21"/>
          <w:lang w:val="en-US" w:bidi="ar-SA"/>
        </w:rPr>
        <w:t>2.4</w:t>
      </w:r>
      <w:r>
        <w:rPr>
          <w:rFonts w:hint="eastAsia"/>
          <w:b/>
          <w:szCs w:val="21"/>
          <w:lang w:val="en-US" w:eastAsia="zh-CN" w:bidi="ar-SA"/>
        </w:rPr>
        <w:t>交易文件</w:t>
      </w:r>
      <w:r>
        <w:rPr>
          <w:rFonts w:hint="eastAsia"/>
          <w:b/>
          <w:szCs w:val="21"/>
          <w:lang w:val="en-US" w:bidi="ar-SA"/>
        </w:rPr>
        <w:t>的异议</w:t>
      </w:r>
    </w:p>
    <w:p>
      <w:pPr>
        <w:spacing w:line="440" w:lineRule="exact"/>
        <w:ind w:firstLine="420" w:firstLineChars="200"/>
        <w:jc w:val="left"/>
        <w:rPr>
          <w:rFonts w:ascii="宋体" w:hAnsi="宋体" w:cs="宋体"/>
          <w:szCs w:val="21"/>
        </w:rPr>
      </w:pPr>
      <w:r>
        <w:rPr>
          <w:rFonts w:hint="eastAsia" w:ascii="宋体" w:hAnsi="宋体" w:cs="宋体"/>
          <w:szCs w:val="21"/>
          <w:lang w:eastAsia="zh-CN"/>
        </w:rPr>
        <w:t>交易响应单位</w:t>
      </w:r>
      <w:r>
        <w:rPr>
          <w:rFonts w:hint="eastAsia" w:ascii="宋体" w:hAnsi="宋体" w:cs="宋体"/>
          <w:szCs w:val="21"/>
        </w:rPr>
        <w:t>或其他利害关系人对</w:t>
      </w:r>
      <w:r>
        <w:rPr>
          <w:rFonts w:hint="eastAsia" w:ascii="宋体" w:hAnsi="宋体" w:cs="宋体"/>
          <w:szCs w:val="21"/>
          <w:lang w:eastAsia="zh-CN"/>
        </w:rPr>
        <w:t>交易文件</w:t>
      </w:r>
      <w:r>
        <w:rPr>
          <w:rFonts w:hint="eastAsia" w:ascii="宋体" w:hAnsi="宋体" w:cs="宋体"/>
          <w:szCs w:val="21"/>
        </w:rPr>
        <w:t xml:space="preserve">有异议的，应在投标截止时间 </w:t>
      </w:r>
      <w:r>
        <w:rPr>
          <w:rFonts w:hint="eastAsia" w:ascii="宋体" w:hAnsi="宋体" w:cs="宋体"/>
          <w:szCs w:val="21"/>
          <w:lang w:val="en-US" w:eastAsia="zh-CN"/>
        </w:rPr>
        <w:t>3</w:t>
      </w:r>
      <w:r>
        <w:rPr>
          <w:rFonts w:hint="eastAsia" w:ascii="宋体" w:hAnsi="宋体" w:cs="宋体"/>
          <w:szCs w:val="21"/>
        </w:rPr>
        <w:t xml:space="preserve"> 日前以书面形式提出。招标人将在收到异议之日起 </w:t>
      </w:r>
      <w:r>
        <w:rPr>
          <w:rFonts w:hint="eastAsia" w:ascii="宋体" w:hAnsi="宋体" w:cs="宋体"/>
          <w:szCs w:val="21"/>
          <w:lang w:val="en-US" w:eastAsia="zh-CN"/>
        </w:rPr>
        <w:t>1</w:t>
      </w:r>
      <w:r>
        <w:rPr>
          <w:rFonts w:hint="eastAsia" w:ascii="宋体" w:hAnsi="宋体" w:cs="宋体"/>
          <w:szCs w:val="21"/>
        </w:rPr>
        <w:t xml:space="preserve"> 日内作出答复；作出答复前，将暂停招标投标活动。</w:t>
      </w:r>
    </w:p>
    <w:p>
      <w:pPr>
        <w:pStyle w:val="4"/>
        <w:spacing w:line="440" w:lineRule="exact"/>
        <w:ind w:firstLine="422" w:firstLineChars="200"/>
        <w:jc w:val="left"/>
        <w:rPr>
          <w:rFonts w:hint="eastAsia" w:eastAsia="宋体"/>
          <w:lang w:eastAsia="zh-CN"/>
        </w:rPr>
      </w:pPr>
      <w:bookmarkStart w:id="59" w:name="_Toc432367718"/>
      <w:bookmarkStart w:id="60" w:name="_Toc8140"/>
      <w:bookmarkStart w:id="61" w:name="_Toc369608013"/>
      <w:r>
        <w:rPr>
          <w:rFonts w:hint="eastAsia" w:ascii="宋体" w:hAnsi="宋体" w:cs="宋体"/>
          <w:sz w:val="21"/>
          <w:szCs w:val="21"/>
        </w:rPr>
        <w:t xml:space="preserve">3. </w:t>
      </w:r>
      <w:bookmarkEnd w:id="59"/>
      <w:bookmarkEnd w:id="60"/>
      <w:bookmarkEnd w:id="61"/>
      <w:r>
        <w:rPr>
          <w:rFonts w:hint="eastAsia" w:ascii="宋体" w:hAnsi="宋体" w:cs="宋体"/>
          <w:sz w:val="21"/>
          <w:szCs w:val="21"/>
          <w:lang w:eastAsia="zh-CN"/>
        </w:rPr>
        <w:t>交易响应文件</w:t>
      </w:r>
    </w:p>
    <w:p>
      <w:pPr>
        <w:pStyle w:val="4"/>
        <w:spacing w:line="440" w:lineRule="exact"/>
        <w:ind w:firstLine="422" w:firstLineChars="200"/>
        <w:jc w:val="left"/>
        <w:rPr>
          <w:rFonts w:ascii="宋体" w:hAnsi="宋体" w:cs="宋体"/>
          <w:sz w:val="21"/>
          <w:szCs w:val="21"/>
        </w:rPr>
      </w:pPr>
      <w:bookmarkStart w:id="62" w:name="_Toc369608014"/>
      <w:bookmarkStart w:id="63" w:name="_Toc432367719"/>
      <w:bookmarkStart w:id="64" w:name="_Toc3217"/>
      <w:r>
        <w:rPr>
          <w:rFonts w:hint="eastAsia" w:ascii="宋体" w:hAnsi="宋体" w:cs="宋体"/>
          <w:sz w:val="21"/>
          <w:szCs w:val="21"/>
        </w:rPr>
        <w:t xml:space="preserve">3.1 </w:t>
      </w:r>
      <w:r>
        <w:rPr>
          <w:rFonts w:hint="eastAsia" w:ascii="宋体" w:hAnsi="宋体" w:cs="宋体"/>
          <w:sz w:val="21"/>
          <w:szCs w:val="21"/>
          <w:lang w:eastAsia="zh-CN"/>
        </w:rPr>
        <w:t>交易响应文件</w:t>
      </w:r>
      <w:r>
        <w:rPr>
          <w:rFonts w:hint="eastAsia" w:ascii="宋体" w:hAnsi="宋体" w:cs="宋体"/>
          <w:sz w:val="21"/>
          <w:szCs w:val="21"/>
        </w:rPr>
        <w:t>的组成</w:t>
      </w:r>
      <w:bookmarkEnd w:id="62"/>
      <w:bookmarkEnd w:id="63"/>
      <w:bookmarkEnd w:id="64"/>
    </w:p>
    <w:p>
      <w:pPr>
        <w:spacing w:line="440" w:lineRule="exact"/>
        <w:ind w:firstLine="420" w:firstLineChars="200"/>
        <w:jc w:val="left"/>
        <w:rPr>
          <w:rFonts w:ascii="宋体" w:hAnsi="宋体" w:cs="宋体"/>
          <w:szCs w:val="21"/>
        </w:rPr>
      </w:pPr>
      <w:r>
        <w:rPr>
          <w:rFonts w:hint="eastAsia" w:ascii="宋体" w:hAnsi="宋体" w:cs="宋体"/>
          <w:szCs w:val="21"/>
        </w:rPr>
        <w:t>根据</w:t>
      </w:r>
      <w:r>
        <w:rPr>
          <w:rFonts w:hint="eastAsia" w:ascii="宋体" w:hAnsi="宋体" w:cs="宋体"/>
          <w:szCs w:val="21"/>
          <w:lang w:eastAsia="zh-CN"/>
        </w:rPr>
        <w:t>交易须知</w:t>
      </w:r>
      <w:r>
        <w:rPr>
          <w:rFonts w:hint="eastAsia" w:ascii="宋体" w:hAnsi="宋体" w:cs="宋体"/>
          <w:szCs w:val="21"/>
        </w:rPr>
        <w:t>前附表规定的不同形式，</w:t>
      </w:r>
      <w:r>
        <w:rPr>
          <w:rFonts w:hint="eastAsia" w:ascii="宋体" w:hAnsi="宋体" w:cs="宋体"/>
          <w:szCs w:val="21"/>
          <w:lang w:eastAsia="zh-CN"/>
        </w:rPr>
        <w:t>交易响应文件</w:t>
      </w:r>
      <w:r>
        <w:rPr>
          <w:rFonts w:hint="eastAsia" w:ascii="宋体" w:hAnsi="宋体" w:cs="宋体"/>
          <w:szCs w:val="21"/>
        </w:rPr>
        <w:t>的组成应满足相应条款要求。</w:t>
      </w:r>
    </w:p>
    <w:p>
      <w:pPr>
        <w:spacing w:line="440" w:lineRule="exact"/>
        <w:ind w:firstLine="420" w:firstLineChars="200"/>
        <w:jc w:val="left"/>
        <w:rPr>
          <w:rFonts w:ascii="宋体" w:hAnsi="宋体" w:cs="宋体"/>
          <w:szCs w:val="21"/>
        </w:rPr>
      </w:pPr>
      <w:r>
        <w:rPr>
          <w:rFonts w:hint="eastAsia" w:ascii="宋体" w:hAnsi="宋体" w:cs="宋体"/>
          <w:szCs w:val="21"/>
        </w:rPr>
        <w:t>若采用双信封形式，第 3.1.1 项采用以下条款：</w:t>
      </w:r>
    </w:p>
    <w:p>
      <w:pPr>
        <w:spacing w:line="440" w:lineRule="exact"/>
        <w:ind w:firstLine="420" w:firstLineChars="200"/>
        <w:jc w:val="left"/>
        <w:rPr>
          <w:rFonts w:ascii="宋体" w:hAnsi="宋体" w:cs="宋体"/>
          <w:szCs w:val="21"/>
        </w:rPr>
      </w:pPr>
      <w:r>
        <w:rPr>
          <w:rFonts w:hint="eastAsia" w:ascii="宋体" w:hAnsi="宋体" w:cs="宋体"/>
          <w:szCs w:val="21"/>
        </w:rPr>
        <w:t>3.1.1</w:t>
      </w:r>
      <w:r>
        <w:rPr>
          <w:rFonts w:hint="eastAsia" w:ascii="宋体" w:hAnsi="宋体" w:cs="宋体"/>
          <w:szCs w:val="21"/>
          <w:lang w:eastAsia="zh-CN"/>
        </w:rPr>
        <w:t>交易响应文件</w:t>
      </w:r>
      <w:r>
        <w:rPr>
          <w:rFonts w:hint="eastAsia" w:ascii="宋体" w:hAnsi="宋体" w:cs="宋体"/>
          <w:szCs w:val="21"/>
        </w:rPr>
        <w:t>应包括下列内容：</w:t>
      </w:r>
    </w:p>
    <w:p>
      <w:pPr>
        <w:spacing w:line="440" w:lineRule="exact"/>
        <w:ind w:firstLine="420" w:firstLineChars="200"/>
        <w:jc w:val="left"/>
        <w:rPr>
          <w:rFonts w:ascii="宋体" w:hAnsi="宋体" w:cs="宋体"/>
          <w:szCs w:val="21"/>
        </w:rPr>
      </w:pPr>
      <w:r>
        <w:rPr>
          <w:rFonts w:hint="eastAsia" w:ascii="宋体" w:hAnsi="宋体" w:cs="宋体"/>
          <w:szCs w:val="21"/>
        </w:rPr>
        <w:t xml:space="preserve"> 第一个信封（商务及技术文件）：</w:t>
      </w:r>
    </w:p>
    <w:p>
      <w:pPr>
        <w:spacing w:line="440" w:lineRule="exact"/>
        <w:ind w:firstLine="420" w:firstLineChars="200"/>
        <w:jc w:val="left"/>
        <w:rPr>
          <w:rFonts w:ascii="宋体" w:hAnsi="宋体" w:cs="宋体"/>
          <w:szCs w:val="21"/>
        </w:rPr>
      </w:pPr>
      <w:r>
        <w:rPr>
          <w:rFonts w:hint="eastAsia" w:ascii="宋体" w:hAnsi="宋体" w:cs="宋体"/>
          <w:szCs w:val="21"/>
        </w:rPr>
        <w:t>（1）投标函及投标函附录；</w:t>
      </w:r>
    </w:p>
    <w:p>
      <w:pPr>
        <w:spacing w:line="440" w:lineRule="exact"/>
        <w:ind w:firstLine="420" w:firstLineChars="200"/>
        <w:jc w:val="left"/>
        <w:rPr>
          <w:rFonts w:ascii="宋体" w:hAnsi="宋体" w:cs="宋体"/>
          <w:szCs w:val="21"/>
        </w:rPr>
      </w:pPr>
      <w:r>
        <w:rPr>
          <w:rFonts w:hint="eastAsia" w:ascii="宋体" w:hAnsi="宋体" w:cs="宋体"/>
          <w:szCs w:val="21"/>
        </w:rPr>
        <w:t>（2）授权委托书或法定代表人身份证明；</w:t>
      </w:r>
    </w:p>
    <w:p>
      <w:pPr>
        <w:spacing w:line="440" w:lineRule="exact"/>
        <w:ind w:firstLine="420" w:firstLineChars="200"/>
        <w:jc w:val="left"/>
        <w:rPr>
          <w:rFonts w:ascii="宋体" w:hAnsi="宋体" w:cs="宋体"/>
          <w:szCs w:val="21"/>
        </w:rPr>
      </w:pPr>
      <w:r>
        <w:rPr>
          <w:rFonts w:hint="eastAsia" w:ascii="宋体" w:hAnsi="宋体" w:cs="宋体"/>
          <w:szCs w:val="21"/>
        </w:rPr>
        <w:t>（3）联合体协议书；</w:t>
      </w:r>
    </w:p>
    <w:p>
      <w:pPr>
        <w:spacing w:line="440" w:lineRule="exact"/>
        <w:ind w:firstLine="420" w:firstLineChars="200"/>
        <w:jc w:val="left"/>
        <w:rPr>
          <w:rFonts w:ascii="宋体" w:hAnsi="宋体" w:cs="宋体"/>
          <w:szCs w:val="21"/>
        </w:rPr>
      </w:pPr>
      <w:r>
        <w:rPr>
          <w:rFonts w:hint="eastAsia" w:ascii="宋体" w:hAnsi="宋体" w:cs="宋体"/>
          <w:szCs w:val="21"/>
        </w:rPr>
        <w:t>（4）</w:t>
      </w:r>
      <w:r>
        <w:rPr>
          <w:rFonts w:hint="eastAsia" w:ascii="宋体" w:hAnsi="宋体" w:cs="宋体"/>
          <w:szCs w:val="21"/>
          <w:lang w:eastAsia="zh-CN"/>
        </w:rPr>
        <w:t>交易保证金</w:t>
      </w:r>
      <w:r>
        <w:rPr>
          <w:rFonts w:hint="eastAsia" w:ascii="宋体" w:hAnsi="宋体" w:cs="宋体"/>
          <w:szCs w:val="21"/>
        </w:rPr>
        <w:t>；</w:t>
      </w:r>
    </w:p>
    <w:p>
      <w:pPr>
        <w:spacing w:line="440" w:lineRule="exact"/>
        <w:ind w:firstLine="420" w:firstLineChars="200"/>
        <w:jc w:val="left"/>
        <w:rPr>
          <w:rFonts w:ascii="宋体" w:hAnsi="宋体" w:cs="宋体"/>
          <w:szCs w:val="21"/>
        </w:rPr>
      </w:pPr>
      <w:r>
        <w:rPr>
          <w:rFonts w:hint="eastAsia" w:ascii="宋体" w:hAnsi="宋体" w:cs="宋体"/>
          <w:szCs w:val="21"/>
        </w:rPr>
        <w:t>（5）施工组织设计；</w:t>
      </w:r>
    </w:p>
    <w:p>
      <w:pPr>
        <w:spacing w:line="440" w:lineRule="exact"/>
        <w:ind w:firstLine="420" w:firstLineChars="200"/>
        <w:jc w:val="left"/>
        <w:rPr>
          <w:rFonts w:ascii="宋体" w:hAnsi="宋体" w:cs="宋体"/>
          <w:szCs w:val="21"/>
        </w:rPr>
      </w:pPr>
      <w:r>
        <w:rPr>
          <w:rFonts w:hint="eastAsia" w:ascii="宋体" w:hAnsi="宋体" w:cs="宋体"/>
          <w:szCs w:val="21"/>
        </w:rPr>
        <w:t>（6）项目管理机构；</w:t>
      </w:r>
    </w:p>
    <w:p>
      <w:pPr>
        <w:spacing w:line="440" w:lineRule="exact"/>
        <w:ind w:firstLine="420" w:firstLineChars="200"/>
        <w:jc w:val="left"/>
        <w:rPr>
          <w:rFonts w:ascii="宋体" w:hAnsi="宋体" w:cs="宋体"/>
          <w:szCs w:val="21"/>
        </w:rPr>
      </w:pPr>
      <w:r>
        <w:rPr>
          <w:rFonts w:hint="eastAsia" w:ascii="宋体" w:hAnsi="宋体" w:cs="宋体"/>
          <w:szCs w:val="21"/>
        </w:rPr>
        <w:t>（7）拟分包项目情况表；</w:t>
      </w:r>
    </w:p>
    <w:p>
      <w:pPr>
        <w:spacing w:line="440" w:lineRule="exact"/>
        <w:ind w:firstLine="420" w:firstLineChars="200"/>
        <w:jc w:val="left"/>
        <w:rPr>
          <w:rFonts w:ascii="宋体" w:hAnsi="宋体" w:cs="宋体"/>
          <w:szCs w:val="21"/>
        </w:rPr>
      </w:pPr>
      <w:r>
        <w:rPr>
          <w:rFonts w:hint="eastAsia" w:ascii="宋体" w:hAnsi="宋体" w:cs="宋体"/>
          <w:szCs w:val="21"/>
        </w:rPr>
        <w:t>（8）资格审查资料；</w:t>
      </w:r>
    </w:p>
    <w:p>
      <w:pPr>
        <w:spacing w:line="440" w:lineRule="exact"/>
        <w:ind w:firstLine="420" w:firstLineChars="200"/>
        <w:jc w:val="left"/>
        <w:rPr>
          <w:rFonts w:ascii="宋体" w:hAnsi="宋体" w:cs="宋体"/>
          <w:szCs w:val="21"/>
        </w:rPr>
      </w:pPr>
      <w:r>
        <w:rPr>
          <w:rFonts w:hint="eastAsia" w:ascii="宋体" w:hAnsi="宋体" w:cs="宋体"/>
          <w:szCs w:val="21"/>
        </w:rPr>
        <w:t>（9）</w:t>
      </w:r>
      <w:r>
        <w:rPr>
          <w:rFonts w:hint="eastAsia" w:ascii="宋体" w:hAnsi="宋体" w:cs="宋体"/>
          <w:szCs w:val="21"/>
          <w:lang w:eastAsia="zh-CN"/>
        </w:rPr>
        <w:t>交易须知</w:t>
      </w:r>
      <w:r>
        <w:rPr>
          <w:rFonts w:hint="eastAsia" w:ascii="宋体" w:hAnsi="宋体" w:cs="宋体"/>
          <w:szCs w:val="21"/>
        </w:rPr>
        <w:t>前附表规定的其他资料。</w:t>
      </w:r>
    </w:p>
    <w:p>
      <w:pPr>
        <w:spacing w:line="440" w:lineRule="exact"/>
        <w:ind w:firstLine="420" w:firstLineChars="200"/>
        <w:jc w:val="left"/>
        <w:rPr>
          <w:rFonts w:ascii="宋体" w:hAnsi="宋体" w:cs="宋体"/>
          <w:szCs w:val="21"/>
        </w:rPr>
      </w:pPr>
      <w:r>
        <w:rPr>
          <w:rFonts w:hint="eastAsia" w:ascii="宋体" w:hAnsi="宋体" w:cs="宋体"/>
          <w:szCs w:val="21"/>
        </w:rPr>
        <w:t>第二个信封（报价文件）：</w:t>
      </w:r>
    </w:p>
    <w:p>
      <w:pPr>
        <w:spacing w:line="440" w:lineRule="exact"/>
        <w:ind w:firstLine="420" w:firstLineChars="200"/>
        <w:jc w:val="left"/>
        <w:rPr>
          <w:rFonts w:ascii="宋体" w:hAnsi="宋体" w:cs="宋体"/>
          <w:szCs w:val="21"/>
        </w:rPr>
      </w:pPr>
      <w:r>
        <w:rPr>
          <w:rFonts w:hint="eastAsia" w:ascii="宋体" w:hAnsi="宋体" w:cs="宋体"/>
          <w:szCs w:val="21"/>
        </w:rPr>
        <w:t>（1）调价函及调价后的工程量清单（如有）；</w:t>
      </w:r>
    </w:p>
    <w:p>
      <w:pPr>
        <w:spacing w:line="440" w:lineRule="exact"/>
        <w:ind w:firstLine="420" w:firstLineChars="200"/>
        <w:jc w:val="left"/>
        <w:rPr>
          <w:rFonts w:ascii="宋体" w:hAnsi="宋体" w:cs="宋体"/>
          <w:szCs w:val="21"/>
        </w:rPr>
      </w:pPr>
      <w:r>
        <w:rPr>
          <w:rFonts w:hint="eastAsia" w:ascii="宋体" w:hAnsi="宋体" w:cs="宋体"/>
          <w:szCs w:val="21"/>
        </w:rPr>
        <w:t>（2）投标函；</w:t>
      </w:r>
    </w:p>
    <w:p>
      <w:pPr>
        <w:spacing w:line="440" w:lineRule="exact"/>
        <w:ind w:firstLine="420" w:firstLineChars="200"/>
        <w:jc w:val="left"/>
        <w:rPr>
          <w:rFonts w:ascii="宋体" w:hAnsi="宋体" w:cs="宋体"/>
          <w:szCs w:val="21"/>
        </w:rPr>
      </w:pPr>
      <w:r>
        <w:rPr>
          <w:rFonts w:hint="eastAsia" w:ascii="宋体" w:hAnsi="宋体" w:cs="宋体"/>
          <w:szCs w:val="21"/>
        </w:rPr>
        <w:t>（3）已标价工程量清单；</w:t>
      </w:r>
    </w:p>
    <w:p>
      <w:pPr>
        <w:spacing w:line="440" w:lineRule="exact"/>
        <w:ind w:firstLine="420" w:firstLineChars="200"/>
        <w:jc w:val="left"/>
        <w:rPr>
          <w:rFonts w:ascii="宋体" w:hAnsi="宋体" w:cs="宋体"/>
          <w:szCs w:val="21"/>
        </w:rPr>
      </w:pPr>
      <w:r>
        <w:rPr>
          <w:rFonts w:hint="eastAsia" w:ascii="宋体" w:hAnsi="宋体" w:cs="宋体"/>
          <w:szCs w:val="21"/>
        </w:rPr>
        <w:t>（4）合同用款估算表。</w:t>
      </w:r>
    </w:p>
    <w:p>
      <w:pPr>
        <w:spacing w:line="440" w:lineRule="exact"/>
        <w:ind w:firstLine="420" w:firstLineChars="200"/>
        <w:jc w:val="left"/>
        <w:rPr>
          <w:rFonts w:ascii="宋体" w:hAnsi="宋体" w:cs="宋体"/>
          <w:szCs w:val="21"/>
        </w:rPr>
      </w:pPr>
      <w:r>
        <w:rPr>
          <w:rFonts w:hint="eastAsia" w:ascii="宋体" w:hAnsi="宋体" w:cs="宋体"/>
          <w:szCs w:val="21"/>
          <w:lang w:eastAsia="zh-CN"/>
        </w:rPr>
        <w:t>交易响应单位</w:t>
      </w:r>
      <w:r>
        <w:rPr>
          <w:rFonts w:hint="eastAsia" w:ascii="宋体" w:hAnsi="宋体" w:cs="宋体"/>
          <w:szCs w:val="21"/>
        </w:rPr>
        <w:t>在评标过程中作出的符合法律法规和</w:t>
      </w:r>
      <w:r>
        <w:rPr>
          <w:rFonts w:hint="eastAsia" w:ascii="宋体" w:hAnsi="宋体" w:cs="宋体"/>
          <w:szCs w:val="21"/>
          <w:lang w:eastAsia="zh-CN"/>
        </w:rPr>
        <w:t>交易文件</w:t>
      </w:r>
      <w:r>
        <w:rPr>
          <w:rFonts w:hint="eastAsia" w:ascii="宋体" w:hAnsi="宋体" w:cs="宋体"/>
          <w:szCs w:val="21"/>
        </w:rPr>
        <w:t>规定的澄清确认，构成</w:t>
      </w:r>
      <w:r>
        <w:rPr>
          <w:rFonts w:hint="eastAsia" w:ascii="宋体" w:hAnsi="宋体" w:cs="宋体"/>
          <w:szCs w:val="21"/>
          <w:lang w:eastAsia="zh-CN"/>
        </w:rPr>
        <w:t>交易响应文件</w:t>
      </w:r>
      <w:r>
        <w:rPr>
          <w:rFonts w:hint="eastAsia" w:ascii="宋体" w:hAnsi="宋体" w:cs="宋体"/>
          <w:szCs w:val="21"/>
        </w:rPr>
        <w:t>的组成部分。</w:t>
      </w:r>
    </w:p>
    <w:p>
      <w:pPr>
        <w:pStyle w:val="34"/>
        <w:tabs>
          <w:tab w:val="left" w:pos="1331"/>
        </w:tabs>
        <w:spacing w:before="93"/>
        <w:ind w:left="729" w:firstLine="0"/>
        <w:jc w:val="left"/>
        <w:rPr>
          <w:szCs w:val="21"/>
          <w:lang w:val="en-US" w:bidi="ar-SA"/>
        </w:rPr>
      </w:pPr>
    </w:p>
    <w:p>
      <w:pPr>
        <w:spacing w:line="440" w:lineRule="exact"/>
        <w:ind w:firstLine="420" w:firstLineChars="200"/>
        <w:jc w:val="left"/>
        <w:rPr>
          <w:rFonts w:ascii="宋体" w:hAnsi="宋体" w:cs="宋体"/>
          <w:szCs w:val="21"/>
        </w:rPr>
      </w:pPr>
      <w:r>
        <w:rPr>
          <w:rFonts w:hint="eastAsia" w:ascii="宋体" w:hAnsi="宋体" w:cs="宋体"/>
          <w:szCs w:val="21"/>
        </w:rPr>
        <w:t>若采用单信封形式，第 3.1.1 项采用以下条款：</w:t>
      </w:r>
    </w:p>
    <w:p>
      <w:pPr>
        <w:spacing w:line="440" w:lineRule="exact"/>
        <w:ind w:firstLine="420" w:firstLineChars="200"/>
        <w:jc w:val="left"/>
        <w:rPr>
          <w:rFonts w:ascii="宋体" w:hAnsi="宋体" w:cs="宋体"/>
          <w:szCs w:val="21"/>
        </w:rPr>
      </w:pPr>
      <w:r>
        <w:rPr>
          <w:rFonts w:hint="eastAsia" w:ascii="宋体" w:hAnsi="宋体" w:cs="宋体"/>
          <w:szCs w:val="21"/>
        </w:rPr>
        <w:t xml:space="preserve">3.1.1 </w:t>
      </w:r>
      <w:r>
        <w:rPr>
          <w:rFonts w:hint="eastAsia" w:ascii="宋体" w:hAnsi="宋体" w:cs="宋体"/>
          <w:szCs w:val="21"/>
          <w:lang w:eastAsia="zh-CN"/>
        </w:rPr>
        <w:t>交易响应文件</w:t>
      </w:r>
      <w:r>
        <w:rPr>
          <w:rFonts w:hint="eastAsia" w:ascii="宋体" w:hAnsi="宋体" w:cs="宋体"/>
          <w:szCs w:val="21"/>
        </w:rPr>
        <w:t>应包括下列内容：</w:t>
      </w:r>
    </w:p>
    <w:p>
      <w:pPr>
        <w:spacing w:line="440" w:lineRule="exact"/>
        <w:ind w:firstLine="420" w:firstLineChars="200"/>
        <w:jc w:val="left"/>
        <w:rPr>
          <w:rFonts w:ascii="宋体" w:hAnsi="宋体" w:cs="宋体"/>
          <w:szCs w:val="21"/>
        </w:rPr>
      </w:pPr>
      <w:r>
        <w:rPr>
          <w:rFonts w:hint="eastAsia" w:ascii="宋体" w:hAnsi="宋体" w:cs="宋体"/>
          <w:szCs w:val="21"/>
        </w:rPr>
        <w:t>（1）投标函及投标函附录；</w:t>
      </w:r>
    </w:p>
    <w:p>
      <w:pPr>
        <w:spacing w:line="440" w:lineRule="exact"/>
        <w:ind w:firstLine="420" w:firstLineChars="200"/>
        <w:jc w:val="left"/>
        <w:rPr>
          <w:rFonts w:ascii="宋体" w:hAnsi="宋体" w:cs="宋体"/>
          <w:szCs w:val="21"/>
        </w:rPr>
      </w:pPr>
      <w:r>
        <w:rPr>
          <w:rFonts w:hint="eastAsia" w:ascii="宋体" w:hAnsi="宋体" w:cs="宋体"/>
          <w:szCs w:val="21"/>
        </w:rPr>
        <w:t>（2）授权委托书或法定代表人身份证明；</w:t>
      </w:r>
    </w:p>
    <w:p>
      <w:pPr>
        <w:spacing w:line="440" w:lineRule="exact"/>
        <w:ind w:firstLine="420" w:firstLineChars="200"/>
        <w:jc w:val="left"/>
        <w:rPr>
          <w:rFonts w:ascii="宋体" w:hAnsi="宋体" w:cs="宋体"/>
          <w:szCs w:val="21"/>
        </w:rPr>
      </w:pPr>
      <w:r>
        <w:rPr>
          <w:rFonts w:hint="eastAsia" w:ascii="宋体" w:hAnsi="宋体" w:cs="宋体"/>
          <w:szCs w:val="21"/>
        </w:rPr>
        <w:t>（3）联合体协议书；</w:t>
      </w:r>
    </w:p>
    <w:p>
      <w:pPr>
        <w:spacing w:line="440" w:lineRule="exact"/>
        <w:ind w:firstLine="420" w:firstLineChars="200"/>
        <w:jc w:val="left"/>
        <w:rPr>
          <w:rFonts w:ascii="宋体" w:hAnsi="宋体" w:cs="宋体"/>
          <w:szCs w:val="21"/>
        </w:rPr>
      </w:pPr>
      <w:r>
        <w:rPr>
          <w:rFonts w:hint="eastAsia" w:ascii="宋体" w:hAnsi="宋体" w:cs="宋体"/>
          <w:szCs w:val="21"/>
        </w:rPr>
        <w:t>（4）</w:t>
      </w:r>
      <w:r>
        <w:rPr>
          <w:rFonts w:hint="eastAsia" w:ascii="宋体" w:hAnsi="宋体" w:cs="宋体"/>
          <w:szCs w:val="21"/>
          <w:lang w:eastAsia="zh-CN"/>
        </w:rPr>
        <w:t>交易保证金</w:t>
      </w:r>
      <w:r>
        <w:rPr>
          <w:rFonts w:hint="eastAsia" w:ascii="宋体" w:hAnsi="宋体" w:cs="宋体"/>
          <w:szCs w:val="21"/>
        </w:rPr>
        <w:t>；</w:t>
      </w:r>
    </w:p>
    <w:p>
      <w:pPr>
        <w:spacing w:line="440" w:lineRule="exact"/>
        <w:ind w:firstLine="420" w:firstLineChars="200"/>
        <w:jc w:val="left"/>
        <w:rPr>
          <w:rFonts w:ascii="宋体" w:hAnsi="宋体" w:cs="宋体"/>
          <w:szCs w:val="21"/>
        </w:rPr>
      </w:pPr>
      <w:r>
        <w:rPr>
          <w:rFonts w:hint="eastAsia" w:ascii="宋体" w:hAnsi="宋体" w:cs="宋体"/>
          <w:szCs w:val="21"/>
        </w:rPr>
        <w:t>（5）已标价工程量清单；</w:t>
      </w:r>
    </w:p>
    <w:p>
      <w:pPr>
        <w:spacing w:line="440" w:lineRule="exact"/>
        <w:ind w:firstLine="420" w:firstLineChars="200"/>
        <w:jc w:val="left"/>
        <w:rPr>
          <w:rFonts w:ascii="宋体" w:hAnsi="宋体" w:cs="宋体"/>
          <w:szCs w:val="21"/>
        </w:rPr>
      </w:pPr>
      <w:r>
        <w:rPr>
          <w:rFonts w:hint="eastAsia" w:ascii="宋体" w:hAnsi="宋体" w:cs="宋体"/>
          <w:szCs w:val="21"/>
        </w:rPr>
        <w:t>（6）施工组织设计；</w:t>
      </w:r>
    </w:p>
    <w:p>
      <w:pPr>
        <w:spacing w:line="440" w:lineRule="exact"/>
        <w:ind w:firstLine="420" w:firstLineChars="200"/>
        <w:jc w:val="left"/>
        <w:rPr>
          <w:rFonts w:ascii="宋体" w:hAnsi="宋体" w:cs="宋体"/>
          <w:szCs w:val="21"/>
        </w:rPr>
      </w:pPr>
      <w:r>
        <w:rPr>
          <w:rFonts w:hint="eastAsia" w:ascii="宋体" w:hAnsi="宋体" w:cs="宋体"/>
          <w:szCs w:val="21"/>
        </w:rPr>
        <w:t>（7）项目管理机构；</w:t>
      </w:r>
    </w:p>
    <w:p>
      <w:pPr>
        <w:spacing w:line="440" w:lineRule="exact"/>
        <w:ind w:firstLine="420" w:firstLineChars="200"/>
        <w:jc w:val="left"/>
        <w:rPr>
          <w:rFonts w:ascii="宋体" w:hAnsi="宋体" w:cs="宋体"/>
          <w:szCs w:val="21"/>
        </w:rPr>
      </w:pPr>
      <w:r>
        <w:rPr>
          <w:rFonts w:hint="eastAsia" w:ascii="宋体" w:hAnsi="宋体" w:cs="宋体"/>
          <w:szCs w:val="21"/>
        </w:rPr>
        <w:t>（8）拟分包项目情况表；</w:t>
      </w:r>
    </w:p>
    <w:p>
      <w:pPr>
        <w:spacing w:line="440" w:lineRule="exact"/>
        <w:ind w:firstLine="420" w:firstLineChars="200"/>
        <w:jc w:val="left"/>
        <w:rPr>
          <w:rFonts w:ascii="宋体" w:hAnsi="宋体" w:cs="宋体"/>
          <w:szCs w:val="21"/>
        </w:rPr>
      </w:pPr>
      <w:r>
        <w:rPr>
          <w:rFonts w:hint="eastAsia" w:ascii="宋体" w:hAnsi="宋体" w:cs="宋体"/>
          <w:szCs w:val="21"/>
        </w:rPr>
        <w:t>（9）资格审查资料；</w:t>
      </w:r>
    </w:p>
    <w:p>
      <w:pPr>
        <w:spacing w:line="440" w:lineRule="exact"/>
        <w:ind w:firstLine="420" w:firstLineChars="200"/>
        <w:jc w:val="left"/>
        <w:rPr>
          <w:rFonts w:ascii="宋体" w:hAnsi="宋体" w:cs="宋体"/>
          <w:szCs w:val="21"/>
        </w:rPr>
      </w:pPr>
      <w:r>
        <w:rPr>
          <w:rFonts w:hint="eastAsia" w:ascii="宋体" w:hAnsi="宋体" w:cs="宋体"/>
          <w:szCs w:val="21"/>
        </w:rPr>
        <w:t>（10）调价函及调价后的工程量清单（如有）；</w:t>
      </w:r>
    </w:p>
    <w:p>
      <w:pPr>
        <w:spacing w:line="440" w:lineRule="exact"/>
        <w:ind w:firstLine="420" w:firstLineChars="200"/>
        <w:jc w:val="left"/>
        <w:rPr>
          <w:rFonts w:ascii="宋体" w:hAnsi="宋体" w:cs="宋体"/>
          <w:szCs w:val="21"/>
        </w:rPr>
      </w:pPr>
      <w:r>
        <w:rPr>
          <w:rFonts w:hint="eastAsia" w:ascii="宋体" w:hAnsi="宋体" w:cs="宋体"/>
          <w:szCs w:val="21"/>
        </w:rPr>
        <w:t>（11）</w:t>
      </w:r>
      <w:r>
        <w:rPr>
          <w:rFonts w:hint="eastAsia" w:ascii="宋体" w:hAnsi="宋体" w:cs="宋体"/>
          <w:szCs w:val="21"/>
          <w:lang w:eastAsia="zh-CN"/>
        </w:rPr>
        <w:t>交易须知</w:t>
      </w:r>
      <w:r>
        <w:rPr>
          <w:rFonts w:hint="eastAsia" w:ascii="宋体" w:hAnsi="宋体" w:cs="宋体"/>
          <w:szCs w:val="21"/>
        </w:rPr>
        <w:t>前附表规定的其他资料。</w:t>
      </w:r>
    </w:p>
    <w:p>
      <w:pPr>
        <w:spacing w:line="440" w:lineRule="exact"/>
        <w:ind w:firstLine="420" w:firstLineChars="200"/>
        <w:jc w:val="left"/>
        <w:rPr>
          <w:rFonts w:ascii="宋体" w:hAnsi="宋体" w:cs="宋体"/>
          <w:szCs w:val="21"/>
        </w:rPr>
      </w:pPr>
      <w:r>
        <w:rPr>
          <w:rFonts w:hint="eastAsia" w:ascii="宋体" w:hAnsi="宋体" w:cs="宋体"/>
          <w:szCs w:val="21"/>
          <w:lang w:eastAsia="zh-CN"/>
        </w:rPr>
        <w:t>交易响应单位</w:t>
      </w:r>
      <w:r>
        <w:rPr>
          <w:rFonts w:hint="eastAsia" w:ascii="宋体" w:hAnsi="宋体" w:cs="宋体"/>
          <w:szCs w:val="21"/>
        </w:rPr>
        <w:t>在评标过程中作出的符合法律法规和</w:t>
      </w:r>
      <w:r>
        <w:rPr>
          <w:rFonts w:hint="eastAsia" w:ascii="宋体" w:hAnsi="宋体" w:cs="宋体"/>
          <w:szCs w:val="21"/>
          <w:lang w:eastAsia="zh-CN"/>
        </w:rPr>
        <w:t>交易文件</w:t>
      </w:r>
      <w:r>
        <w:rPr>
          <w:rFonts w:hint="eastAsia" w:ascii="宋体" w:hAnsi="宋体" w:cs="宋体"/>
          <w:szCs w:val="21"/>
        </w:rPr>
        <w:t>规定的澄清确认，构成</w:t>
      </w:r>
      <w:r>
        <w:rPr>
          <w:rFonts w:hint="eastAsia" w:ascii="宋体" w:hAnsi="宋体" w:cs="宋体"/>
          <w:szCs w:val="21"/>
          <w:lang w:eastAsia="zh-CN"/>
        </w:rPr>
        <w:t>交易响应文件</w:t>
      </w:r>
      <w:r>
        <w:rPr>
          <w:rFonts w:hint="eastAsia" w:ascii="宋体" w:hAnsi="宋体" w:cs="宋体"/>
          <w:szCs w:val="21"/>
        </w:rPr>
        <w:t>的组成部分。</w:t>
      </w:r>
    </w:p>
    <w:p>
      <w:pPr>
        <w:pStyle w:val="4"/>
        <w:spacing w:line="440" w:lineRule="exact"/>
        <w:ind w:firstLine="422" w:firstLineChars="200"/>
        <w:jc w:val="left"/>
        <w:rPr>
          <w:rFonts w:ascii="宋体" w:hAnsi="宋体" w:cs="宋体"/>
          <w:sz w:val="21"/>
          <w:szCs w:val="21"/>
        </w:rPr>
      </w:pPr>
      <w:bookmarkStart w:id="65" w:name="_Toc19366"/>
      <w:bookmarkStart w:id="66" w:name="_Toc369608015"/>
      <w:bookmarkStart w:id="67" w:name="_Toc432367720"/>
      <w:r>
        <w:rPr>
          <w:rFonts w:hint="eastAsia" w:ascii="宋体" w:hAnsi="宋体" w:cs="宋体"/>
          <w:sz w:val="21"/>
          <w:szCs w:val="21"/>
        </w:rPr>
        <w:t>3.2 投标报价</w:t>
      </w:r>
      <w:bookmarkEnd w:id="65"/>
      <w:bookmarkEnd w:id="66"/>
      <w:bookmarkEnd w:id="67"/>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3.2.1投标报价应包括国家规定的增值税税金，除</w:t>
      </w:r>
      <w:r>
        <w:rPr>
          <w:rFonts w:hint="eastAsia"/>
          <w:szCs w:val="21"/>
          <w:lang w:val="en-US" w:eastAsia="zh-CN" w:bidi="ar-SA"/>
        </w:rPr>
        <w:t>交易须知</w:t>
      </w:r>
      <w:r>
        <w:rPr>
          <w:rFonts w:hint="eastAsia"/>
          <w:szCs w:val="21"/>
          <w:lang w:val="en-US" w:bidi="ar-SA"/>
        </w:rPr>
        <w:t>前附表另有规定外， 增值税税金按一般计税方法计算。</w:t>
      </w:r>
      <w:r>
        <w:rPr>
          <w:rFonts w:hint="eastAsia"/>
          <w:szCs w:val="21"/>
          <w:lang w:val="en-US" w:eastAsia="zh-CN" w:bidi="ar-SA"/>
        </w:rPr>
        <w:t>交易响应单位</w:t>
      </w:r>
      <w:r>
        <w:rPr>
          <w:rFonts w:hint="eastAsia"/>
          <w:szCs w:val="21"/>
          <w:lang w:val="en-US" w:bidi="ar-SA"/>
        </w:rPr>
        <w:t>应按第九章“</w:t>
      </w:r>
      <w:r>
        <w:rPr>
          <w:rFonts w:hint="eastAsia"/>
          <w:szCs w:val="21"/>
          <w:lang w:val="en-US" w:eastAsia="zh-CN" w:bidi="ar-SA"/>
        </w:rPr>
        <w:t>交易响应文件</w:t>
      </w:r>
      <w:r>
        <w:rPr>
          <w:rFonts w:hint="eastAsia"/>
          <w:szCs w:val="21"/>
          <w:lang w:val="en-US" w:bidi="ar-SA"/>
        </w:rPr>
        <w:t>格式”的要求在投标函中进行报价并填写工程量清单相应表格。</w:t>
      </w:r>
    </w:p>
    <w:p>
      <w:pPr>
        <w:pStyle w:val="10"/>
        <w:spacing w:line="440" w:lineRule="exact"/>
        <w:ind w:firstLine="420" w:firstLineChars="200"/>
        <w:jc w:val="left"/>
        <w:rPr>
          <w:rFonts w:ascii="宋体" w:hAnsi="宋体" w:cs="宋体"/>
          <w:szCs w:val="21"/>
        </w:rPr>
      </w:pPr>
      <w:r>
        <w:rPr>
          <w:rFonts w:hint="eastAsia" w:ascii="宋体" w:hAnsi="宋体" w:cs="宋体"/>
          <w:szCs w:val="21"/>
        </w:rPr>
        <w:t>工程量清单的填写分下列两种方式。</w:t>
      </w:r>
      <w:r>
        <w:rPr>
          <w:rFonts w:hint="eastAsia" w:ascii="宋体" w:hAnsi="宋体" w:cs="宋体"/>
          <w:szCs w:val="21"/>
          <w:lang w:eastAsia="zh-CN"/>
        </w:rPr>
        <w:t>交易响应单位</w:t>
      </w:r>
      <w:r>
        <w:rPr>
          <w:rFonts w:hint="eastAsia" w:ascii="宋体" w:hAnsi="宋体" w:cs="宋体"/>
          <w:szCs w:val="21"/>
        </w:rPr>
        <w:t>应按</w:t>
      </w:r>
      <w:r>
        <w:rPr>
          <w:rFonts w:hint="eastAsia" w:ascii="宋体" w:hAnsi="宋体" w:cs="宋体"/>
          <w:szCs w:val="21"/>
          <w:lang w:eastAsia="zh-CN"/>
        </w:rPr>
        <w:t>交易须知</w:t>
      </w:r>
      <w:r>
        <w:rPr>
          <w:rFonts w:hint="eastAsia" w:ascii="宋体" w:hAnsi="宋体" w:cs="宋体"/>
          <w:szCs w:val="21"/>
        </w:rPr>
        <w:t>前附表规定的方式填写工程量清单。</w:t>
      </w:r>
    </w:p>
    <w:p>
      <w:pPr>
        <w:pStyle w:val="10"/>
        <w:spacing w:line="440" w:lineRule="exact"/>
        <w:ind w:firstLine="420" w:firstLineChars="200"/>
        <w:jc w:val="left"/>
        <w:rPr>
          <w:rFonts w:ascii="宋体" w:hAnsi="宋体" w:cs="宋体"/>
          <w:szCs w:val="21"/>
        </w:rPr>
      </w:pPr>
      <w:r>
        <w:rPr>
          <w:rFonts w:hint="eastAsia" w:ascii="宋体" w:hAnsi="宋体" w:cs="宋体"/>
          <w:szCs w:val="21"/>
        </w:rPr>
        <w:t>（1）本项目招标采用工程量固化清单，招标人在出售</w:t>
      </w:r>
      <w:r>
        <w:rPr>
          <w:rFonts w:hint="eastAsia" w:ascii="宋体" w:hAnsi="宋体" w:cs="宋体"/>
          <w:szCs w:val="21"/>
          <w:lang w:eastAsia="zh-CN"/>
        </w:rPr>
        <w:t>交易文件</w:t>
      </w:r>
      <w:r>
        <w:rPr>
          <w:rFonts w:hint="eastAsia" w:ascii="宋体" w:hAnsi="宋体" w:cs="宋体"/>
          <w:szCs w:val="21"/>
        </w:rPr>
        <w:t>的同时向</w:t>
      </w:r>
      <w:r>
        <w:rPr>
          <w:rFonts w:hint="eastAsia" w:ascii="宋体" w:hAnsi="宋体" w:cs="宋体"/>
          <w:szCs w:val="21"/>
          <w:lang w:eastAsia="zh-CN"/>
        </w:rPr>
        <w:t>交易响应单位</w:t>
      </w:r>
      <w:r>
        <w:rPr>
          <w:rFonts w:hint="eastAsia" w:ascii="宋体" w:hAnsi="宋体" w:cs="宋体"/>
          <w:szCs w:val="21"/>
        </w:rPr>
        <w:t>提供工程量固化清单电子文件（光盘或 U 盘），或将工程量固化清单电子文件上传至</w:t>
      </w:r>
      <w:r>
        <w:rPr>
          <w:rFonts w:hint="eastAsia" w:ascii="宋体" w:hAnsi="宋体" w:cs="宋体"/>
          <w:szCs w:val="21"/>
          <w:lang w:eastAsia="zh-CN"/>
        </w:rPr>
        <w:t>交易须知</w:t>
      </w:r>
      <w:r>
        <w:rPr>
          <w:rFonts w:hint="eastAsia" w:ascii="宋体" w:hAnsi="宋体" w:cs="宋体"/>
          <w:szCs w:val="21"/>
        </w:rPr>
        <w:t>前附表载明的网站供</w:t>
      </w:r>
      <w:r>
        <w:rPr>
          <w:rFonts w:hint="eastAsia" w:ascii="宋体" w:hAnsi="宋体" w:cs="宋体"/>
          <w:szCs w:val="21"/>
          <w:lang w:eastAsia="zh-CN"/>
        </w:rPr>
        <w:t>交易响应单位</w:t>
      </w:r>
      <w:r>
        <w:rPr>
          <w:rFonts w:hint="eastAsia" w:ascii="宋体" w:hAnsi="宋体" w:cs="宋体"/>
          <w:szCs w:val="21"/>
        </w:rPr>
        <w:t>自行下载。</w:t>
      </w:r>
      <w:r>
        <w:rPr>
          <w:rFonts w:hint="eastAsia" w:ascii="宋体" w:hAnsi="宋体" w:cs="宋体"/>
          <w:szCs w:val="21"/>
          <w:lang w:eastAsia="zh-CN"/>
        </w:rPr>
        <w:t>交易响应单位</w:t>
      </w:r>
      <w:r>
        <w:rPr>
          <w:rFonts w:hint="eastAsia" w:ascii="宋体" w:hAnsi="宋体" w:cs="宋体"/>
          <w:szCs w:val="21"/>
        </w:rPr>
        <w:t>填写工程量清单中各子目的单价及总额价，即可完成投标工程量清单的编制，确定投标报价，并打印出投标工程量清单，编入</w:t>
      </w:r>
      <w:r>
        <w:rPr>
          <w:rFonts w:hint="eastAsia" w:ascii="宋体" w:hAnsi="宋体" w:cs="宋体"/>
          <w:szCs w:val="21"/>
          <w:lang w:eastAsia="zh-CN"/>
        </w:rPr>
        <w:t>交易响应文件</w:t>
      </w:r>
      <w:r>
        <w:rPr>
          <w:rFonts w:hint="eastAsia" w:ascii="宋体" w:hAnsi="宋体" w:cs="宋体"/>
          <w:szCs w:val="21"/>
        </w:rPr>
        <w:t>。</w:t>
      </w:r>
      <w:r>
        <w:rPr>
          <w:rFonts w:hint="eastAsia" w:ascii="宋体" w:hAnsi="宋体" w:cs="宋体"/>
          <w:szCs w:val="21"/>
          <w:lang w:eastAsia="zh-CN"/>
        </w:rPr>
        <w:t>交易响应单位</w:t>
      </w:r>
      <w:r>
        <w:rPr>
          <w:rFonts w:hint="eastAsia" w:ascii="宋体" w:hAnsi="宋体" w:cs="宋体"/>
          <w:szCs w:val="21"/>
        </w:rPr>
        <w:t>未在工程量清单中填入单价或总额价的工程子目，将被认为其已包含在工程量清单其他子目的单价和总额价中，招标人将不予支付。</w:t>
      </w:r>
    </w:p>
    <w:p>
      <w:pPr>
        <w:pStyle w:val="10"/>
        <w:spacing w:line="440" w:lineRule="exact"/>
        <w:ind w:firstLine="420" w:firstLineChars="200"/>
        <w:jc w:val="left"/>
        <w:rPr>
          <w:rFonts w:ascii="宋体" w:hAnsi="宋体" w:cs="宋体"/>
          <w:szCs w:val="21"/>
        </w:rPr>
      </w:pPr>
      <w:r>
        <w:rPr>
          <w:rFonts w:hint="eastAsia" w:ascii="宋体" w:hAnsi="宋体" w:cs="宋体"/>
          <w:szCs w:val="21"/>
          <w:lang w:eastAsia="zh-CN"/>
        </w:rPr>
        <w:t>交易响应单位</w:t>
      </w:r>
      <w:r>
        <w:rPr>
          <w:rFonts w:hint="eastAsia" w:ascii="宋体" w:hAnsi="宋体" w:cs="宋体"/>
          <w:szCs w:val="21"/>
        </w:rPr>
        <w:t>必须严格遵循工程量固化清单电子文件中的数据、格式及运算定义，并将已填写完毕的投标工程量清单电子文件单独拷入招标人提供的光盘（或 U 盘）中密封在</w:t>
      </w:r>
      <w:r>
        <w:rPr>
          <w:rFonts w:hint="eastAsia" w:ascii="宋体" w:hAnsi="宋体" w:cs="宋体"/>
          <w:szCs w:val="21"/>
          <w:lang w:eastAsia="zh-CN"/>
        </w:rPr>
        <w:t>交易响应文件</w:t>
      </w:r>
      <w:r>
        <w:rPr>
          <w:rFonts w:hint="eastAsia" w:ascii="宋体" w:hAnsi="宋体" w:cs="宋体"/>
          <w:szCs w:val="21"/>
        </w:rPr>
        <w:t>内一并交回。严禁</w:t>
      </w:r>
      <w:r>
        <w:rPr>
          <w:rFonts w:hint="eastAsia" w:ascii="宋体" w:hAnsi="宋体" w:cs="宋体"/>
          <w:szCs w:val="21"/>
          <w:lang w:eastAsia="zh-CN"/>
        </w:rPr>
        <w:t>交易响应单位</w:t>
      </w:r>
      <w:r>
        <w:rPr>
          <w:rFonts w:hint="eastAsia" w:ascii="宋体" w:hAnsi="宋体" w:cs="宋体"/>
          <w:szCs w:val="21"/>
        </w:rPr>
        <w:t>修改工程量固化清单电子文件中的数据、格式及运算定义。</w:t>
      </w:r>
    </w:p>
    <w:p>
      <w:pPr>
        <w:pStyle w:val="10"/>
        <w:spacing w:line="440" w:lineRule="exact"/>
        <w:ind w:firstLine="420" w:firstLineChars="200"/>
        <w:jc w:val="left"/>
        <w:rPr>
          <w:rFonts w:ascii="宋体" w:hAnsi="宋体" w:cs="宋体"/>
          <w:szCs w:val="21"/>
        </w:rPr>
      </w:pPr>
      <w:r>
        <w:rPr>
          <w:rFonts w:hint="eastAsia" w:ascii="宋体" w:hAnsi="宋体" w:cs="宋体"/>
          <w:szCs w:val="21"/>
          <w:lang w:eastAsia="zh-CN"/>
        </w:rPr>
        <w:t>交易响应单位</w:t>
      </w:r>
      <w:r>
        <w:rPr>
          <w:rFonts w:hint="eastAsia" w:ascii="宋体" w:hAnsi="宋体" w:cs="宋体"/>
          <w:szCs w:val="21"/>
        </w:rPr>
        <w:t>根据招标人提供的工程量固化清单电子文件填报完成并打印的投标工程量清单中的投标报价和投标函大写金额报价应一致，如果报价金额出现差异，其投标将被否决。</w:t>
      </w:r>
    </w:p>
    <w:p>
      <w:pPr>
        <w:pStyle w:val="10"/>
        <w:spacing w:line="440" w:lineRule="exact"/>
        <w:ind w:firstLine="420" w:firstLineChars="200"/>
        <w:jc w:val="left"/>
        <w:rPr>
          <w:rFonts w:ascii="宋体" w:hAnsi="宋体" w:cs="宋体"/>
          <w:szCs w:val="21"/>
        </w:rPr>
      </w:pPr>
      <w:r>
        <w:rPr>
          <w:rFonts w:hint="eastAsia" w:ascii="宋体" w:hAnsi="宋体" w:cs="宋体"/>
          <w:szCs w:val="21"/>
        </w:rPr>
        <w:t>（2）本项目招标由招标人提供书面工程量清单，由</w:t>
      </w:r>
      <w:r>
        <w:rPr>
          <w:rFonts w:hint="eastAsia" w:ascii="宋体" w:hAnsi="宋体" w:cs="宋体"/>
          <w:szCs w:val="21"/>
          <w:lang w:eastAsia="zh-CN"/>
        </w:rPr>
        <w:t>交易响应单位</w:t>
      </w:r>
      <w:r>
        <w:rPr>
          <w:rFonts w:hint="eastAsia" w:ascii="宋体" w:hAnsi="宋体" w:cs="宋体"/>
          <w:szCs w:val="21"/>
        </w:rPr>
        <w:t>按照招标人提供的工程量清单填写本合同各工程子目的单价、合价和总额价。评标委员会将按照第三章“ 评标办法”的规定对投标价进行算术性错误修正及其他错误修正。</w:t>
      </w:r>
    </w:p>
    <w:p>
      <w:pPr>
        <w:pStyle w:val="10"/>
        <w:spacing w:line="440" w:lineRule="exact"/>
        <w:ind w:firstLine="420" w:firstLineChars="200"/>
        <w:jc w:val="left"/>
        <w:rPr>
          <w:rFonts w:ascii="宋体" w:hAnsi="宋体" w:cs="宋体"/>
          <w:szCs w:val="21"/>
        </w:rPr>
      </w:pPr>
      <w:r>
        <w:rPr>
          <w:rFonts w:hint="eastAsia" w:ascii="宋体" w:hAnsi="宋体" w:cs="宋体"/>
          <w:szCs w:val="21"/>
        </w:rPr>
        <w:t>3.2.2</w:t>
      </w:r>
      <w:r>
        <w:rPr>
          <w:rFonts w:hint="eastAsia" w:ascii="宋体" w:hAnsi="宋体" w:cs="宋体"/>
          <w:szCs w:val="21"/>
          <w:lang w:eastAsia="zh-CN"/>
        </w:rPr>
        <w:t>交易响应单位</w:t>
      </w:r>
      <w:r>
        <w:rPr>
          <w:rFonts w:hint="eastAsia" w:ascii="宋体" w:hAnsi="宋体" w:cs="宋体"/>
          <w:szCs w:val="21"/>
        </w:rPr>
        <w:t>应充分了解本项目的总体情况以及影响投标报价的其他要素。</w:t>
      </w:r>
    </w:p>
    <w:p>
      <w:pPr>
        <w:pStyle w:val="10"/>
        <w:spacing w:line="440" w:lineRule="exact"/>
        <w:ind w:firstLine="420" w:firstLineChars="200"/>
        <w:jc w:val="left"/>
        <w:rPr>
          <w:rFonts w:ascii="宋体" w:hAnsi="宋体" w:cs="宋体"/>
          <w:szCs w:val="21"/>
        </w:rPr>
      </w:pPr>
      <w:r>
        <w:rPr>
          <w:rFonts w:hint="eastAsia" w:ascii="宋体" w:hAnsi="宋体" w:cs="宋体"/>
          <w:szCs w:val="21"/>
        </w:rPr>
        <w:t>3.2.3本项目的报价方式见</w:t>
      </w:r>
      <w:r>
        <w:rPr>
          <w:rFonts w:hint="eastAsia" w:ascii="宋体" w:hAnsi="宋体" w:cs="宋体"/>
          <w:szCs w:val="21"/>
          <w:lang w:eastAsia="zh-CN"/>
        </w:rPr>
        <w:t>交易须知</w:t>
      </w:r>
      <w:r>
        <w:rPr>
          <w:rFonts w:hint="eastAsia" w:ascii="宋体" w:hAnsi="宋体" w:cs="宋体"/>
          <w:szCs w:val="21"/>
        </w:rPr>
        <w:t>前附表。</w:t>
      </w:r>
      <w:r>
        <w:rPr>
          <w:rFonts w:hint="eastAsia" w:ascii="宋体" w:hAnsi="宋体" w:cs="宋体"/>
          <w:szCs w:val="21"/>
          <w:lang w:eastAsia="zh-CN"/>
        </w:rPr>
        <w:t>交易响应单位</w:t>
      </w:r>
      <w:r>
        <w:rPr>
          <w:rFonts w:hint="eastAsia" w:ascii="宋体" w:hAnsi="宋体" w:cs="宋体"/>
          <w:szCs w:val="21"/>
        </w:rPr>
        <w:t>在投标截止时间前修改投标函中的投标总报价，应同时修改</w:t>
      </w:r>
      <w:r>
        <w:rPr>
          <w:rFonts w:hint="eastAsia" w:ascii="宋体" w:hAnsi="宋体" w:cs="宋体"/>
          <w:szCs w:val="21"/>
          <w:lang w:eastAsia="zh-CN"/>
        </w:rPr>
        <w:t>交易响应文件</w:t>
      </w:r>
      <w:r>
        <w:rPr>
          <w:rFonts w:hint="eastAsia" w:ascii="宋体" w:hAnsi="宋体" w:cs="宋体"/>
          <w:szCs w:val="21"/>
        </w:rPr>
        <w:t>“已标价工程量清单”中的相应报价。此修改须符合本章第 4.3 款的有关要求。</w:t>
      </w:r>
    </w:p>
    <w:p>
      <w:pPr>
        <w:pStyle w:val="10"/>
        <w:spacing w:line="440" w:lineRule="exact"/>
        <w:ind w:firstLine="420" w:firstLineChars="200"/>
        <w:jc w:val="left"/>
        <w:rPr>
          <w:rFonts w:ascii="宋体" w:hAnsi="宋体" w:cs="宋体"/>
          <w:szCs w:val="21"/>
        </w:rPr>
      </w:pPr>
      <w:r>
        <w:rPr>
          <w:rFonts w:hint="eastAsia" w:ascii="宋体" w:hAnsi="宋体" w:cs="宋体"/>
          <w:szCs w:val="21"/>
        </w:rPr>
        <w:t>3.2.4</w:t>
      </w:r>
      <w:r>
        <w:rPr>
          <w:rFonts w:hint="eastAsia" w:ascii="宋体" w:hAnsi="宋体" w:cs="宋体"/>
          <w:szCs w:val="21"/>
          <w:lang w:eastAsia="zh-CN"/>
        </w:rPr>
        <w:t>交易响应单位</w:t>
      </w:r>
      <w:r>
        <w:rPr>
          <w:rFonts w:hint="eastAsia" w:ascii="宋体" w:hAnsi="宋体" w:cs="宋体"/>
          <w:szCs w:val="21"/>
        </w:rPr>
        <w:t>如果发现工程量清单中的数量与图纸中数量不一致时，应立即通知招标人核查，除非招标人以书面方式予以更正，否则，应以工程量清单中列出的数量为准。</w:t>
      </w:r>
    </w:p>
    <w:p>
      <w:pPr>
        <w:pStyle w:val="10"/>
        <w:spacing w:line="440" w:lineRule="exact"/>
        <w:ind w:firstLine="420" w:firstLineChars="200"/>
        <w:jc w:val="left"/>
        <w:rPr>
          <w:rFonts w:ascii="宋体" w:hAnsi="宋体" w:cs="宋体"/>
          <w:szCs w:val="21"/>
        </w:rPr>
      </w:pPr>
      <w:r>
        <w:rPr>
          <w:rFonts w:hint="eastAsia" w:ascii="宋体" w:hAnsi="宋体" w:cs="宋体"/>
          <w:szCs w:val="21"/>
        </w:rPr>
        <w:t>3.2.5</w:t>
      </w:r>
      <w:r>
        <w:rPr>
          <w:rFonts w:hint="eastAsia" w:ascii="宋体" w:hAnsi="宋体" w:cs="宋体"/>
          <w:szCs w:val="21"/>
          <w:lang w:eastAsia="zh-CN"/>
        </w:rPr>
        <w:t>交易响应单位</w:t>
      </w:r>
      <w:r>
        <w:rPr>
          <w:rFonts w:hint="eastAsia" w:ascii="宋体" w:hAnsi="宋体" w:cs="宋体"/>
          <w:szCs w:val="21"/>
        </w:rPr>
        <w:t>应根据《公路水运工程安全生产监督管理办法》，在投标总价中计入安全生产费用，安全生产费用应符合合同条款第 9.2.5 项的规定。工程量清单第 100 章内列有上述安全生产费的支付子目，由</w:t>
      </w:r>
      <w:r>
        <w:rPr>
          <w:rFonts w:hint="eastAsia" w:ascii="宋体" w:hAnsi="宋体" w:cs="宋体"/>
          <w:szCs w:val="21"/>
          <w:lang w:eastAsia="zh-CN"/>
        </w:rPr>
        <w:t>交易响应单位</w:t>
      </w:r>
      <w:r>
        <w:rPr>
          <w:rFonts w:hint="eastAsia" w:ascii="宋体" w:hAnsi="宋体" w:cs="宋体"/>
          <w:szCs w:val="21"/>
        </w:rPr>
        <w:t>按</w:t>
      </w:r>
      <w:r>
        <w:rPr>
          <w:rFonts w:hint="eastAsia" w:ascii="宋体" w:hAnsi="宋体" w:cs="宋体"/>
          <w:szCs w:val="21"/>
          <w:lang w:eastAsia="zh-CN"/>
        </w:rPr>
        <w:t>交易文件</w:t>
      </w:r>
      <w:r>
        <w:rPr>
          <w:rFonts w:hint="eastAsia" w:ascii="宋体" w:hAnsi="宋体" w:cs="宋体"/>
          <w:szCs w:val="21"/>
        </w:rPr>
        <w:t>的规定填写总额价。</w:t>
      </w:r>
    </w:p>
    <w:p>
      <w:pPr>
        <w:pStyle w:val="10"/>
        <w:spacing w:line="440" w:lineRule="exact"/>
        <w:ind w:firstLine="420" w:firstLineChars="200"/>
        <w:jc w:val="left"/>
        <w:rPr>
          <w:rFonts w:ascii="宋体" w:hAnsi="宋体" w:cs="宋体"/>
          <w:szCs w:val="21"/>
        </w:rPr>
      </w:pPr>
      <w:r>
        <w:rPr>
          <w:rFonts w:hint="eastAsia" w:ascii="宋体" w:hAnsi="宋体" w:cs="宋体"/>
          <w:szCs w:val="21"/>
        </w:rPr>
        <w:t>3.2.6除</w:t>
      </w:r>
      <w:r>
        <w:rPr>
          <w:rFonts w:hint="eastAsia" w:ascii="宋体" w:hAnsi="宋体" w:cs="宋体"/>
          <w:szCs w:val="21"/>
          <w:lang w:eastAsia="zh-CN"/>
        </w:rPr>
        <w:t>交易须知</w:t>
      </w:r>
      <w:r>
        <w:rPr>
          <w:rFonts w:hint="eastAsia" w:ascii="宋体" w:hAnsi="宋体" w:cs="宋体"/>
          <w:szCs w:val="21"/>
        </w:rPr>
        <w:t>前附表另有规定外，招标人不接受调价函。若招标人接受调价函，则应在</w:t>
      </w:r>
      <w:r>
        <w:rPr>
          <w:rFonts w:hint="eastAsia" w:ascii="宋体" w:hAnsi="宋体" w:cs="宋体"/>
          <w:szCs w:val="21"/>
          <w:lang w:eastAsia="zh-CN"/>
        </w:rPr>
        <w:t>交易文件</w:t>
      </w:r>
      <w:r>
        <w:rPr>
          <w:rFonts w:hint="eastAsia" w:ascii="宋体" w:hAnsi="宋体" w:cs="宋体"/>
          <w:szCs w:val="21"/>
        </w:rPr>
        <w:t>中给出调价函的格式。</w:t>
      </w:r>
      <w:r>
        <w:rPr>
          <w:rFonts w:hint="eastAsia" w:ascii="宋体" w:hAnsi="宋体" w:cs="宋体"/>
          <w:szCs w:val="21"/>
          <w:lang w:eastAsia="zh-CN"/>
        </w:rPr>
        <w:t>交易响应单位</w:t>
      </w:r>
      <w:r>
        <w:rPr>
          <w:rFonts w:hint="eastAsia" w:ascii="宋体" w:hAnsi="宋体" w:cs="宋体"/>
          <w:szCs w:val="21"/>
        </w:rPr>
        <w:t>若有调价函则应遵循如下规定：</w:t>
      </w:r>
    </w:p>
    <w:p>
      <w:pPr>
        <w:pStyle w:val="10"/>
        <w:spacing w:line="440" w:lineRule="exact"/>
        <w:ind w:firstLine="420" w:firstLineChars="200"/>
        <w:jc w:val="left"/>
        <w:rPr>
          <w:rFonts w:ascii="宋体" w:hAnsi="宋体" w:cs="宋体"/>
          <w:szCs w:val="21"/>
        </w:rPr>
      </w:pPr>
      <w:r>
        <w:rPr>
          <w:rFonts w:hint="eastAsia" w:ascii="宋体" w:hAnsi="宋体" w:cs="宋体"/>
          <w:szCs w:val="21"/>
        </w:rPr>
        <w:t>（1）调价函必须采用</w:t>
      </w:r>
      <w:r>
        <w:rPr>
          <w:rFonts w:hint="eastAsia" w:ascii="宋体" w:hAnsi="宋体" w:cs="宋体"/>
          <w:szCs w:val="21"/>
          <w:lang w:eastAsia="zh-CN"/>
        </w:rPr>
        <w:t>交易文件</w:t>
      </w:r>
      <w:r>
        <w:rPr>
          <w:rFonts w:hint="eastAsia" w:ascii="宋体" w:hAnsi="宋体" w:cs="宋体"/>
          <w:szCs w:val="21"/>
        </w:rPr>
        <w:t>规定的格式；调价函应说明调价后的最终报价， 并以最终报价为准，而且</w:t>
      </w:r>
      <w:r>
        <w:rPr>
          <w:rFonts w:hint="eastAsia" w:ascii="宋体" w:hAnsi="宋体" w:cs="宋体"/>
          <w:szCs w:val="21"/>
          <w:lang w:eastAsia="zh-CN"/>
        </w:rPr>
        <w:t>交易响应单位</w:t>
      </w:r>
      <w:r>
        <w:rPr>
          <w:rFonts w:hint="eastAsia" w:ascii="宋体" w:hAnsi="宋体" w:cs="宋体"/>
          <w:szCs w:val="21"/>
        </w:rPr>
        <w:t>只能有一次调价的机会；</w:t>
      </w:r>
    </w:p>
    <w:p>
      <w:pPr>
        <w:pStyle w:val="10"/>
        <w:spacing w:line="440" w:lineRule="exact"/>
        <w:ind w:firstLine="420" w:firstLineChars="200"/>
        <w:jc w:val="left"/>
        <w:rPr>
          <w:rFonts w:ascii="宋体" w:hAnsi="宋体" w:cs="宋体"/>
          <w:szCs w:val="21"/>
        </w:rPr>
      </w:pPr>
      <w:r>
        <w:rPr>
          <w:rFonts w:hint="eastAsia" w:ascii="宋体" w:hAnsi="宋体" w:cs="宋体"/>
          <w:szCs w:val="21"/>
        </w:rPr>
        <w:t>（2）工程量清单中招标人指定的报价不允许调价；</w:t>
      </w:r>
    </w:p>
    <w:p>
      <w:pPr>
        <w:pStyle w:val="10"/>
        <w:spacing w:line="440" w:lineRule="exact"/>
        <w:ind w:firstLine="420" w:firstLineChars="200"/>
        <w:jc w:val="left"/>
        <w:rPr>
          <w:rFonts w:ascii="宋体" w:hAnsi="宋体" w:cs="宋体"/>
          <w:szCs w:val="21"/>
        </w:rPr>
      </w:pPr>
      <w:r>
        <w:rPr>
          <w:rFonts w:hint="eastAsia" w:ascii="宋体" w:hAnsi="宋体" w:cs="宋体"/>
          <w:szCs w:val="21"/>
        </w:rPr>
        <w:t>（3）调价函必须附有调价后的工程量清单；调价函必须粘贴或机械装订在</w:t>
      </w:r>
      <w:r>
        <w:rPr>
          <w:rFonts w:hint="eastAsia" w:ascii="宋体" w:hAnsi="宋体" w:cs="宋体"/>
          <w:szCs w:val="21"/>
          <w:lang w:eastAsia="zh-CN"/>
        </w:rPr>
        <w:t>交易响应文件</w:t>
      </w:r>
      <w:r>
        <w:rPr>
          <w:rFonts w:hint="eastAsia" w:ascii="宋体" w:hAnsi="宋体" w:cs="宋体"/>
          <w:szCs w:val="21"/>
        </w:rPr>
        <w:t>正本首页，与</w:t>
      </w:r>
      <w:r>
        <w:rPr>
          <w:rFonts w:hint="eastAsia" w:ascii="宋体" w:hAnsi="宋体" w:cs="宋体"/>
          <w:szCs w:val="21"/>
          <w:lang w:eastAsia="zh-CN"/>
        </w:rPr>
        <w:t>交易响应文件</w:t>
      </w:r>
      <w:r>
        <w:rPr>
          <w:rFonts w:hint="eastAsia" w:ascii="宋体" w:hAnsi="宋体" w:cs="宋体"/>
          <w:szCs w:val="21"/>
        </w:rPr>
        <w:t>一起密封提交。</w:t>
      </w:r>
    </w:p>
    <w:p>
      <w:pPr>
        <w:pStyle w:val="10"/>
        <w:spacing w:line="440" w:lineRule="exact"/>
        <w:ind w:firstLine="420" w:firstLineChars="200"/>
        <w:jc w:val="left"/>
        <w:rPr>
          <w:rFonts w:ascii="宋体" w:hAnsi="宋体" w:cs="宋体"/>
          <w:szCs w:val="21"/>
        </w:rPr>
      </w:pPr>
      <w:r>
        <w:rPr>
          <w:rFonts w:hint="eastAsia" w:ascii="宋体" w:hAnsi="宋体" w:cs="宋体"/>
          <w:szCs w:val="21"/>
        </w:rPr>
        <w:t>若</w:t>
      </w:r>
      <w:r>
        <w:rPr>
          <w:rFonts w:hint="eastAsia" w:ascii="宋体" w:hAnsi="宋体" w:cs="宋体"/>
          <w:szCs w:val="21"/>
          <w:lang w:eastAsia="zh-CN"/>
        </w:rPr>
        <w:t>交易响应单位</w:t>
      </w:r>
      <w:r>
        <w:rPr>
          <w:rFonts w:hint="eastAsia" w:ascii="宋体" w:hAnsi="宋体" w:cs="宋体"/>
          <w:szCs w:val="21"/>
        </w:rPr>
        <w:t>未提交调价后的工程量清单，或调价函未装在</w:t>
      </w:r>
      <w:r>
        <w:rPr>
          <w:rFonts w:hint="eastAsia" w:ascii="宋体" w:hAnsi="宋体" w:cs="宋体"/>
          <w:szCs w:val="21"/>
          <w:lang w:eastAsia="zh-CN"/>
        </w:rPr>
        <w:t>交易响应文件</w:t>
      </w:r>
      <w:r>
        <w:rPr>
          <w:rFonts w:hint="eastAsia" w:ascii="宋体" w:hAnsi="宋体" w:cs="宋体"/>
          <w:szCs w:val="21"/>
        </w:rPr>
        <w:t>正本首页，调价函均视为无效，仍以原报价作为最终报价。若</w:t>
      </w:r>
      <w:r>
        <w:rPr>
          <w:rFonts w:hint="eastAsia" w:ascii="宋体" w:hAnsi="宋体" w:cs="宋体"/>
          <w:szCs w:val="21"/>
          <w:lang w:eastAsia="zh-CN"/>
        </w:rPr>
        <w:t>交易响应单位</w:t>
      </w:r>
      <w:r>
        <w:rPr>
          <w:rFonts w:hint="eastAsia" w:ascii="宋体" w:hAnsi="宋体" w:cs="宋体"/>
          <w:szCs w:val="21"/>
        </w:rPr>
        <w:t>提交的调价函多于一个，或对不允许调价的内容进行了调价，或调价函有附加条件，其投标将被否决。</w:t>
      </w:r>
    </w:p>
    <w:p>
      <w:pPr>
        <w:pStyle w:val="10"/>
        <w:spacing w:line="440" w:lineRule="exact"/>
        <w:ind w:firstLine="420" w:firstLineChars="200"/>
        <w:jc w:val="left"/>
        <w:rPr>
          <w:rFonts w:ascii="宋体" w:hAnsi="宋体" w:cs="宋体"/>
          <w:szCs w:val="21"/>
        </w:rPr>
      </w:pPr>
      <w:r>
        <w:rPr>
          <w:rFonts w:hint="eastAsia" w:ascii="宋体" w:hAnsi="宋体" w:cs="宋体"/>
          <w:szCs w:val="21"/>
        </w:rPr>
        <w:t>（4）若招标人接受调价函，</w:t>
      </w:r>
      <w:r>
        <w:rPr>
          <w:rFonts w:hint="eastAsia" w:ascii="宋体" w:hAnsi="宋体" w:cs="宋体"/>
          <w:szCs w:val="21"/>
          <w:lang w:eastAsia="zh-CN"/>
        </w:rPr>
        <w:t>交易响应单位</w:t>
      </w:r>
      <w:r>
        <w:rPr>
          <w:rFonts w:hint="eastAsia" w:ascii="宋体" w:hAnsi="宋体" w:cs="宋体"/>
          <w:szCs w:val="21"/>
        </w:rPr>
        <w:t>调价后的工程量清单和有效调价函的大写金额报价应保持一致，如果报价金额出现差异，则以有效调价函的大写金额报价为准。</w:t>
      </w:r>
    </w:p>
    <w:p>
      <w:pPr>
        <w:pStyle w:val="10"/>
        <w:spacing w:line="440" w:lineRule="exact"/>
        <w:ind w:firstLine="420" w:firstLineChars="200"/>
        <w:jc w:val="left"/>
        <w:rPr>
          <w:rFonts w:ascii="宋体" w:hAnsi="宋体" w:cs="宋体"/>
          <w:szCs w:val="21"/>
        </w:rPr>
      </w:pPr>
      <w:r>
        <w:rPr>
          <w:rFonts w:hint="eastAsia" w:ascii="宋体" w:hAnsi="宋体" w:cs="宋体"/>
          <w:szCs w:val="21"/>
        </w:rPr>
        <w:t>3.2.7在合同实施期间，</w:t>
      </w:r>
      <w:r>
        <w:rPr>
          <w:rFonts w:hint="eastAsia" w:ascii="宋体" w:hAnsi="宋体" w:cs="宋体"/>
          <w:szCs w:val="21"/>
          <w:lang w:eastAsia="zh-CN"/>
        </w:rPr>
        <w:t>交易响应单位</w:t>
      </w:r>
      <w:r>
        <w:rPr>
          <w:rFonts w:hint="eastAsia" w:ascii="宋体" w:hAnsi="宋体" w:cs="宋体"/>
          <w:szCs w:val="21"/>
        </w:rPr>
        <w:t>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w:t>
      </w:r>
      <w:r>
        <w:rPr>
          <w:rFonts w:hint="eastAsia" w:ascii="宋体" w:hAnsi="宋体" w:cs="宋体"/>
          <w:szCs w:val="21"/>
          <w:lang w:eastAsia="zh-CN"/>
        </w:rPr>
        <w:t>交易响应单位</w:t>
      </w:r>
      <w:r>
        <w:rPr>
          <w:rFonts w:hint="eastAsia" w:ascii="宋体" w:hAnsi="宋体" w:cs="宋体"/>
          <w:szCs w:val="21"/>
        </w:rPr>
        <w:t>在此范围内填写各可调因子的权重，合同实施期间将按此权重进行调价。</w:t>
      </w:r>
    </w:p>
    <w:p>
      <w:pPr>
        <w:pStyle w:val="10"/>
        <w:spacing w:line="440" w:lineRule="exact"/>
        <w:ind w:firstLine="420" w:firstLineChars="200"/>
        <w:jc w:val="left"/>
        <w:rPr>
          <w:rFonts w:ascii="宋体" w:hAnsi="宋体" w:cs="宋体"/>
          <w:szCs w:val="21"/>
        </w:rPr>
      </w:pPr>
      <w:r>
        <w:rPr>
          <w:rFonts w:hint="eastAsia" w:ascii="宋体" w:hAnsi="宋体" w:cs="宋体"/>
          <w:szCs w:val="21"/>
        </w:rPr>
        <w:t>3.2.8招标人设有最高投标限价的，</w:t>
      </w:r>
      <w:r>
        <w:rPr>
          <w:rFonts w:hint="eastAsia" w:ascii="宋体" w:hAnsi="宋体" w:cs="宋体"/>
          <w:szCs w:val="21"/>
          <w:lang w:eastAsia="zh-CN"/>
        </w:rPr>
        <w:t>交易响应单位</w:t>
      </w:r>
      <w:r>
        <w:rPr>
          <w:rFonts w:hint="eastAsia" w:ascii="宋体" w:hAnsi="宋体" w:cs="宋体"/>
          <w:szCs w:val="21"/>
        </w:rPr>
        <w:t>的投标报价不得超过最高投标限价， 最高投标限价在</w:t>
      </w:r>
      <w:r>
        <w:rPr>
          <w:rFonts w:hint="eastAsia" w:ascii="宋体" w:hAnsi="宋体" w:cs="宋体"/>
          <w:szCs w:val="21"/>
          <w:lang w:eastAsia="zh-CN"/>
        </w:rPr>
        <w:t>交易须知</w:t>
      </w:r>
      <w:r>
        <w:rPr>
          <w:rFonts w:hint="eastAsia" w:ascii="宋体" w:hAnsi="宋体" w:cs="宋体"/>
          <w:szCs w:val="21"/>
        </w:rPr>
        <w:t>前附表中载明。</w:t>
      </w:r>
    </w:p>
    <w:p>
      <w:pPr>
        <w:pStyle w:val="10"/>
        <w:spacing w:line="440" w:lineRule="exact"/>
        <w:ind w:firstLine="420" w:firstLineChars="200"/>
        <w:jc w:val="left"/>
        <w:rPr>
          <w:rFonts w:ascii="宋体" w:hAnsi="宋体" w:cs="宋体"/>
          <w:szCs w:val="21"/>
        </w:rPr>
      </w:pPr>
      <w:r>
        <w:rPr>
          <w:rFonts w:hint="eastAsia" w:ascii="宋体" w:hAnsi="宋体" w:cs="宋体"/>
          <w:szCs w:val="21"/>
        </w:rPr>
        <w:t>3.2.9投标报价的其他要求见</w:t>
      </w:r>
      <w:r>
        <w:rPr>
          <w:rFonts w:hint="eastAsia" w:ascii="宋体" w:hAnsi="宋体" w:cs="宋体"/>
          <w:szCs w:val="21"/>
          <w:lang w:eastAsia="zh-CN"/>
        </w:rPr>
        <w:t>交易须知</w:t>
      </w:r>
      <w:r>
        <w:rPr>
          <w:rFonts w:hint="eastAsia" w:ascii="宋体" w:hAnsi="宋体" w:cs="宋体"/>
          <w:szCs w:val="21"/>
        </w:rPr>
        <w:t>前附表。</w:t>
      </w:r>
      <w:bookmarkStart w:id="68" w:name="_Toc369608016"/>
    </w:p>
    <w:p>
      <w:pPr>
        <w:pStyle w:val="4"/>
        <w:spacing w:line="440" w:lineRule="exact"/>
        <w:ind w:firstLine="422" w:firstLineChars="200"/>
        <w:jc w:val="left"/>
        <w:rPr>
          <w:rFonts w:ascii="宋体" w:hAnsi="宋体" w:cs="宋体"/>
          <w:sz w:val="21"/>
          <w:szCs w:val="21"/>
        </w:rPr>
      </w:pPr>
      <w:bookmarkStart w:id="69" w:name="_Toc432367721"/>
      <w:bookmarkStart w:id="70" w:name="_Toc20390"/>
      <w:r>
        <w:rPr>
          <w:rFonts w:hint="eastAsia" w:ascii="宋体" w:hAnsi="宋体" w:cs="宋体"/>
          <w:sz w:val="21"/>
          <w:szCs w:val="21"/>
        </w:rPr>
        <w:t>3.3 投标有效期</w:t>
      </w:r>
      <w:bookmarkEnd w:id="68"/>
      <w:bookmarkEnd w:id="69"/>
      <w:bookmarkEnd w:id="70"/>
    </w:p>
    <w:p>
      <w:pPr>
        <w:pStyle w:val="10"/>
        <w:spacing w:line="440" w:lineRule="exact"/>
        <w:ind w:firstLine="420" w:firstLineChars="200"/>
        <w:jc w:val="left"/>
        <w:rPr>
          <w:rFonts w:ascii="宋体" w:hAnsi="宋体" w:cs="宋体"/>
          <w:szCs w:val="21"/>
        </w:rPr>
      </w:pPr>
      <w:r>
        <w:rPr>
          <w:rFonts w:hint="eastAsia" w:ascii="宋体" w:hAnsi="宋体" w:cs="宋体"/>
          <w:szCs w:val="21"/>
        </w:rPr>
        <w:t>3.3.1 除</w:t>
      </w:r>
      <w:r>
        <w:rPr>
          <w:rFonts w:hint="eastAsia" w:ascii="宋体" w:hAnsi="宋体" w:cs="宋体"/>
          <w:szCs w:val="21"/>
          <w:lang w:eastAsia="zh-CN"/>
        </w:rPr>
        <w:t>交易须知</w:t>
      </w:r>
      <w:r>
        <w:rPr>
          <w:rFonts w:hint="eastAsia" w:ascii="宋体" w:hAnsi="宋体" w:cs="宋体"/>
          <w:szCs w:val="21"/>
        </w:rPr>
        <w:t>前附表另有规定外，投标有效期为 90 日。</w:t>
      </w:r>
    </w:p>
    <w:p>
      <w:pPr>
        <w:pStyle w:val="10"/>
        <w:spacing w:line="440" w:lineRule="exact"/>
        <w:ind w:firstLine="420" w:firstLineChars="200"/>
        <w:jc w:val="left"/>
        <w:rPr>
          <w:rFonts w:ascii="宋体" w:hAnsi="宋体" w:cs="宋体"/>
          <w:szCs w:val="21"/>
        </w:rPr>
      </w:pPr>
      <w:r>
        <w:rPr>
          <w:rFonts w:hint="eastAsia" w:ascii="宋体" w:hAnsi="宋体" w:cs="宋体"/>
          <w:szCs w:val="21"/>
        </w:rPr>
        <w:t>3.3.2在投标有效期内，</w:t>
      </w:r>
      <w:r>
        <w:rPr>
          <w:rFonts w:hint="eastAsia" w:ascii="宋体" w:hAnsi="宋体" w:cs="宋体"/>
          <w:szCs w:val="21"/>
          <w:lang w:eastAsia="zh-CN"/>
        </w:rPr>
        <w:t>交易响应单位</w:t>
      </w:r>
      <w:r>
        <w:rPr>
          <w:rFonts w:hint="eastAsia" w:ascii="宋体" w:hAnsi="宋体" w:cs="宋体"/>
          <w:szCs w:val="21"/>
        </w:rPr>
        <w:t>撤销</w:t>
      </w:r>
      <w:r>
        <w:rPr>
          <w:rFonts w:hint="eastAsia" w:ascii="宋体" w:hAnsi="宋体" w:cs="宋体"/>
          <w:szCs w:val="21"/>
          <w:lang w:eastAsia="zh-CN"/>
        </w:rPr>
        <w:t>交易响应文件</w:t>
      </w:r>
      <w:r>
        <w:rPr>
          <w:rFonts w:hint="eastAsia" w:ascii="宋体" w:hAnsi="宋体" w:cs="宋体"/>
          <w:szCs w:val="21"/>
        </w:rPr>
        <w:t>的，应承担</w:t>
      </w:r>
      <w:r>
        <w:rPr>
          <w:rFonts w:hint="eastAsia" w:ascii="宋体" w:hAnsi="宋体" w:cs="宋体"/>
          <w:szCs w:val="21"/>
          <w:lang w:eastAsia="zh-CN"/>
        </w:rPr>
        <w:t>交易文件</w:t>
      </w:r>
      <w:r>
        <w:rPr>
          <w:rFonts w:hint="eastAsia" w:ascii="宋体" w:hAnsi="宋体" w:cs="宋体"/>
          <w:szCs w:val="21"/>
        </w:rPr>
        <w:t>和法律规定的责任。</w:t>
      </w:r>
    </w:p>
    <w:p>
      <w:pPr>
        <w:pStyle w:val="10"/>
        <w:spacing w:line="440" w:lineRule="exact"/>
        <w:ind w:firstLine="420" w:firstLineChars="200"/>
        <w:jc w:val="left"/>
        <w:rPr>
          <w:rFonts w:ascii="宋体" w:hAnsi="宋体" w:cs="宋体"/>
          <w:szCs w:val="21"/>
        </w:rPr>
      </w:pPr>
      <w:r>
        <w:rPr>
          <w:rFonts w:hint="eastAsia" w:ascii="宋体" w:hAnsi="宋体" w:cs="宋体"/>
          <w:szCs w:val="21"/>
        </w:rPr>
        <w:t>3.3.3出现特殊情况需要延长投标有效期的，招标人以书面形式通知所有</w:t>
      </w:r>
      <w:r>
        <w:rPr>
          <w:rFonts w:hint="eastAsia" w:ascii="宋体" w:hAnsi="宋体" w:cs="宋体"/>
          <w:szCs w:val="21"/>
          <w:lang w:eastAsia="zh-CN"/>
        </w:rPr>
        <w:t>交易响应单位</w:t>
      </w:r>
      <w:r>
        <w:rPr>
          <w:rFonts w:hint="eastAsia" w:ascii="宋体" w:hAnsi="宋体" w:cs="宋体"/>
          <w:szCs w:val="21"/>
        </w:rPr>
        <w:t>延长投标有效期。</w:t>
      </w:r>
      <w:r>
        <w:rPr>
          <w:rFonts w:hint="eastAsia" w:ascii="宋体" w:hAnsi="宋体" w:cs="宋体"/>
          <w:szCs w:val="21"/>
          <w:lang w:eastAsia="zh-CN"/>
        </w:rPr>
        <w:t>交易响应单位</w:t>
      </w:r>
      <w:r>
        <w:rPr>
          <w:rFonts w:hint="eastAsia" w:ascii="宋体" w:hAnsi="宋体" w:cs="宋体"/>
          <w:szCs w:val="21"/>
        </w:rPr>
        <w:t>应予以书面答复，同意延长的，应相应延长其</w:t>
      </w:r>
      <w:r>
        <w:rPr>
          <w:rFonts w:hint="eastAsia" w:ascii="宋体" w:hAnsi="宋体" w:cs="宋体"/>
          <w:szCs w:val="21"/>
          <w:lang w:eastAsia="zh-CN"/>
        </w:rPr>
        <w:t>交易保证金</w:t>
      </w:r>
      <w:r>
        <w:rPr>
          <w:rFonts w:hint="eastAsia" w:ascii="宋体" w:hAnsi="宋体" w:cs="宋体"/>
          <w:szCs w:val="21"/>
        </w:rPr>
        <w:t>的有效期，但不得要求或被允许修改其</w:t>
      </w:r>
      <w:r>
        <w:rPr>
          <w:rFonts w:hint="eastAsia" w:ascii="宋体" w:hAnsi="宋体" w:cs="宋体"/>
          <w:szCs w:val="21"/>
          <w:lang w:eastAsia="zh-CN"/>
        </w:rPr>
        <w:t>交易响应文件</w:t>
      </w:r>
      <w:r>
        <w:rPr>
          <w:rFonts w:hint="eastAsia" w:ascii="宋体" w:hAnsi="宋体" w:cs="宋体"/>
          <w:szCs w:val="21"/>
        </w:rPr>
        <w:t>；</w:t>
      </w:r>
      <w:r>
        <w:rPr>
          <w:rFonts w:hint="eastAsia" w:ascii="宋体" w:hAnsi="宋体" w:cs="宋体"/>
          <w:szCs w:val="21"/>
          <w:lang w:eastAsia="zh-CN"/>
        </w:rPr>
        <w:t>交易响应单位</w:t>
      </w:r>
      <w:r>
        <w:rPr>
          <w:rFonts w:hint="eastAsia" w:ascii="宋体" w:hAnsi="宋体" w:cs="宋体"/>
          <w:szCs w:val="21"/>
        </w:rPr>
        <w:t>拒绝延长的，其投标失效，但</w:t>
      </w:r>
      <w:r>
        <w:rPr>
          <w:rFonts w:hint="eastAsia" w:ascii="宋体" w:hAnsi="宋体" w:cs="宋体"/>
          <w:szCs w:val="21"/>
          <w:lang w:eastAsia="zh-CN"/>
        </w:rPr>
        <w:t>交易响应单位</w:t>
      </w:r>
      <w:r>
        <w:rPr>
          <w:rFonts w:hint="eastAsia" w:ascii="宋体" w:hAnsi="宋体" w:cs="宋体"/>
          <w:szCs w:val="21"/>
        </w:rPr>
        <w:t>有权收回其</w:t>
      </w:r>
      <w:r>
        <w:rPr>
          <w:rFonts w:hint="eastAsia" w:ascii="宋体" w:hAnsi="宋体" w:cs="宋体"/>
          <w:szCs w:val="21"/>
          <w:lang w:eastAsia="zh-CN"/>
        </w:rPr>
        <w:t>交易保证金</w:t>
      </w:r>
      <w:r>
        <w:rPr>
          <w:rFonts w:hint="eastAsia" w:ascii="宋体" w:hAnsi="宋体" w:cs="宋体"/>
          <w:szCs w:val="21"/>
        </w:rPr>
        <w:t>及以现金或支票形式递交的</w:t>
      </w:r>
      <w:r>
        <w:rPr>
          <w:rFonts w:hint="eastAsia" w:ascii="宋体" w:hAnsi="宋体" w:cs="宋体"/>
          <w:szCs w:val="21"/>
          <w:lang w:eastAsia="zh-CN"/>
        </w:rPr>
        <w:t>交易保证金</w:t>
      </w:r>
      <w:r>
        <w:rPr>
          <w:rFonts w:hint="eastAsia" w:ascii="宋体" w:hAnsi="宋体" w:cs="宋体"/>
          <w:szCs w:val="21"/>
        </w:rPr>
        <w:t>的银行同期活期存款利息。</w:t>
      </w:r>
    </w:p>
    <w:p>
      <w:pPr>
        <w:pStyle w:val="4"/>
        <w:spacing w:line="440" w:lineRule="exact"/>
        <w:ind w:firstLine="422" w:firstLineChars="200"/>
        <w:jc w:val="left"/>
        <w:rPr>
          <w:rFonts w:hint="eastAsia" w:ascii="宋体" w:hAnsi="宋体" w:eastAsia="宋体" w:cs="宋体"/>
          <w:sz w:val="21"/>
          <w:szCs w:val="21"/>
          <w:lang w:eastAsia="zh-CN"/>
        </w:rPr>
      </w:pPr>
      <w:bookmarkStart w:id="71" w:name="_Toc432367722"/>
      <w:bookmarkStart w:id="72" w:name="_Toc369608017"/>
      <w:bookmarkStart w:id="73" w:name="_Toc19353"/>
      <w:r>
        <w:rPr>
          <w:rFonts w:hint="eastAsia" w:ascii="宋体" w:hAnsi="宋体" w:cs="宋体"/>
          <w:sz w:val="21"/>
          <w:szCs w:val="21"/>
        </w:rPr>
        <w:t xml:space="preserve">3.4 </w:t>
      </w:r>
      <w:bookmarkEnd w:id="71"/>
      <w:bookmarkEnd w:id="72"/>
      <w:bookmarkEnd w:id="73"/>
      <w:r>
        <w:rPr>
          <w:rFonts w:hint="eastAsia" w:ascii="宋体" w:hAnsi="宋体" w:cs="宋体"/>
          <w:sz w:val="21"/>
          <w:szCs w:val="21"/>
          <w:lang w:eastAsia="zh-CN"/>
        </w:rPr>
        <w:t>交易保证金</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3.4.1</w:t>
      </w:r>
      <w:r>
        <w:rPr>
          <w:rFonts w:hint="eastAsia"/>
          <w:szCs w:val="21"/>
          <w:lang w:val="en-US" w:eastAsia="zh-CN" w:bidi="ar-SA"/>
        </w:rPr>
        <w:t>交易响应单位</w:t>
      </w:r>
      <w:r>
        <w:rPr>
          <w:rFonts w:hint="eastAsia"/>
          <w:szCs w:val="21"/>
          <w:lang w:val="en-US" w:bidi="ar-SA"/>
        </w:rPr>
        <w:t>在递交</w:t>
      </w:r>
      <w:r>
        <w:rPr>
          <w:rFonts w:hint="eastAsia"/>
          <w:szCs w:val="21"/>
          <w:lang w:val="en-US" w:eastAsia="zh-CN" w:bidi="ar-SA"/>
        </w:rPr>
        <w:t>交易响应文件</w:t>
      </w:r>
      <w:r>
        <w:rPr>
          <w:rFonts w:hint="eastAsia"/>
          <w:szCs w:val="21"/>
          <w:lang w:val="en-US" w:bidi="ar-SA"/>
        </w:rPr>
        <w:t>的同时，应按</w:t>
      </w:r>
      <w:r>
        <w:rPr>
          <w:rFonts w:hint="eastAsia"/>
          <w:szCs w:val="21"/>
          <w:lang w:val="en-US" w:eastAsia="zh-CN" w:bidi="ar-SA"/>
        </w:rPr>
        <w:t>交易须知</w:t>
      </w:r>
      <w:r>
        <w:rPr>
          <w:rFonts w:hint="eastAsia"/>
          <w:szCs w:val="21"/>
          <w:lang w:val="en-US" w:bidi="ar-SA"/>
        </w:rPr>
        <w:t>前附表规定的金额和第九章“</w:t>
      </w:r>
      <w:r>
        <w:rPr>
          <w:rFonts w:hint="eastAsia"/>
          <w:szCs w:val="21"/>
          <w:lang w:val="en-US" w:eastAsia="zh-CN" w:bidi="ar-SA"/>
        </w:rPr>
        <w:t>交易响应文件</w:t>
      </w:r>
      <w:r>
        <w:rPr>
          <w:rFonts w:hint="eastAsia"/>
          <w:szCs w:val="21"/>
          <w:lang w:val="en-US" w:bidi="ar-SA"/>
        </w:rPr>
        <w:t>格式”规定的</w:t>
      </w:r>
      <w:r>
        <w:rPr>
          <w:rFonts w:hint="eastAsia"/>
          <w:szCs w:val="21"/>
          <w:lang w:val="en-US" w:eastAsia="zh-CN" w:bidi="ar-SA"/>
        </w:rPr>
        <w:t>交易保证金</w:t>
      </w:r>
      <w:r>
        <w:rPr>
          <w:rFonts w:hint="eastAsia"/>
          <w:szCs w:val="21"/>
          <w:lang w:val="en-US" w:bidi="ar-SA"/>
        </w:rPr>
        <w:t>格式递交</w:t>
      </w:r>
      <w:r>
        <w:rPr>
          <w:rFonts w:hint="eastAsia"/>
          <w:szCs w:val="21"/>
          <w:lang w:val="en-US" w:eastAsia="zh-CN" w:bidi="ar-SA"/>
        </w:rPr>
        <w:t>交易保证金</w:t>
      </w:r>
      <w:r>
        <w:rPr>
          <w:rFonts w:hint="eastAsia"/>
          <w:szCs w:val="21"/>
          <w:lang w:val="en-US" w:bidi="ar-SA"/>
        </w:rPr>
        <w:t>，并作为其</w:t>
      </w:r>
      <w:r>
        <w:rPr>
          <w:rFonts w:hint="eastAsia"/>
          <w:szCs w:val="21"/>
          <w:lang w:val="en-US" w:eastAsia="zh-CN" w:bidi="ar-SA"/>
        </w:rPr>
        <w:t>交易响应文件</w:t>
      </w:r>
      <w:r>
        <w:rPr>
          <w:rFonts w:hint="eastAsia"/>
          <w:szCs w:val="21"/>
          <w:lang w:val="en-US" w:bidi="ar-SA"/>
        </w:rPr>
        <w:t>的组成部分。联合体投标的，其</w:t>
      </w:r>
      <w:r>
        <w:rPr>
          <w:rFonts w:hint="eastAsia"/>
          <w:szCs w:val="21"/>
          <w:lang w:val="en-US" w:eastAsia="zh-CN" w:bidi="ar-SA"/>
        </w:rPr>
        <w:t>交易保证金</w:t>
      </w:r>
      <w:r>
        <w:rPr>
          <w:rFonts w:hint="eastAsia"/>
          <w:szCs w:val="21"/>
          <w:lang w:val="en-US" w:bidi="ar-SA"/>
        </w:rPr>
        <w:t>由牵头人递交，并应符合</w:t>
      </w:r>
      <w:r>
        <w:rPr>
          <w:rFonts w:hint="eastAsia"/>
          <w:szCs w:val="21"/>
          <w:lang w:val="en-US" w:eastAsia="zh-CN" w:bidi="ar-SA"/>
        </w:rPr>
        <w:t>交易须知</w:t>
      </w:r>
      <w:r>
        <w:rPr>
          <w:rFonts w:hint="eastAsia"/>
          <w:szCs w:val="21"/>
          <w:lang w:val="en-US" w:bidi="ar-SA"/>
        </w:rPr>
        <w:t>前附表的规定。</w:t>
      </w:r>
    </w:p>
    <w:p>
      <w:pPr>
        <w:pStyle w:val="34"/>
        <w:tabs>
          <w:tab w:val="left" w:pos="1450"/>
        </w:tabs>
        <w:spacing w:line="440" w:lineRule="exact"/>
        <w:ind w:left="0" w:firstLine="420" w:firstLineChars="200"/>
        <w:jc w:val="left"/>
        <w:rPr>
          <w:szCs w:val="21"/>
          <w:lang w:val="en-US" w:bidi="ar-SA"/>
        </w:rPr>
      </w:pPr>
      <w:r>
        <w:rPr>
          <w:rFonts w:hint="eastAsia"/>
          <w:szCs w:val="21"/>
          <w:lang w:val="en-US" w:eastAsia="zh-CN" w:bidi="ar-SA"/>
        </w:rPr>
        <w:t>交易保证金</w:t>
      </w:r>
      <w:r>
        <w:rPr>
          <w:rFonts w:hint="eastAsia"/>
          <w:szCs w:val="21"/>
          <w:lang w:val="en-US" w:bidi="ar-SA"/>
        </w:rPr>
        <w:t>应采用现金、支票、银行保函或招标人在</w:t>
      </w:r>
      <w:r>
        <w:rPr>
          <w:rFonts w:hint="eastAsia"/>
          <w:szCs w:val="21"/>
          <w:lang w:val="en-US" w:eastAsia="zh-CN" w:bidi="ar-SA"/>
        </w:rPr>
        <w:t>交易须知</w:t>
      </w:r>
      <w:r>
        <w:rPr>
          <w:rFonts w:hint="eastAsia"/>
          <w:szCs w:val="21"/>
          <w:lang w:val="en-US" w:bidi="ar-SA"/>
        </w:rPr>
        <w:t>前附表规定的其他形式。</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（1）若采用现金或支票，</w:t>
      </w:r>
      <w:r>
        <w:rPr>
          <w:rFonts w:hint="eastAsia"/>
          <w:szCs w:val="21"/>
          <w:lang w:val="en-US" w:eastAsia="zh-CN" w:bidi="ar-SA"/>
        </w:rPr>
        <w:t>交易响应单位</w:t>
      </w:r>
      <w:r>
        <w:rPr>
          <w:rFonts w:hint="eastAsia"/>
          <w:szCs w:val="21"/>
          <w:lang w:val="en-US" w:bidi="ar-SA"/>
        </w:rPr>
        <w:t>应在递交</w:t>
      </w:r>
      <w:r>
        <w:rPr>
          <w:rFonts w:hint="eastAsia"/>
          <w:szCs w:val="21"/>
          <w:lang w:val="en-US" w:eastAsia="zh-CN" w:bidi="ar-SA"/>
        </w:rPr>
        <w:t>交易响应文件</w:t>
      </w:r>
      <w:r>
        <w:rPr>
          <w:rFonts w:hint="eastAsia"/>
          <w:szCs w:val="21"/>
          <w:lang w:val="en-US" w:bidi="ar-SA"/>
        </w:rPr>
        <w:t>截止时间之前，将</w:t>
      </w:r>
      <w:r>
        <w:rPr>
          <w:rFonts w:hint="eastAsia"/>
          <w:szCs w:val="21"/>
          <w:lang w:val="en-US" w:eastAsia="zh-CN" w:bidi="ar-SA"/>
        </w:rPr>
        <w:t>交易保证金</w:t>
      </w:r>
      <w:r>
        <w:rPr>
          <w:rFonts w:hint="eastAsia"/>
          <w:szCs w:val="21"/>
          <w:lang w:val="en-US" w:bidi="ar-SA"/>
        </w:rPr>
        <w:t>由</w:t>
      </w:r>
      <w:r>
        <w:rPr>
          <w:rFonts w:hint="eastAsia"/>
          <w:szCs w:val="21"/>
          <w:lang w:val="en-US" w:eastAsia="zh-CN" w:bidi="ar-SA"/>
        </w:rPr>
        <w:t>交易响应单位</w:t>
      </w:r>
      <w:r>
        <w:rPr>
          <w:rFonts w:hint="eastAsia"/>
          <w:szCs w:val="21"/>
          <w:lang w:val="en-US" w:bidi="ar-SA"/>
        </w:rPr>
        <w:t>的基本账户转入招标人指定账户，否则视为</w:t>
      </w:r>
      <w:r>
        <w:rPr>
          <w:rFonts w:hint="eastAsia"/>
          <w:szCs w:val="21"/>
          <w:lang w:val="en-US" w:eastAsia="zh-CN" w:bidi="ar-SA"/>
        </w:rPr>
        <w:t>交易保证金</w:t>
      </w:r>
      <w:r>
        <w:rPr>
          <w:rFonts w:hint="eastAsia"/>
          <w:szCs w:val="21"/>
          <w:lang w:val="en-US" w:bidi="ar-SA"/>
        </w:rPr>
        <w:t>无效。招标人指定的开户银行及账号见</w:t>
      </w:r>
      <w:r>
        <w:rPr>
          <w:rFonts w:hint="eastAsia"/>
          <w:szCs w:val="21"/>
          <w:lang w:val="en-US" w:eastAsia="zh-CN" w:bidi="ar-SA"/>
        </w:rPr>
        <w:t>交易须知</w:t>
      </w:r>
      <w:r>
        <w:rPr>
          <w:rFonts w:hint="eastAsia"/>
          <w:szCs w:val="21"/>
          <w:lang w:val="en-US" w:bidi="ar-SA"/>
        </w:rPr>
        <w:t>前附表。</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（2）若采用银行保函，则应由符合</w:t>
      </w:r>
      <w:r>
        <w:rPr>
          <w:rFonts w:hint="eastAsia"/>
          <w:szCs w:val="21"/>
          <w:lang w:val="en-US" w:eastAsia="zh-CN" w:bidi="ar-SA"/>
        </w:rPr>
        <w:t>交易须知</w:t>
      </w:r>
      <w:r>
        <w:rPr>
          <w:rFonts w:hint="eastAsia"/>
          <w:szCs w:val="21"/>
          <w:lang w:val="en-US" w:bidi="ar-SA"/>
        </w:rPr>
        <w:t>前附表规定级别的银行开具，并采用</w:t>
      </w:r>
      <w:r>
        <w:rPr>
          <w:rFonts w:hint="eastAsia"/>
          <w:szCs w:val="21"/>
          <w:lang w:val="en-US" w:eastAsia="zh-CN" w:bidi="ar-SA"/>
        </w:rPr>
        <w:t>交易文件</w:t>
      </w:r>
      <w:r>
        <w:rPr>
          <w:rFonts w:hint="eastAsia"/>
          <w:szCs w:val="21"/>
          <w:lang w:val="en-US" w:bidi="ar-SA"/>
        </w:rPr>
        <w:t>提供的格式。银行保函复印件装订在</w:t>
      </w:r>
      <w:r>
        <w:rPr>
          <w:rFonts w:hint="eastAsia"/>
          <w:szCs w:val="21"/>
          <w:lang w:val="en-US" w:eastAsia="zh-CN" w:bidi="ar-SA"/>
        </w:rPr>
        <w:t>交易响应文件</w:t>
      </w:r>
      <w:r>
        <w:rPr>
          <w:rFonts w:hint="eastAsia"/>
          <w:szCs w:val="21"/>
          <w:lang w:val="en-US" w:bidi="ar-SA"/>
        </w:rPr>
        <w:t>内，原件应在递交</w:t>
      </w:r>
      <w:r>
        <w:rPr>
          <w:rFonts w:hint="eastAsia"/>
          <w:szCs w:val="21"/>
          <w:lang w:val="en-US" w:eastAsia="zh-CN" w:bidi="ar-SA"/>
        </w:rPr>
        <w:t>交易响应文件</w:t>
      </w:r>
      <w:r>
        <w:rPr>
          <w:rFonts w:hint="eastAsia"/>
          <w:szCs w:val="21"/>
          <w:lang w:val="en-US" w:bidi="ar-SA"/>
        </w:rPr>
        <w:t>截止时间之前单独密封递交给招标人。</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无论采取何种形式的</w:t>
      </w:r>
      <w:r>
        <w:rPr>
          <w:rFonts w:hint="eastAsia"/>
          <w:szCs w:val="21"/>
          <w:lang w:val="en-US" w:eastAsia="zh-CN" w:bidi="ar-SA"/>
        </w:rPr>
        <w:t>交易保证金</w:t>
      </w:r>
      <w:r>
        <w:rPr>
          <w:rFonts w:hint="eastAsia"/>
          <w:szCs w:val="21"/>
          <w:lang w:val="en-US" w:bidi="ar-SA"/>
        </w:rPr>
        <w:t>，</w:t>
      </w:r>
      <w:r>
        <w:rPr>
          <w:rFonts w:hint="eastAsia"/>
          <w:szCs w:val="21"/>
          <w:lang w:val="en-US" w:eastAsia="zh-CN" w:bidi="ar-SA"/>
        </w:rPr>
        <w:t>交易保证金</w:t>
      </w:r>
      <w:r>
        <w:rPr>
          <w:rFonts w:hint="eastAsia"/>
          <w:szCs w:val="21"/>
          <w:lang w:val="en-US" w:bidi="ar-SA"/>
        </w:rPr>
        <w:t>有效期均应与投标有效期一致。招标人如果按本章第 3.3.3 项的规定延长了投标有效期，则</w:t>
      </w:r>
      <w:r>
        <w:rPr>
          <w:rFonts w:hint="eastAsia"/>
          <w:szCs w:val="21"/>
          <w:lang w:val="en-US" w:eastAsia="zh-CN" w:bidi="ar-SA"/>
        </w:rPr>
        <w:t>交易保证金</w:t>
      </w:r>
      <w:r>
        <w:rPr>
          <w:rFonts w:hint="eastAsia"/>
          <w:szCs w:val="21"/>
          <w:lang w:val="en-US" w:bidi="ar-SA"/>
        </w:rPr>
        <w:t>的有效期也相应延长。</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3.4.2</w:t>
      </w:r>
      <w:r>
        <w:rPr>
          <w:rFonts w:hint="eastAsia"/>
          <w:szCs w:val="21"/>
          <w:lang w:val="en-US" w:eastAsia="zh-CN" w:bidi="ar-SA"/>
        </w:rPr>
        <w:t>交易响应单位</w:t>
      </w:r>
      <w:r>
        <w:rPr>
          <w:rFonts w:hint="eastAsia"/>
          <w:szCs w:val="21"/>
          <w:lang w:val="en-US" w:bidi="ar-SA"/>
        </w:rPr>
        <w:t>不按本章第 3.4.1 项要求提交</w:t>
      </w:r>
      <w:r>
        <w:rPr>
          <w:rFonts w:hint="eastAsia"/>
          <w:szCs w:val="21"/>
          <w:lang w:val="en-US" w:eastAsia="zh-CN" w:bidi="ar-SA"/>
        </w:rPr>
        <w:t>交易保证金</w:t>
      </w:r>
      <w:r>
        <w:rPr>
          <w:rFonts w:hint="eastAsia"/>
          <w:szCs w:val="21"/>
          <w:lang w:val="en-US" w:bidi="ar-SA"/>
        </w:rPr>
        <w:t>的，评标委员会将否决其投标。</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3.4.3招标人最迟将在中标通知书发出后 5 日内向中标候选人以外的其他</w:t>
      </w:r>
      <w:r>
        <w:rPr>
          <w:rFonts w:hint="eastAsia"/>
          <w:szCs w:val="21"/>
          <w:lang w:val="en-US" w:eastAsia="zh-CN" w:bidi="ar-SA"/>
        </w:rPr>
        <w:t>交易响应单位</w:t>
      </w:r>
      <w:r>
        <w:rPr>
          <w:rFonts w:hint="eastAsia"/>
          <w:szCs w:val="21"/>
          <w:lang w:val="en-US" w:bidi="ar-SA"/>
        </w:rPr>
        <w:t>退还</w:t>
      </w:r>
      <w:r>
        <w:rPr>
          <w:rFonts w:hint="eastAsia"/>
          <w:szCs w:val="21"/>
          <w:lang w:val="en-US" w:eastAsia="zh-CN" w:bidi="ar-SA"/>
        </w:rPr>
        <w:t>交易保证金</w:t>
      </w:r>
      <w:r>
        <w:rPr>
          <w:rFonts w:hint="eastAsia"/>
          <w:szCs w:val="21"/>
          <w:lang w:val="en-US" w:bidi="ar-SA"/>
        </w:rPr>
        <w:t>，与中标人签订合同后 5 日内向中标人和其他中标候选人退还</w:t>
      </w:r>
      <w:r>
        <w:rPr>
          <w:rFonts w:hint="eastAsia"/>
          <w:szCs w:val="21"/>
          <w:lang w:val="en-US" w:eastAsia="zh-CN" w:bidi="ar-SA"/>
        </w:rPr>
        <w:t>交易保证金</w:t>
      </w:r>
      <w:r>
        <w:rPr>
          <w:rFonts w:hint="eastAsia"/>
          <w:szCs w:val="21"/>
          <w:lang w:val="en-US" w:bidi="ar-SA"/>
        </w:rPr>
        <w:t>。</w:t>
      </w:r>
      <w:r>
        <w:rPr>
          <w:rFonts w:hint="eastAsia"/>
          <w:szCs w:val="21"/>
          <w:lang w:val="en-US" w:eastAsia="zh-CN" w:bidi="ar-SA"/>
        </w:rPr>
        <w:t>交易保证金</w:t>
      </w:r>
      <w:r>
        <w:rPr>
          <w:rFonts w:hint="eastAsia"/>
          <w:szCs w:val="21"/>
          <w:lang w:val="en-US" w:bidi="ar-SA"/>
        </w:rPr>
        <w:t>以现金或支票形式递交的，招标人应同时退还</w:t>
      </w:r>
      <w:r>
        <w:rPr>
          <w:rFonts w:hint="eastAsia"/>
          <w:szCs w:val="21"/>
          <w:lang w:val="en-US" w:eastAsia="zh-CN" w:bidi="ar-SA"/>
        </w:rPr>
        <w:t>交易保证金</w:t>
      </w:r>
      <w:r>
        <w:rPr>
          <w:rFonts w:hint="eastAsia"/>
          <w:szCs w:val="21"/>
          <w:lang w:val="en-US" w:bidi="ar-SA"/>
        </w:rPr>
        <w:t>的银行同期活期存款利息，且退还至</w:t>
      </w:r>
      <w:r>
        <w:rPr>
          <w:rFonts w:hint="eastAsia"/>
          <w:szCs w:val="21"/>
          <w:lang w:val="en-US" w:eastAsia="zh-CN" w:bidi="ar-SA"/>
        </w:rPr>
        <w:t>交易响应单位</w:t>
      </w:r>
      <w:r>
        <w:rPr>
          <w:rFonts w:hint="eastAsia"/>
          <w:szCs w:val="21"/>
          <w:lang w:val="en-US" w:bidi="ar-SA"/>
        </w:rPr>
        <w:t>的基本账户。</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利息计算原则见</w:t>
      </w:r>
      <w:r>
        <w:rPr>
          <w:rFonts w:hint="eastAsia"/>
          <w:szCs w:val="21"/>
          <w:lang w:val="en-US" w:eastAsia="zh-CN" w:bidi="ar-SA"/>
        </w:rPr>
        <w:t>交易须知</w:t>
      </w:r>
      <w:r>
        <w:rPr>
          <w:rFonts w:hint="eastAsia"/>
          <w:szCs w:val="21"/>
          <w:lang w:val="en-US" w:bidi="ar-SA"/>
        </w:rPr>
        <w:t>前附表。</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3.4.4有下列情形之一的，</w:t>
      </w:r>
      <w:r>
        <w:rPr>
          <w:rFonts w:hint="eastAsia"/>
          <w:szCs w:val="21"/>
          <w:lang w:val="en-US" w:eastAsia="zh-CN" w:bidi="ar-SA"/>
        </w:rPr>
        <w:t>交易保证金</w:t>
      </w:r>
      <w:r>
        <w:rPr>
          <w:rFonts w:hint="eastAsia"/>
          <w:szCs w:val="21"/>
          <w:lang w:val="en-US" w:bidi="ar-SA"/>
        </w:rPr>
        <w:t>将不予退还：</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（1）</w:t>
      </w:r>
      <w:r>
        <w:rPr>
          <w:rFonts w:hint="eastAsia"/>
          <w:szCs w:val="21"/>
          <w:lang w:val="en-US" w:eastAsia="zh-CN" w:bidi="ar-SA"/>
        </w:rPr>
        <w:t>交易响应单位</w:t>
      </w:r>
      <w:r>
        <w:rPr>
          <w:rFonts w:hint="eastAsia"/>
          <w:szCs w:val="21"/>
          <w:lang w:val="en-US" w:bidi="ar-SA"/>
        </w:rPr>
        <w:t>在投标有效期内撤销</w:t>
      </w:r>
      <w:r>
        <w:rPr>
          <w:rFonts w:hint="eastAsia"/>
          <w:szCs w:val="21"/>
          <w:lang w:val="en-US" w:eastAsia="zh-CN" w:bidi="ar-SA"/>
        </w:rPr>
        <w:t>交易响应文件</w:t>
      </w:r>
      <w:r>
        <w:rPr>
          <w:rFonts w:hint="eastAsia"/>
          <w:szCs w:val="21"/>
          <w:lang w:val="en-US" w:bidi="ar-SA"/>
        </w:rPr>
        <w:t>；</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（2）中标人在收到中标通知书后，无正当理由不与招标人订立合同，在签订合同时向招标人提出附加条件，或不按照</w:t>
      </w:r>
      <w:r>
        <w:rPr>
          <w:rFonts w:hint="eastAsia"/>
          <w:szCs w:val="21"/>
          <w:lang w:val="en-US" w:eastAsia="zh-CN" w:bidi="ar-SA"/>
        </w:rPr>
        <w:t>交易文件</w:t>
      </w:r>
      <w:r>
        <w:rPr>
          <w:rFonts w:hint="eastAsia"/>
          <w:szCs w:val="21"/>
          <w:lang w:val="en-US" w:bidi="ar-SA"/>
        </w:rPr>
        <w:t>要求提交履约保证金；</w:t>
      </w:r>
    </w:p>
    <w:p>
      <w:pPr>
        <w:spacing w:line="440" w:lineRule="exact"/>
        <w:ind w:firstLine="420" w:firstLineChars="200"/>
        <w:jc w:val="left"/>
        <w:rPr>
          <w:rFonts w:ascii="宋体" w:hAnsi="宋体" w:cs="宋体"/>
          <w:szCs w:val="21"/>
        </w:rPr>
      </w:pPr>
      <w:r>
        <w:rPr>
          <w:rFonts w:hint="eastAsia" w:ascii="宋体" w:hAnsi="宋体" w:cs="宋体"/>
          <w:szCs w:val="21"/>
        </w:rPr>
        <w:t>（3）发生</w:t>
      </w:r>
      <w:r>
        <w:rPr>
          <w:rFonts w:hint="eastAsia" w:ascii="宋体" w:hAnsi="宋体" w:cs="宋体"/>
          <w:szCs w:val="21"/>
          <w:lang w:eastAsia="zh-CN"/>
        </w:rPr>
        <w:t>交易须知</w:t>
      </w:r>
      <w:r>
        <w:rPr>
          <w:rFonts w:hint="eastAsia" w:ascii="宋体" w:hAnsi="宋体" w:cs="宋体"/>
          <w:szCs w:val="21"/>
        </w:rPr>
        <w:t>前附表规定的其他可以不予退还</w:t>
      </w:r>
      <w:r>
        <w:rPr>
          <w:rFonts w:hint="eastAsia" w:ascii="宋体" w:hAnsi="宋体" w:cs="宋体"/>
          <w:szCs w:val="21"/>
          <w:lang w:eastAsia="zh-CN"/>
        </w:rPr>
        <w:t>交易保证金</w:t>
      </w:r>
      <w:r>
        <w:rPr>
          <w:rFonts w:hint="eastAsia" w:ascii="宋体" w:hAnsi="宋体" w:cs="宋体"/>
          <w:szCs w:val="21"/>
        </w:rPr>
        <w:t>的情形。</w:t>
      </w:r>
    </w:p>
    <w:p>
      <w:pPr>
        <w:pStyle w:val="4"/>
        <w:spacing w:line="440" w:lineRule="exact"/>
        <w:ind w:firstLine="422" w:firstLineChars="200"/>
        <w:jc w:val="left"/>
      </w:pPr>
      <w:r>
        <w:rPr>
          <w:rFonts w:hint="eastAsia" w:ascii="宋体" w:hAnsi="宋体" w:cs="宋体"/>
          <w:sz w:val="21"/>
          <w:szCs w:val="21"/>
        </w:rPr>
        <w:t>3.5 资格审查资料（适用于未进行资格预审的）</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除</w:t>
      </w:r>
      <w:r>
        <w:rPr>
          <w:rFonts w:hint="eastAsia"/>
          <w:szCs w:val="21"/>
          <w:lang w:val="en-US" w:eastAsia="zh-CN" w:bidi="ar-SA"/>
        </w:rPr>
        <w:t>交易须知</w:t>
      </w:r>
      <w:r>
        <w:rPr>
          <w:rFonts w:hint="eastAsia"/>
          <w:szCs w:val="21"/>
          <w:lang w:val="en-US" w:bidi="ar-SA"/>
        </w:rPr>
        <w:t>前附表另有规定外，</w:t>
      </w:r>
      <w:r>
        <w:rPr>
          <w:rFonts w:hint="eastAsia"/>
          <w:szCs w:val="21"/>
          <w:lang w:val="en-US" w:eastAsia="zh-CN" w:bidi="ar-SA"/>
        </w:rPr>
        <w:t>交易响应单位</w:t>
      </w:r>
      <w:r>
        <w:rPr>
          <w:rFonts w:hint="eastAsia"/>
          <w:szCs w:val="21"/>
          <w:lang w:val="en-US" w:bidi="ar-SA"/>
        </w:rPr>
        <w:t>应按下列规定提供资格审查资料，以证明其满足本章第 1.4 款规定的资质、财务、业绩、信誉等要求。</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3.5.1“</w:t>
      </w:r>
      <w:r>
        <w:rPr>
          <w:rFonts w:hint="eastAsia"/>
          <w:szCs w:val="21"/>
          <w:lang w:val="en-US" w:eastAsia="zh-CN" w:bidi="ar-SA"/>
        </w:rPr>
        <w:t>交易响应单位</w:t>
      </w:r>
      <w:r>
        <w:rPr>
          <w:rFonts w:hint="eastAsia"/>
          <w:szCs w:val="21"/>
          <w:lang w:val="en-US" w:bidi="ar-SA"/>
        </w:rPr>
        <w:t>基本情况表”应附企业法人营业执照副本和组织机构代码证副本（按照“三证合一”或“五证合一”登记制度进行登记的，可仅提供营业执照副本，下同）、施工资质证书副本、安全生产许可证副本、基本账户开户许可证的复印件，</w:t>
      </w:r>
      <w:r>
        <w:rPr>
          <w:rFonts w:hint="eastAsia"/>
          <w:szCs w:val="21"/>
          <w:lang w:val="en-US" w:eastAsia="zh-CN" w:bidi="ar-SA"/>
        </w:rPr>
        <w:t>交易响应单位</w:t>
      </w:r>
      <w:r>
        <w:rPr>
          <w:rFonts w:hint="eastAsia"/>
          <w:szCs w:val="21"/>
          <w:lang w:val="en-US" w:bidi="ar-SA"/>
        </w:rPr>
        <w:t>在交通运输部“全国公路建设市场信用信息管理系统”公路工程施工资质企业名录中的网页截图复印件，以及</w:t>
      </w:r>
      <w:r>
        <w:rPr>
          <w:rFonts w:hint="eastAsia"/>
          <w:szCs w:val="21"/>
          <w:lang w:val="en-US" w:eastAsia="zh-CN" w:bidi="ar-SA"/>
        </w:rPr>
        <w:t>交易响应单位</w:t>
      </w:r>
      <w:r>
        <w:rPr>
          <w:rFonts w:hint="eastAsia"/>
          <w:szCs w:val="21"/>
          <w:lang w:val="en-US" w:bidi="ar-SA"/>
        </w:rPr>
        <w:t>在国家企业信用信息公示系统中基础信息（体现股东及出资详细信息）的网页截图或由法定的社会验资机构出具的验资报告或注册地工商部门出具的股东出资情况证明复印件。</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企业法人营业执照副本和组织机构代码证副本、施工资质证书副本、安全生产许可证副本、基本账户开户许可证的复印件应提供全本（证书封面、封底、空白页除外），应包括</w:t>
      </w:r>
      <w:r>
        <w:rPr>
          <w:rFonts w:hint="eastAsia"/>
          <w:szCs w:val="21"/>
          <w:lang w:val="en-US" w:eastAsia="zh-CN" w:bidi="ar-SA"/>
        </w:rPr>
        <w:t>交易响应单位</w:t>
      </w:r>
      <w:r>
        <w:rPr>
          <w:rFonts w:hint="eastAsia"/>
          <w:szCs w:val="21"/>
          <w:lang w:val="en-US" w:bidi="ar-SA"/>
        </w:rPr>
        <w:t>名称、</w:t>
      </w:r>
      <w:r>
        <w:rPr>
          <w:rFonts w:hint="eastAsia"/>
          <w:szCs w:val="21"/>
          <w:lang w:val="en-US" w:eastAsia="zh-CN" w:bidi="ar-SA"/>
        </w:rPr>
        <w:t>交易响应单位</w:t>
      </w:r>
      <w:r>
        <w:rPr>
          <w:rFonts w:hint="eastAsia"/>
          <w:szCs w:val="21"/>
          <w:lang w:val="en-US" w:bidi="ar-SA"/>
        </w:rPr>
        <w:t>其他相关信息、颁发机构名称、</w:t>
      </w:r>
      <w:r>
        <w:rPr>
          <w:rFonts w:hint="eastAsia"/>
          <w:szCs w:val="21"/>
          <w:lang w:val="en-US" w:eastAsia="zh-CN" w:bidi="ar-SA"/>
        </w:rPr>
        <w:t>交易响应单位</w:t>
      </w:r>
      <w:r>
        <w:rPr>
          <w:rFonts w:hint="eastAsia"/>
          <w:szCs w:val="21"/>
          <w:lang w:val="en-US" w:bidi="ar-SA"/>
        </w:rPr>
        <w:t>信息变更情况等关键页在内，并逐页加盖</w:t>
      </w:r>
      <w:r>
        <w:rPr>
          <w:rFonts w:hint="eastAsia"/>
          <w:szCs w:val="21"/>
          <w:lang w:val="en-US" w:eastAsia="zh-CN" w:bidi="ar-SA"/>
        </w:rPr>
        <w:t>交易响应单位</w:t>
      </w:r>
      <w:r>
        <w:rPr>
          <w:rFonts w:hint="eastAsia"/>
          <w:szCs w:val="21"/>
          <w:lang w:val="en-US" w:bidi="ar-SA"/>
        </w:rPr>
        <w:t>单位章。</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3.5.2“财务状况表”应附经会计师事务所或审计机构审计的财务会计报表，包括资产负债表、现金流量表、利润表和财务情况说明书的复印件，具体年份要求见</w:t>
      </w:r>
      <w:r>
        <w:rPr>
          <w:rFonts w:hint="eastAsia"/>
          <w:szCs w:val="21"/>
          <w:lang w:val="en-US" w:eastAsia="zh-CN" w:bidi="ar-SA"/>
        </w:rPr>
        <w:t>交易须知</w:t>
      </w:r>
      <w:r>
        <w:rPr>
          <w:rFonts w:hint="eastAsia"/>
          <w:szCs w:val="21"/>
          <w:lang w:val="en-US" w:bidi="ar-SA"/>
        </w:rPr>
        <w:t>前附表。</w:t>
      </w:r>
      <w:r>
        <w:rPr>
          <w:rFonts w:hint="eastAsia"/>
          <w:szCs w:val="21"/>
          <w:lang w:val="en-US" w:eastAsia="zh-CN" w:bidi="ar-SA"/>
        </w:rPr>
        <w:t>交易响应单位</w:t>
      </w:r>
      <w:r>
        <w:rPr>
          <w:rFonts w:hint="eastAsia"/>
          <w:szCs w:val="21"/>
          <w:lang w:val="en-US" w:bidi="ar-SA"/>
        </w:rPr>
        <w:t>的成立时间少于</w:t>
      </w:r>
      <w:r>
        <w:rPr>
          <w:rFonts w:hint="eastAsia"/>
          <w:szCs w:val="21"/>
          <w:lang w:val="en-US" w:eastAsia="zh-CN" w:bidi="ar-SA"/>
        </w:rPr>
        <w:t>交易须知</w:t>
      </w:r>
      <w:r>
        <w:rPr>
          <w:rFonts w:hint="eastAsia"/>
          <w:szCs w:val="21"/>
          <w:lang w:val="en-US" w:bidi="ar-SA"/>
        </w:rPr>
        <w:t>前附表规定年份的，应提供成立以来的财务状况表。</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3.5.3“近年完成的类似项目”应是已列入交通运输主管部门“公路建设市场信用信息管理系统”并公开的主包已建业绩或分包已建业绩，具体时间要求见</w:t>
      </w:r>
      <w:r>
        <w:rPr>
          <w:rFonts w:hint="eastAsia"/>
          <w:szCs w:val="21"/>
          <w:lang w:val="en-US" w:eastAsia="zh-CN" w:bidi="ar-SA"/>
        </w:rPr>
        <w:t>交易须知</w:t>
      </w:r>
      <w:r>
        <w:rPr>
          <w:rFonts w:hint="eastAsia"/>
          <w:szCs w:val="21"/>
          <w:lang w:val="en-US" w:bidi="ar-SA"/>
        </w:rPr>
        <w:t>前附表。</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“近年完成的类似项目情况表”应附在交通运输部“全国公路建设市场信用信息管理系统”（网址：</w:t>
      </w:r>
      <w:r>
        <w:fldChar w:fldCharType="begin"/>
      </w:r>
      <w:r>
        <w:instrText xml:space="preserve"> HYPERLINK "http://glxy.mot.gov.cn/BM/" \h </w:instrText>
      </w:r>
      <w:r>
        <w:fldChar w:fldCharType="separate"/>
      </w:r>
      <w:r>
        <w:rPr>
          <w:rFonts w:hint="eastAsia"/>
          <w:szCs w:val="21"/>
          <w:lang w:val="en-US" w:bidi="ar-SA"/>
        </w:rPr>
        <w:t>http://glxy.mot.gov.cn/BM/</w:t>
      </w:r>
      <w:r>
        <w:rPr>
          <w:rFonts w:hint="eastAsia"/>
          <w:szCs w:val="21"/>
          <w:lang w:val="en-US" w:bidi="ar-SA"/>
        </w:rPr>
        <w:fldChar w:fldCharType="end"/>
      </w:r>
      <w:r>
        <w:rPr>
          <w:rFonts w:hint="eastAsia"/>
          <w:szCs w:val="21"/>
          <w:lang w:val="en-US" w:bidi="ar-SA"/>
        </w:rPr>
        <w:t>）中查询到的企业“业绩信息”相关项目网页截图复印件，即包括“项目名称”“标段类型”“合同价”“主要工程量”“项目主要管理人员”等栏目在内的项目详细信息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w:t>
      </w:r>
      <w:r>
        <w:rPr>
          <w:rFonts w:hint="eastAsia"/>
          <w:szCs w:val="21"/>
          <w:lang w:val="en-US" w:eastAsia="zh-CN" w:bidi="ar-SA"/>
        </w:rPr>
        <w:t>交易响应单位</w:t>
      </w:r>
      <w:r>
        <w:rPr>
          <w:rFonts w:hint="eastAsia"/>
          <w:szCs w:val="21"/>
          <w:lang w:val="en-US" w:bidi="ar-SA"/>
        </w:rPr>
        <w:t>无须再提供任何业绩证明材料。</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如</w:t>
      </w:r>
      <w:r>
        <w:rPr>
          <w:rFonts w:hint="eastAsia"/>
          <w:szCs w:val="21"/>
          <w:lang w:val="en-US" w:eastAsia="zh-CN" w:bidi="ar-SA"/>
        </w:rPr>
        <w:t>交易响应单位</w:t>
      </w:r>
      <w:r>
        <w:rPr>
          <w:rFonts w:hint="eastAsia"/>
          <w:szCs w:val="21"/>
          <w:lang w:val="en-US" w:bidi="ar-SA"/>
        </w:rPr>
        <w:t>未提供相关项目网页截图复印件或相关项目网页截图中的信息无法证实</w:t>
      </w:r>
      <w:r>
        <w:rPr>
          <w:rFonts w:hint="eastAsia"/>
          <w:szCs w:val="21"/>
          <w:lang w:val="en-US" w:eastAsia="zh-CN" w:bidi="ar-SA"/>
        </w:rPr>
        <w:t>交易响应单位</w:t>
      </w:r>
      <w:r>
        <w:rPr>
          <w:rFonts w:hint="eastAsia"/>
          <w:szCs w:val="21"/>
          <w:lang w:val="en-US" w:bidi="ar-SA"/>
        </w:rPr>
        <w:t>满足</w:t>
      </w:r>
      <w:r>
        <w:rPr>
          <w:rFonts w:hint="eastAsia"/>
          <w:szCs w:val="21"/>
          <w:lang w:val="en-US" w:eastAsia="zh-CN" w:bidi="ar-SA"/>
        </w:rPr>
        <w:t>交易文件</w:t>
      </w:r>
      <w:r>
        <w:rPr>
          <w:rFonts w:hint="eastAsia"/>
          <w:szCs w:val="21"/>
          <w:lang w:val="en-US" w:bidi="ar-SA"/>
        </w:rPr>
        <w:t>规定的资格审查条件（业绩最低要求），则该项目业绩不予认定。</w:t>
      </w:r>
    </w:p>
    <w:p>
      <w:pPr>
        <w:pStyle w:val="34"/>
        <w:tabs>
          <w:tab w:val="left" w:pos="1450"/>
        </w:tabs>
        <w:spacing w:line="440" w:lineRule="exact"/>
        <w:ind w:left="0" w:firstLine="420" w:firstLineChars="200"/>
        <w:jc w:val="left"/>
        <w:rPr>
          <w:rFonts w:hint="eastAsia" w:eastAsia="宋体"/>
          <w:szCs w:val="21"/>
          <w:lang w:val="en-US" w:eastAsia="zh-CN" w:bidi="ar-SA"/>
        </w:rPr>
      </w:pPr>
      <w:r>
        <w:rPr>
          <w:rFonts w:hint="eastAsia"/>
          <w:szCs w:val="21"/>
          <w:lang w:val="en-US" w:bidi="ar-SA"/>
        </w:rPr>
        <w:t>3.5.4“</w:t>
      </w:r>
      <w:r>
        <w:rPr>
          <w:rFonts w:hint="eastAsia"/>
          <w:szCs w:val="21"/>
          <w:lang w:val="en-US" w:eastAsia="zh-CN" w:bidi="ar-SA"/>
        </w:rPr>
        <w:t>交易响应单位</w:t>
      </w:r>
      <w:r>
        <w:rPr>
          <w:rFonts w:hint="eastAsia"/>
          <w:szCs w:val="21"/>
          <w:lang w:val="en-US" w:bidi="ar-SA"/>
        </w:rPr>
        <w:t>的信誉情况表”应附</w:t>
      </w:r>
      <w:r>
        <w:rPr>
          <w:rFonts w:hint="eastAsia"/>
          <w:szCs w:val="21"/>
          <w:lang w:val="en-US" w:eastAsia="zh-CN" w:bidi="ar-SA"/>
        </w:rPr>
        <w:t>交易响应单位</w:t>
      </w:r>
      <w:r>
        <w:rPr>
          <w:rFonts w:hint="eastAsia"/>
          <w:szCs w:val="21"/>
          <w:lang w:val="en-US" w:bidi="ar-SA"/>
        </w:rPr>
        <w:t>在国家企业信用信息公示系统中未被列入严重违法失信企业名单、在“信用中国”网站中未被列入失信被执行人名单的网页截图复印件。</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3.5.5“拟委任的项目经理和</w:t>
      </w:r>
      <w:r>
        <w:rPr>
          <w:rFonts w:hint="eastAsia"/>
          <w:szCs w:val="21"/>
          <w:lang w:val="en-US" w:eastAsia="zh-CN" w:bidi="ar-SA"/>
        </w:rPr>
        <w:t>项目总工程师</w:t>
      </w:r>
      <w:r>
        <w:rPr>
          <w:rFonts w:hint="eastAsia"/>
          <w:szCs w:val="21"/>
          <w:lang w:val="en-US" w:bidi="ar-SA"/>
        </w:rPr>
        <w:t>资历表”应附项目经理和</w:t>
      </w:r>
      <w:r>
        <w:rPr>
          <w:rFonts w:hint="eastAsia"/>
          <w:szCs w:val="21"/>
          <w:lang w:val="en-US" w:eastAsia="zh-CN" w:bidi="ar-SA"/>
        </w:rPr>
        <w:t>项目总工程师</w:t>
      </w:r>
      <w:r>
        <w:rPr>
          <w:rFonts w:hint="eastAsia"/>
          <w:szCs w:val="21"/>
          <w:lang w:val="en-US" w:bidi="ar-SA"/>
        </w:rPr>
        <w:t>的身份证、职称证书以及资格审查条件所要求的其他相关证书（如建造师注册证书、安全生产考核合格证书等）的复印件，建造师注册证书、安全生产考核合格证书在政府相关部门网站上公开信息的网页截图复印件，以及</w:t>
      </w:r>
      <w:r>
        <w:rPr>
          <w:rFonts w:hint="eastAsia"/>
          <w:szCs w:val="21"/>
          <w:lang w:val="en-US" w:eastAsia="zh-CN" w:bidi="ar-SA"/>
        </w:rPr>
        <w:t>交易响应单位</w:t>
      </w:r>
      <w:r>
        <w:rPr>
          <w:rFonts w:hint="eastAsia"/>
          <w:szCs w:val="21"/>
          <w:lang w:val="en-US" w:bidi="ar-SA"/>
        </w:rPr>
        <w:t>所属社保机构出具的拟委任的项目经理和</w:t>
      </w:r>
      <w:r>
        <w:rPr>
          <w:rFonts w:hint="eastAsia"/>
          <w:szCs w:val="21"/>
          <w:lang w:val="en-US" w:eastAsia="zh-CN" w:bidi="ar-SA"/>
        </w:rPr>
        <w:t>项目总工程师</w:t>
      </w:r>
      <w:r>
        <w:rPr>
          <w:rFonts w:hint="eastAsia"/>
          <w:szCs w:val="21"/>
          <w:lang w:val="en-US" w:bidi="ar-SA"/>
        </w:rPr>
        <w:t>的社保缴费证明或其他能够证明拟委任的项目经理和</w:t>
      </w:r>
      <w:r>
        <w:rPr>
          <w:rFonts w:hint="eastAsia"/>
          <w:szCs w:val="21"/>
          <w:lang w:val="en-US" w:eastAsia="zh-CN" w:bidi="ar-SA"/>
        </w:rPr>
        <w:t>项目总工程师</w:t>
      </w:r>
      <w:r>
        <w:rPr>
          <w:rFonts w:hint="eastAsia"/>
          <w:szCs w:val="21"/>
          <w:lang w:val="en-US" w:bidi="ar-SA"/>
        </w:rPr>
        <w:t>参加社保的有效证明材料复印件。</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如项目经理或</w:t>
      </w:r>
      <w:r>
        <w:rPr>
          <w:rFonts w:hint="eastAsia"/>
          <w:szCs w:val="21"/>
          <w:lang w:val="en-US" w:eastAsia="zh-CN" w:bidi="ar-SA"/>
        </w:rPr>
        <w:t>项目总工程师</w:t>
      </w:r>
      <w:r>
        <w:rPr>
          <w:rFonts w:hint="eastAsia"/>
          <w:szCs w:val="21"/>
          <w:lang w:val="en-US" w:bidi="ar-SA"/>
        </w:rPr>
        <w:t>目前仍在其他项目上任职，则</w:t>
      </w:r>
      <w:r>
        <w:rPr>
          <w:rFonts w:hint="eastAsia"/>
          <w:szCs w:val="21"/>
          <w:lang w:val="en-US" w:eastAsia="zh-CN" w:bidi="ar-SA"/>
        </w:rPr>
        <w:t>交易响应单位</w:t>
      </w:r>
      <w:r>
        <w:rPr>
          <w:rFonts w:hint="eastAsia"/>
          <w:szCs w:val="21"/>
          <w:lang w:val="en-US" w:bidi="ar-SA"/>
        </w:rPr>
        <w:t>应提供由该项目发包人出具的、承诺上述人员能够从该项目撤离的书面证明材料原件。</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3.5.6“拟委任的其他管理和技术人员汇总表”（如有）应填报满足</w:t>
      </w:r>
      <w:r>
        <w:rPr>
          <w:rFonts w:hint="eastAsia"/>
          <w:szCs w:val="21"/>
          <w:lang w:val="en-US" w:eastAsia="zh-CN" w:bidi="ar-SA"/>
        </w:rPr>
        <w:t>交易须知</w:t>
      </w:r>
      <w:r>
        <w:rPr>
          <w:rFonts w:hint="eastAsia"/>
          <w:szCs w:val="21"/>
          <w:lang w:val="en-US" w:bidi="ar-SA"/>
        </w:rPr>
        <w:t>前附表附录 6 规定的其他人员的相关信息。“拟委任的其他管理和技术人员资历表”（如有）中相关人员应附身份证、职称资格证书以及资格审查条件所要求的其他相关证书的复印件，以及</w:t>
      </w:r>
      <w:r>
        <w:rPr>
          <w:rFonts w:hint="eastAsia"/>
          <w:szCs w:val="21"/>
          <w:lang w:val="en-US" w:eastAsia="zh-CN" w:bidi="ar-SA"/>
        </w:rPr>
        <w:t>交易响应单位</w:t>
      </w:r>
      <w:r>
        <w:rPr>
          <w:rFonts w:hint="eastAsia"/>
          <w:szCs w:val="21"/>
          <w:lang w:val="en-US" w:bidi="ar-SA"/>
        </w:rPr>
        <w:t>所属社保机构出具的社保缴费证明或其他能够证明其参加社保的有效证明材料复印件。</w:t>
      </w:r>
    </w:p>
    <w:p>
      <w:pPr>
        <w:pStyle w:val="34"/>
        <w:tabs>
          <w:tab w:val="left" w:pos="1380"/>
        </w:tabs>
        <w:spacing w:line="440" w:lineRule="exact"/>
        <w:ind w:left="0" w:firstLine="420" w:firstLineChars="200"/>
        <w:jc w:val="left"/>
        <w:rPr>
          <w:szCs w:val="21"/>
        </w:rPr>
      </w:pPr>
      <w:r>
        <w:rPr>
          <w:rFonts w:hint="eastAsia"/>
          <w:szCs w:val="21"/>
          <w:lang w:val="en-US"/>
        </w:rPr>
        <w:t>3.5.7</w:t>
      </w:r>
      <w:r>
        <w:rPr>
          <w:rFonts w:hint="eastAsia"/>
          <w:szCs w:val="21"/>
        </w:rPr>
        <w:t>“拟投入本标段的主要施工机械表</w:t>
      </w:r>
      <w:r>
        <w:rPr>
          <w:rFonts w:hint="eastAsia"/>
          <w:spacing w:val="-18"/>
          <w:szCs w:val="21"/>
        </w:rPr>
        <w:t>”“拟配备本标段的主要材料试验、测量、</w:t>
      </w:r>
      <w:r>
        <w:rPr>
          <w:rFonts w:hint="eastAsia"/>
          <w:spacing w:val="-16"/>
          <w:szCs w:val="21"/>
        </w:rPr>
        <w:t>质检仪器设备表”</w:t>
      </w:r>
      <w:r>
        <w:rPr>
          <w:rFonts w:hint="eastAsia"/>
          <w:szCs w:val="21"/>
        </w:rPr>
        <w:t>（如有）</w:t>
      </w:r>
      <w:r>
        <w:rPr>
          <w:rFonts w:hint="eastAsia"/>
          <w:spacing w:val="-3"/>
          <w:szCs w:val="21"/>
        </w:rPr>
        <w:t>应填报满足</w:t>
      </w:r>
      <w:r>
        <w:rPr>
          <w:rFonts w:hint="eastAsia"/>
          <w:spacing w:val="-3"/>
          <w:szCs w:val="21"/>
          <w:lang w:eastAsia="zh-CN"/>
        </w:rPr>
        <w:t>交易须知</w:t>
      </w:r>
      <w:r>
        <w:rPr>
          <w:rFonts w:hint="eastAsia"/>
          <w:spacing w:val="-3"/>
          <w:szCs w:val="21"/>
        </w:rPr>
        <w:t xml:space="preserve">前附表附录 </w:t>
      </w:r>
      <w:r>
        <w:rPr>
          <w:rFonts w:hint="eastAsia"/>
          <w:szCs w:val="21"/>
        </w:rPr>
        <w:t>7</w:t>
      </w:r>
      <w:r>
        <w:rPr>
          <w:rFonts w:hint="eastAsia"/>
          <w:spacing w:val="14"/>
          <w:szCs w:val="21"/>
        </w:rPr>
        <w:t xml:space="preserve"> </w:t>
      </w:r>
      <w:r>
        <w:rPr>
          <w:rFonts w:hint="eastAsia"/>
          <w:szCs w:val="21"/>
        </w:rPr>
        <w:t>规定的机械设备和试验检测设备。</w:t>
      </w:r>
    </w:p>
    <w:p>
      <w:pPr>
        <w:pStyle w:val="34"/>
        <w:tabs>
          <w:tab w:val="left" w:pos="1380"/>
        </w:tabs>
        <w:spacing w:line="440" w:lineRule="exact"/>
        <w:ind w:left="0" w:firstLine="408" w:firstLineChars="200"/>
        <w:jc w:val="left"/>
        <w:rPr>
          <w:szCs w:val="21"/>
        </w:rPr>
      </w:pPr>
      <w:r>
        <w:rPr>
          <w:rFonts w:hint="eastAsia"/>
          <w:spacing w:val="-3"/>
          <w:szCs w:val="21"/>
          <w:lang w:val="en-US"/>
        </w:rPr>
        <w:t>3.5.8</w:t>
      </w:r>
      <w:r>
        <w:rPr>
          <w:rFonts w:hint="eastAsia"/>
          <w:spacing w:val="-3"/>
          <w:szCs w:val="21"/>
          <w:lang w:eastAsia="zh-CN"/>
        </w:rPr>
        <w:t>交易须知</w:t>
      </w:r>
      <w:r>
        <w:rPr>
          <w:rFonts w:hint="eastAsia"/>
          <w:spacing w:val="-3"/>
          <w:szCs w:val="21"/>
        </w:rPr>
        <w:t xml:space="preserve">前附表规定接受联合体投标的，本章第 </w:t>
      </w:r>
      <w:r>
        <w:rPr>
          <w:rFonts w:hint="eastAsia"/>
          <w:szCs w:val="21"/>
        </w:rPr>
        <w:t>3.5.1</w:t>
      </w:r>
      <w:r>
        <w:rPr>
          <w:rFonts w:hint="eastAsia"/>
          <w:spacing w:val="7"/>
          <w:szCs w:val="21"/>
        </w:rPr>
        <w:t xml:space="preserve"> </w:t>
      </w:r>
      <w:r>
        <w:rPr>
          <w:rFonts w:hint="eastAsia"/>
          <w:spacing w:val="-14"/>
          <w:szCs w:val="21"/>
        </w:rPr>
        <w:t xml:space="preserve">项至第 </w:t>
      </w:r>
      <w:r>
        <w:rPr>
          <w:rFonts w:hint="eastAsia"/>
          <w:szCs w:val="21"/>
        </w:rPr>
        <w:t>3.5.7</w:t>
      </w:r>
      <w:r>
        <w:rPr>
          <w:rFonts w:hint="eastAsia"/>
          <w:spacing w:val="7"/>
          <w:szCs w:val="21"/>
        </w:rPr>
        <w:t xml:space="preserve"> </w:t>
      </w:r>
      <w:r>
        <w:rPr>
          <w:rFonts w:hint="eastAsia"/>
          <w:spacing w:val="-8"/>
          <w:szCs w:val="21"/>
        </w:rPr>
        <w:t>项规</w:t>
      </w:r>
      <w:r>
        <w:rPr>
          <w:rFonts w:hint="eastAsia"/>
          <w:szCs w:val="21"/>
        </w:rPr>
        <w:t>定的表格和资料应包括联合体各方相关情况。</w:t>
      </w:r>
    </w:p>
    <w:p>
      <w:pPr>
        <w:pStyle w:val="34"/>
        <w:tabs>
          <w:tab w:val="left" w:pos="1380"/>
        </w:tabs>
        <w:spacing w:line="440" w:lineRule="exact"/>
        <w:ind w:left="0" w:firstLine="416" w:firstLineChars="200"/>
        <w:jc w:val="left"/>
        <w:rPr>
          <w:szCs w:val="21"/>
        </w:rPr>
      </w:pPr>
      <w:r>
        <w:rPr>
          <w:rFonts w:hint="eastAsia"/>
          <w:spacing w:val="-1"/>
          <w:szCs w:val="21"/>
          <w:lang w:val="en-US"/>
        </w:rPr>
        <w:t>3.5.9</w:t>
      </w:r>
      <w:r>
        <w:rPr>
          <w:rFonts w:hint="eastAsia"/>
          <w:spacing w:val="-1"/>
          <w:szCs w:val="21"/>
        </w:rPr>
        <w:t>除合同条款约定的特殊情形外，</w:t>
      </w:r>
      <w:r>
        <w:rPr>
          <w:rFonts w:hint="eastAsia"/>
          <w:spacing w:val="-1"/>
          <w:szCs w:val="21"/>
          <w:lang w:eastAsia="zh-CN"/>
        </w:rPr>
        <w:t>交易响应单位</w:t>
      </w:r>
      <w:r>
        <w:rPr>
          <w:rFonts w:hint="eastAsia"/>
          <w:spacing w:val="-1"/>
          <w:szCs w:val="21"/>
        </w:rPr>
        <w:t>在</w:t>
      </w:r>
      <w:r>
        <w:rPr>
          <w:rFonts w:hint="eastAsia"/>
          <w:spacing w:val="-1"/>
          <w:szCs w:val="21"/>
          <w:lang w:eastAsia="zh-CN"/>
        </w:rPr>
        <w:t>交易响应文件</w:t>
      </w:r>
      <w:r>
        <w:rPr>
          <w:rFonts w:hint="eastAsia"/>
          <w:spacing w:val="-1"/>
          <w:szCs w:val="21"/>
        </w:rPr>
        <w:t>中填报的项目经理和</w:t>
      </w:r>
      <w:r>
        <w:rPr>
          <w:rFonts w:hint="eastAsia"/>
          <w:spacing w:val="-1"/>
          <w:szCs w:val="21"/>
          <w:lang w:eastAsia="zh-CN"/>
        </w:rPr>
        <w:t>项目总工程师</w:t>
      </w:r>
      <w:r>
        <w:rPr>
          <w:rFonts w:hint="eastAsia"/>
          <w:szCs w:val="21"/>
        </w:rPr>
        <w:t>不允许更换。</w:t>
      </w:r>
    </w:p>
    <w:p>
      <w:pPr>
        <w:pStyle w:val="34"/>
        <w:tabs>
          <w:tab w:val="left" w:pos="1380"/>
        </w:tabs>
        <w:spacing w:line="440" w:lineRule="exact"/>
        <w:ind w:left="0" w:firstLine="416" w:firstLineChars="200"/>
        <w:jc w:val="left"/>
        <w:rPr>
          <w:szCs w:val="21"/>
        </w:rPr>
      </w:pPr>
      <w:r>
        <w:rPr>
          <w:rFonts w:hint="eastAsia"/>
          <w:spacing w:val="-1"/>
          <w:szCs w:val="21"/>
          <w:lang w:val="en-US"/>
        </w:rPr>
        <w:t>3.5.10</w:t>
      </w:r>
      <w:r>
        <w:rPr>
          <w:rFonts w:hint="eastAsia"/>
          <w:spacing w:val="-1"/>
          <w:szCs w:val="21"/>
          <w:lang w:eastAsia="zh-CN"/>
        </w:rPr>
        <w:t>交易响应单位</w:t>
      </w:r>
      <w:r>
        <w:rPr>
          <w:rFonts w:hint="eastAsia"/>
          <w:spacing w:val="-1"/>
          <w:szCs w:val="21"/>
        </w:rPr>
        <w:t>在</w:t>
      </w:r>
      <w:r>
        <w:rPr>
          <w:rFonts w:hint="eastAsia"/>
          <w:spacing w:val="-1"/>
          <w:szCs w:val="21"/>
          <w:lang w:eastAsia="zh-CN"/>
        </w:rPr>
        <w:t>交易响应文件</w:t>
      </w:r>
      <w:r>
        <w:rPr>
          <w:rFonts w:hint="eastAsia"/>
          <w:spacing w:val="-1"/>
          <w:szCs w:val="21"/>
        </w:rPr>
        <w:t>中填报的资质、业绩、主要人员资历和目前在岗情况、</w:t>
      </w:r>
      <w:r>
        <w:rPr>
          <w:rFonts w:hint="eastAsia"/>
          <w:spacing w:val="-8"/>
          <w:szCs w:val="21"/>
        </w:rPr>
        <w:t>信用等级等信息，应与其在交通运输主管部门“公路建设市场信用信息管理系统”上</w:t>
      </w:r>
      <w:r>
        <w:rPr>
          <w:rFonts w:hint="eastAsia"/>
          <w:szCs w:val="21"/>
        </w:rPr>
        <w:t>填报并发布的相关信息一致。</w:t>
      </w:r>
      <w:r>
        <w:rPr>
          <w:rFonts w:hint="eastAsia"/>
          <w:szCs w:val="21"/>
          <w:lang w:eastAsia="zh-CN"/>
        </w:rPr>
        <w:t>交易响应单位</w:t>
      </w:r>
      <w:r>
        <w:rPr>
          <w:rFonts w:hint="eastAsia"/>
          <w:szCs w:val="21"/>
        </w:rPr>
        <w:t>应根据本单位实际情况及时完成相关信息的申报、录入和动态更新，并对相关信息的真实性、完整性和准确性负责。</w:t>
      </w:r>
    </w:p>
    <w:p>
      <w:pPr>
        <w:pStyle w:val="34"/>
        <w:tabs>
          <w:tab w:val="left" w:pos="1380"/>
        </w:tabs>
        <w:spacing w:line="440" w:lineRule="exact"/>
        <w:ind w:left="0" w:firstLine="396" w:firstLineChars="200"/>
        <w:jc w:val="left"/>
        <w:rPr>
          <w:szCs w:val="21"/>
        </w:rPr>
      </w:pPr>
      <w:r>
        <w:rPr>
          <w:rFonts w:hint="eastAsia"/>
          <w:spacing w:val="-6"/>
          <w:szCs w:val="21"/>
          <w:lang w:val="en-US"/>
        </w:rPr>
        <w:t>3.5.11</w:t>
      </w:r>
      <w:r>
        <w:rPr>
          <w:rFonts w:hint="eastAsia"/>
          <w:spacing w:val="-6"/>
          <w:szCs w:val="21"/>
        </w:rPr>
        <w:t>招标人有权核查</w:t>
      </w:r>
      <w:r>
        <w:rPr>
          <w:rFonts w:hint="eastAsia"/>
          <w:spacing w:val="-6"/>
          <w:szCs w:val="21"/>
          <w:lang w:eastAsia="zh-CN"/>
        </w:rPr>
        <w:t>交易响应单位</w:t>
      </w:r>
      <w:r>
        <w:rPr>
          <w:rFonts w:hint="eastAsia"/>
          <w:spacing w:val="-6"/>
          <w:szCs w:val="21"/>
        </w:rPr>
        <w:t>在资格预审申请文件和</w:t>
      </w:r>
      <w:r>
        <w:rPr>
          <w:rFonts w:hint="eastAsia"/>
          <w:spacing w:val="-6"/>
          <w:szCs w:val="21"/>
          <w:lang w:eastAsia="zh-CN"/>
        </w:rPr>
        <w:t>交易响应文件</w:t>
      </w:r>
      <w:r>
        <w:rPr>
          <w:rFonts w:hint="eastAsia"/>
          <w:spacing w:val="-6"/>
          <w:szCs w:val="21"/>
        </w:rPr>
        <w:t>中提供的资料，若在评标期间发现</w:t>
      </w:r>
      <w:r>
        <w:rPr>
          <w:rFonts w:hint="eastAsia"/>
          <w:spacing w:val="-6"/>
          <w:szCs w:val="21"/>
          <w:lang w:eastAsia="zh-CN"/>
        </w:rPr>
        <w:t>交易响应单位</w:t>
      </w:r>
      <w:r>
        <w:rPr>
          <w:rFonts w:hint="eastAsia"/>
          <w:spacing w:val="-6"/>
          <w:szCs w:val="21"/>
        </w:rPr>
        <w:t>提供了虚假资料，其投标将被否决；若在签订合同前发现作为中标候选人的</w:t>
      </w:r>
      <w:r>
        <w:rPr>
          <w:rFonts w:hint="eastAsia"/>
          <w:spacing w:val="-6"/>
          <w:szCs w:val="21"/>
          <w:lang w:eastAsia="zh-CN"/>
        </w:rPr>
        <w:t>交易响应单位</w:t>
      </w:r>
      <w:r>
        <w:rPr>
          <w:rFonts w:hint="eastAsia"/>
          <w:spacing w:val="-6"/>
          <w:szCs w:val="21"/>
        </w:rPr>
        <w:t>提供了虚假资料，招标人有权取消其中标资格；若在合同实施期</w:t>
      </w:r>
      <w:r>
        <w:rPr>
          <w:rFonts w:hint="eastAsia"/>
          <w:spacing w:val="-8"/>
          <w:szCs w:val="21"/>
        </w:rPr>
        <w:t>间发现</w:t>
      </w:r>
      <w:r>
        <w:rPr>
          <w:rFonts w:hint="eastAsia"/>
          <w:spacing w:val="-8"/>
          <w:szCs w:val="21"/>
          <w:lang w:eastAsia="zh-CN"/>
        </w:rPr>
        <w:t>交易响应单位</w:t>
      </w:r>
      <w:r>
        <w:rPr>
          <w:rFonts w:hint="eastAsia"/>
          <w:spacing w:val="-8"/>
          <w:szCs w:val="21"/>
        </w:rPr>
        <w:t>提供了虚假资料，招标人有权从工程支付款或履约保证金中扣除不超过</w:t>
      </w:r>
      <w:r>
        <w:rPr>
          <w:rFonts w:hint="eastAsia"/>
          <w:szCs w:val="21"/>
        </w:rPr>
        <w:t>10</w:t>
      </w:r>
      <w:r>
        <w:rPr>
          <w:rFonts w:hint="eastAsia"/>
          <w:spacing w:val="-8"/>
          <w:szCs w:val="21"/>
        </w:rPr>
        <w:t>％签约合同价的金额作为违约金。同时招标人将</w:t>
      </w:r>
      <w:r>
        <w:rPr>
          <w:rFonts w:hint="eastAsia"/>
          <w:spacing w:val="-8"/>
          <w:szCs w:val="21"/>
          <w:lang w:eastAsia="zh-CN"/>
        </w:rPr>
        <w:t>交易响应单位</w:t>
      </w:r>
      <w:r>
        <w:rPr>
          <w:rFonts w:hint="eastAsia"/>
          <w:spacing w:val="-8"/>
          <w:szCs w:val="21"/>
        </w:rPr>
        <w:t>上述弄虚作假行为上报省级</w:t>
      </w:r>
      <w:r>
        <w:rPr>
          <w:rFonts w:hint="eastAsia"/>
          <w:szCs w:val="21"/>
        </w:rPr>
        <w:t>交通运输主管部门，作为不良记录纳入公路建设市场信用信息管理系统。</w:t>
      </w:r>
    </w:p>
    <w:p>
      <w:pPr>
        <w:pStyle w:val="4"/>
        <w:spacing w:line="440" w:lineRule="exact"/>
        <w:ind w:firstLine="422" w:firstLineChars="200"/>
        <w:jc w:val="left"/>
        <w:rPr>
          <w:rFonts w:ascii="宋体" w:hAnsi="宋体" w:cs="宋体"/>
          <w:sz w:val="21"/>
          <w:szCs w:val="21"/>
        </w:rPr>
      </w:pPr>
      <w:bookmarkStart w:id="74" w:name="_Toc369608020"/>
      <w:bookmarkStart w:id="75" w:name="_Toc765"/>
      <w:bookmarkStart w:id="76" w:name="_Toc432367724"/>
      <w:r>
        <w:rPr>
          <w:rFonts w:hint="eastAsia" w:ascii="宋体" w:hAnsi="宋体" w:cs="宋体"/>
          <w:sz w:val="21"/>
          <w:szCs w:val="21"/>
        </w:rPr>
        <w:t>3.6 备选投标方案</w:t>
      </w:r>
      <w:bookmarkEnd w:id="74"/>
      <w:bookmarkEnd w:id="75"/>
      <w:bookmarkEnd w:id="76"/>
    </w:p>
    <w:p>
      <w:pPr>
        <w:pStyle w:val="34"/>
        <w:tabs>
          <w:tab w:val="left" w:pos="1380"/>
        </w:tabs>
        <w:spacing w:line="440" w:lineRule="exact"/>
        <w:ind w:left="0" w:firstLine="396" w:firstLineChars="200"/>
        <w:jc w:val="left"/>
        <w:rPr>
          <w:spacing w:val="-6"/>
          <w:szCs w:val="21"/>
          <w:lang w:val="en-US"/>
        </w:rPr>
      </w:pPr>
      <w:r>
        <w:rPr>
          <w:rFonts w:hint="eastAsia"/>
          <w:spacing w:val="-6"/>
          <w:szCs w:val="21"/>
          <w:lang w:val="en-US"/>
        </w:rPr>
        <w:t>3.6.1除</w:t>
      </w:r>
      <w:r>
        <w:rPr>
          <w:rFonts w:hint="eastAsia"/>
          <w:spacing w:val="-6"/>
          <w:szCs w:val="21"/>
          <w:lang w:val="en-US" w:eastAsia="zh-CN"/>
        </w:rPr>
        <w:t>交易须知</w:t>
      </w:r>
      <w:r>
        <w:rPr>
          <w:rFonts w:hint="eastAsia"/>
          <w:spacing w:val="-6"/>
          <w:szCs w:val="21"/>
          <w:lang w:val="en-US"/>
        </w:rPr>
        <w:t>前附表规定允许外，</w:t>
      </w:r>
      <w:r>
        <w:rPr>
          <w:rFonts w:hint="eastAsia"/>
          <w:spacing w:val="-6"/>
          <w:szCs w:val="21"/>
          <w:lang w:val="en-US" w:eastAsia="zh-CN"/>
        </w:rPr>
        <w:t>交易响应单位</w:t>
      </w:r>
      <w:r>
        <w:rPr>
          <w:rFonts w:hint="eastAsia"/>
          <w:spacing w:val="-6"/>
          <w:szCs w:val="21"/>
          <w:lang w:val="en-US"/>
        </w:rPr>
        <w:t>不得递交备选投标方案，否则其投标将被否决。</w:t>
      </w:r>
    </w:p>
    <w:p>
      <w:pPr>
        <w:pStyle w:val="34"/>
        <w:tabs>
          <w:tab w:val="left" w:pos="1380"/>
        </w:tabs>
        <w:spacing w:line="440" w:lineRule="exact"/>
        <w:ind w:left="0" w:firstLine="396" w:firstLineChars="200"/>
        <w:jc w:val="left"/>
        <w:rPr>
          <w:spacing w:val="-6"/>
          <w:szCs w:val="21"/>
          <w:lang w:val="en-US"/>
        </w:rPr>
      </w:pPr>
      <w:r>
        <w:rPr>
          <w:rFonts w:hint="eastAsia"/>
          <w:spacing w:val="-6"/>
          <w:szCs w:val="21"/>
          <w:lang w:val="en-US"/>
        </w:rPr>
        <w:t>3.6.2允许</w:t>
      </w:r>
      <w:r>
        <w:rPr>
          <w:rFonts w:hint="eastAsia"/>
          <w:spacing w:val="-6"/>
          <w:szCs w:val="21"/>
          <w:lang w:val="en-US" w:eastAsia="zh-CN"/>
        </w:rPr>
        <w:t>交易响应单位</w:t>
      </w:r>
      <w:r>
        <w:rPr>
          <w:rFonts w:hint="eastAsia"/>
          <w:spacing w:val="-6"/>
          <w:szCs w:val="21"/>
          <w:lang w:val="en-US"/>
        </w:rPr>
        <w:t>递交备选投标方案的，只有中标人所递交的备选投标方案方可予以考虑。评标委员会认为中标人的备选投标方案优于其按照</w:t>
      </w:r>
      <w:r>
        <w:rPr>
          <w:rFonts w:hint="eastAsia"/>
          <w:spacing w:val="-6"/>
          <w:szCs w:val="21"/>
          <w:lang w:val="en-US" w:eastAsia="zh-CN"/>
        </w:rPr>
        <w:t>交易文件</w:t>
      </w:r>
      <w:r>
        <w:rPr>
          <w:rFonts w:hint="eastAsia"/>
          <w:spacing w:val="-6"/>
          <w:szCs w:val="21"/>
          <w:lang w:val="en-US"/>
        </w:rPr>
        <w:t>要求编制的投标方案的，招标人可以接受该备选投标方案。</w:t>
      </w:r>
    </w:p>
    <w:p>
      <w:pPr>
        <w:pStyle w:val="34"/>
        <w:tabs>
          <w:tab w:val="left" w:pos="1380"/>
        </w:tabs>
        <w:spacing w:line="440" w:lineRule="exact"/>
        <w:ind w:left="0" w:firstLine="396" w:firstLineChars="200"/>
        <w:jc w:val="left"/>
        <w:rPr>
          <w:szCs w:val="21"/>
        </w:rPr>
      </w:pPr>
      <w:r>
        <w:rPr>
          <w:rFonts w:hint="eastAsia"/>
          <w:spacing w:val="-6"/>
          <w:szCs w:val="21"/>
          <w:lang w:val="en-US"/>
        </w:rPr>
        <w:t>3.6.3</w:t>
      </w:r>
      <w:r>
        <w:rPr>
          <w:rFonts w:hint="eastAsia"/>
          <w:spacing w:val="-6"/>
          <w:szCs w:val="21"/>
          <w:lang w:val="en-US" w:eastAsia="zh-CN"/>
        </w:rPr>
        <w:t>交易响应单位</w:t>
      </w:r>
      <w:r>
        <w:rPr>
          <w:rFonts w:hint="eastAsia"/>
          <w:spacing w:val="-6"/>
          <w:szCs w:val="21"/>
          <w:lang w:val="en-US"/>
        </w:rPr>
        <w:t>提供两个或两个以上投标报价，或在</w:t>
      </w:r>
      <w:r>
        <w:rPr>
          <w:rFonts w:hint="eastAsia"/>
          <w:spacing w:val="-6"/>
          <w:szCs w:val="21"/>
          <w:lang w:val="en-US" w:eastAsia="zh-CN"/>
        </w:rPr>
        <w:t>交易响应文件</w:t>
      </w:r>
      <w:r>
        <w:rPr>
          <w:rFonts w:hint="eastAsia"/>
          <w:spacing w:val="-6"/>
          <w:szCs w:val="21"/>
          <w:lang w:val="en-US"/>
        </w:rPr>
        <w:t>中提供一个报价，但同时提供两个或两个以上施工组织设计的，视为提供备选方案。</w:t>
      </w:r>
    </w:p>
    <w:p>
      <w:pPr>
        <w:pStyle w:val="4"/>
        <w:spacing w:line="440" w:lineRule="exact"/>
        <w:ind w:firstLine="422" w:firstLineChars="200"/>
        <w:jc w:val="left"/>
        <w:rPr>
          <w:rFonts w:ascii="宋体" w:hAnsi="宋体" w:cs="宋体"/>
          <w:sz w:val="21"/>
          <w:szCs w:val="21"/>
        </w:rPr>
      </w:pPr>
      <w:bookmarkStart w:id="77" w:name="_Toc369608021"/>
      <w:bookmarkStart w:id="78" w:name="_Toc432367725"/>
      <w:bookmarkStart w:id="79" w:name="_Toc1873"/>
      <w:r>
        <w:rPr>
          <w:rFonts w:hint="eastAsia" w:ascii="宋体" w:hAnsi="宋体" w:cs="宋体"/>
          <w:sz w:val="21"/>
          <w:szCs w:val="21"/>
        </w:rPr>
        <w:t xml:space="preserve">3.7 </w:t>
      </w:r>
      <w:r>
        <w:rPr>
          <w:rFonts w:hint="eastAsia" w:ascii="宋体" w:hAnsi="宋体" w:cs="宋体"/>
          <w:sz w:val="21"/>
          <w:szCs w:val="21"/>
          <w:lang w:eastAsia="zh-CN"/>
        </w:rPr>
        <w:t>交易响应文件</w:t>
      </w:r>
      <w:r>
        <w:rPr>
          <w:rFonts w:hint="eastAsia" w:ascii="宋体" w:hAnsi="宋体" w:cs="宋体"/>
          <w:sz w:val="21"/>
          <w:szCs w:val="21"/>
        </w:rPr>
        <w:t>的编制</w:t>
      </w:r>
      <w:bookmarkEnd w:id="77"/>
      <w:bookmarkEnd w:id="78"/>
      <w:bookmarkEnd w:id="79"/>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3.7.1</w:t>
      </w:r>
      <w:r>
        <w:rPr>
          <w:rFonts w:hint="eastAsia"/>
          <w:szCs w:val="21"/>
          <w:lang w:val="en-US" w:eastAsia="zh-CN" w:bidi="ar-SA"/>
        </w:rPr>
        <w:t>交易响应文件</w:t>
      </w:r>
      <w:r>
        <w:rPr>
          <w:rFonts w:hint="eastAsia"/>
          <w:szCs w:val="21"/>
          <w:lang w:val="en-US" w:bidi="ar-SA"/>
        </w:rPr>
        <w:t>应按第九章“</w:t>
      </w:r>
      <w:r>
        <w:rPr>
          <w:rFonts w:hint="eastAsia"/>
          <w:szCs w:val="21"/>
          <w:lang w:val="en-US" w:eastAsia="zh-CN" w:bidi="ar-SA"/>
        </w:rPr>
        <w:t>交易响应文件</w:t>
      </w:r>
      <w:r>
        <w:rPr>
          <w:rFonts w:hint="eastAsia"/>
          <w:szCs w:val="21"/>
          <w:lang w:val="en-US" w:bidi="ar-SA"/>
        </w:rPr>
        <w:t>格式”进行编写，如有必要，可以增加附页， 作为</w:t>
      </w:r>
      <w:r>
        <w:rPr>
          <w:rFonts w:hint="eastAsia"/>
          <w:szCs w:val="21"/>
          <w:lang w:val="en-US" w:eastAsia="zh-CN" w:bidi="ar-SA"/>
        </w:rPr>
        <w:t>交易响应文件</w:t>
      </w:r>
      <w:r>
        <w:rPr>
          <w:rFonts w:hint="eastAsia"/>
          <w:szCs w:val="21"/>
          <w:lang w:val="en-US" w:bidi="ar-SA"/>
        </w:rPr>
        <w:t>的组成部分。其中，投标函附录在满足</w:t>
      </w:r>
      <w:r>
        <w:rPr>
          <w:rFonts w:hint="eastAsia"/>
          <w:szCs w:val="21"/>
          <w:lang w:val="en-US" w:eastAsia="zh-CN" w:bidi="ar-SA"/>
        </w:rPr>
        <w:t>交易文件</w:t>
      </w:r>
      <w:r>
        <w:rPr>
          <w:rFonts w:hint="eastAsia"/>
          <w:szCs w:val="21"/>
          <w:lang w:val="en-US" w:bidi="ar-SA"/>
        </w:rPr>
        <w:t>实质性要求的基础上， 可以提出比</w:t>
      </w:r>
      <w:r>
        <w:rPr>
          <w:rFonts w:hint="eastAsia"/>
          <w:szCs w:val="21"/>
          <w:lang w:val="en-US" w:eastAsia="zh-CN" w:bidi="ar-SA"/>
        </w:rPr>
        <w:t>交易文件</w:t>
      </w:r>
      <w:r>
        <w:rPr>
          <w:rFonts w:hint="eastAsia"/>
          <w:szCs w:val="21"/>
          <w:lang w:val="en-US" w:bidi="ar-SA"/>
        </w:rPr>
        <w:t>要求更有利于招标人的承诺。</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3.7.2</w:t>
      </w:r>
      <w:r>
        <w:rPr>
          <w:rFonts w:hint="eastAsia"/>
          <w:szCs w:val="21"/>
          <w:lang w:val="en-US" w:eastAsia="zh-CN" w:bidi="ar-SA"/>
        </w:rPr>
        <w:t>交易响应文件</w:t>
      </w:r>
      <w:r>
        <w:rPr>
          <w:rFonts w:hint="eastAsia"/>
          <w:szCs w:val="21"/>
          <w:lang w:val="en-US" w:bidi="ar-SA"/>
        </w:rPr>
        <w:t>应对</w:t>
      </w:r>
      <w:r>
        <w:rPr>
          <w:rFonts w:hint="eastAsia"/>
          <w:szCs w:val="21"/>
          <w:lang w:val="en-US" w:eastAsia="zh-CN" w:bidi="ar-SA"/>
        </w:rPr>
        <w:t>交易文件</w:t>
      </w:r>
      <w:r>
        <w:rPr>
          <w:rFonts w:hint="eastAsia"/>
          <w:szCs w:val="21"/>
          <w:lang w:val="en-US" w:bidi="ar-SA"/>
        </w:rPr>
        <w:t>有关工期、投标有效期、质量要求、安全目标、技术标准和要求、招标范围等实质性内容作出响应。</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3.7.3</w:t>
      </w:r>
      <w:r>
        <w:rPr>
          <w:rFonts w:hint="eastAsia"/>
          <w:szCs w:val="21"/>
          <w:lang w:val="en-US" w:eastAsia="zh-CN" w:bidi="ar-SA"/>
        </w:rPr>
        <w:t>交易响应文件</w:t>
      </w:r>
      <w:r>
        <w:rPr>
          <w:rFonts w:hint="eastAsia"/>
          <w:szCs w:val="21"/>
          <w:lang w:val="en-US" w:bidi="ar-SA"/>
        </w:rPr>
        <w:t>应用不褪色的材料书写或打印。</w:t>
      </w:r>
      <w:r>
        <w:rPr>
          <w:rFonts w:hint="eastAsia"/>
          <w:szCs w:val="21"/>
          <w:lang w:val="en-US" w:eastAsia="zh-CN" w:bidi="ar-SA"/>
        </w:rPr>
        <w:t>交易响应文件</w:t>
      </w:r>
      <w:r>
        <w:rPr>
          <w:rFonts w:hint="eastAsia"/>
          <w:szCs w:val="21"/>
          <w:lang w:val="en-US" w:bidi="ar-SA"/>
        </w:rPr>
        <w:t>格式中明确要求</w:t>
      </w:r>
      <w:r>
        <w:rPr>
          <w:rFonts w:hint="eastAsia"/>
          <w:szCs w:val="21"/>
          <w:lang w:val="en-US" w:eastAsia="zh-CN" w:bidi="ar-SA"/>
        </w:rPr>
        <w:t>交易响应单位</w:t>
      </w:r>
      <w:r>
        <w:rPr>
          <w:rFonts w:hint="eastAsia"/>
          <w:szCs w:val="21"/>
          <w:lang w:val="en-US" w:bidi="ar-SA"/>
        </w:rPr>
        <w:t>法定代表人或其委托代理人签字之处，必须由相关人员亲笔签名，不得使用印章、签名章或其他电子制版签名代替；明确要求</w:t>
      </w:r>
      <w:r>
        <w:rPr>
          <w:rFonts w:hint="eastAsia"/>
          <w:szCs w:val="21"/>
          <w:lang w:val="en-US" w:eastAsia="zh-CN" w:bidi="ar-SA"/>
        </w:rPr>
        <w:t>交易响应单位</w:t>
      </w:r>
      <w:r>
        <w:rPr>
          <w:rFonts w:hint="eastAsia"/>
          <w:szCs w:val="21"/>
          <w:lang w:val="en-US" w:bidi="ar-SA"/>
        </w:rPr>
        <w:t>加盖单位章之处，必须加盖单位章。其中，投标函、调价函及对</w:t>
      </w:r>
      <w:r>
        <w:rPr>
          <w:rFonts w:hint="eastAsia"/>
          <w:szCs w:val="21"/>
          <w:lang w:val="en-US" w:eastAsia="zh-CN" w:bidi="ar-SA"/>
        </w:rPr>
        <w:t>交易响应文件</w:t>
      </w:r>
      <w:r>
        <w:rPr>
          <w:rFonts w:hint="eastAsia"/>
          <w:szCs w:val="21"/>
          <w:lang w:val="en-US" w:bidi="ar-SA"/>
        </w:rPr>
        <w:t>的澄清和说明应加盖</w:t>
      </w:r>
      <w:r>
        <w:rPr>
          <w:rFonts w:hint="eastAsia"/>
          <w:szCs w:val="21"/>
          <w:lang w:val="en-US" w:eastAsia="zh-CN" w:bidi="ar-SA"/>
        </w:rPr>
        <w:t>交易响应单位</w:t>
      </w:r>
      <w:r>
        <w:rPr>
          <w:rFonts w:hint="eastAsia"/>
          <w:szCs w:val="21"/>
          <w:lang w:val="en-US" w:bidi="ar-SA"/>
        </w:rPr>
        <w:t>单位章，或由</w:t>
      </w:r>
      <w:r>
        <w:rPr>
          <w:rFonts w:hint="eastAsia"/>
          <w:szCs w:val="21"/>
          <w:lang w:val="en-US" w:eastAsia="zh-CN" w:bidi="ar-SA"/>
        </w:rPr>
        <w:t>交易响应单位</w:t>
      </w:r>
      <w:r>
        <w:rPr>
          <w:rFonts w:hint="eastAsia"/>
          <w:szCs w:val="21"/>
          <w:lang w:val="en-US" w:bidi="ar-SA"/>
        </w:rPr>
        <w:t>的法定代表人或其委托代理人签字。</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如果</w:t>
      </w:r>
      <w:r>
        <w:rPr>
          <w:rFonts w:hint="eastAsia"/>
          <w:szCs w:val="21"/>
          <w:lang w:val="en-US" w:eastAsia="zh-CN" w:bidi="ar-SA"/>
        </w:rPr>
        <w:t>交易响应文件</w:t>
      </w:r>
      <w:r>
        <w:rPr>
          <w:rFonts w:hint="eastAsia"/>
          <w:szCs w:val="21"/>
          <w:lang w:val="en-US" w:bidi="ar-SA"/>
        </w:rPr>
        <w:t>由委托代理人签署，则</w:t>
      </w:r>
      <w:r>
        <w:rPr>
          <w:rFonts w:hint="eastAsia"/>
          <w:szCs w:val="21"/>
          <w:lang w:val="en-US" w:eastAsia="zh-CN" w:bidi="ar-SA"/>
        </w:rPr>
        <w:t>交易响应单位</w:t>
      </w:r>
      <w:r>
        <w:rPr>
          <w:rFonts w:hint="eastAsia"/>
          <w:szCs w:val="21"/>
          <w:lang w:val="en-US" w:bidi="ar-SA"/>
        </w:rPr>
        <w:t>须提交授权委托书，授权委托书应按第九章“</w:t>
      </w:r>
      <w:r>
        <w:rPr>
          <w:rFonts w:hint="eastAsia"/>
          <w:szCs w:val="21"/>
          <w:lang w:val="en-US" w:eastAsia="zh-CN" w:bidi="ar-SA"/>
        </w:rPr>
        <w:t>交易响应文件</w:t>
      </w:r>
      <w:r>
        <w:rPr>
          <w:rFonts w:hint="eastAsia"/>
          <w:szCs w:val="21"/>
          <w:lang w:val="en-US" w:bidi="ar-SA"/>
        </w:rPr>
        <w:t>格式”的要求出具，并由法定代表人和委托代理人亲笔签名，不得使用印章、签名章或其他电子制版签名代替。</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如果由</w:t>
      </w:r>
      <w:r>
        <w:rPr>
          <w:rFonts w:hint="eastAsia"/>
          <w:szCs w:val="21"/>
          <w:lang w:val="en-US" w:eastAsia="zh-CN" w:bidi="ar-SA"/>
        </w:rPr>
        <w:t>交易响应单位</w:t>
      </w:r>
      <w:r>
        <w:rPr>
          <w:rFonts w:hint="eastAsia"/>
          <w:szCs w:val="21"/>
          <w:lang w:val="en-US" w:bidi="ar-SA"/>
        </w:rPr>
        <w:t>的法定代表人亲自签署</w:t>
      </w:r>
      <w:r>
        <w:rPr>
          <w:rFonts w:hint="eastAsia"/>
          <w:szCs w:val="21"/>
          <w:lang w:val="en-US" w:eastAsia="zh-CN" w:bidi="ar-SA"/>
        </w:rPr>
        <w:t>交易响应文件</w:t>
      </w:r>
      <w:r>
        <w:rPr>
          <w:rFonts w:hint="eastAsia"/>
          <w:szCs w:val="21"/>
          <w:lang w:val="en-US" w:bidi="ar-SA"/>
        </w:rPr>
        <w:t>，则</w:t>
      </w:r>
      <w:r>
        <w:rPr>
          <w:rFonts w:hint="eastAsia"/>
          <w:szCs w:val="21"/>
          <w:lang w:val="en-US" w:eastAsia="zh-CN" w:bidi="ar-SA"/>
        </w:rPr>
        <w:t>交易响应单位</w:t>
      </w:r>
      <w:r>
        <w:rPr>
          <w:rFonts w:hint="eastAsia"/>
          <w:szCs w:val="21"/>
          <w:lang w:val="en-US" w:bidi="ar-SA"/>
        </w:rPr>
        <w:t>须提交法定代表人身份证明，身份证明应符合第九章“</w:t>
      </w:r>
      <w:r>
        <w:rPr>
          <w:rFonts w:hint="eastAsia"/>
          <w:szCs w:val="21"/>
          <w:lang w:val="en-US" w:eastAsia="zh-CN" w:bidi="ar-SA"/>
        </w:rPr>
        <w:t>交易响应文件</w:t>
      </w:r>
      <w:r>
        <w:rPr>
          <w:rFonts w:hint="eastAsia"/>
          <w:szCs w:val="21"/>
          <w:lang w:val="en-US" w:bidi="ar-SA"/>
        </w:rPr>
        <w:t>格式”的要求。</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以联合体形式参与投标的，</w:t>
      </w:r>
      <w:r>
        <w:rPr>
          <w:rFonts w:hint="eastAsia"/>
          <w:szCs w:val="21"/>
          <w:lang w:val="en-US" w:eastAsia="zh-CN" w:bidi="ar-SA"/>
        </w:rPr>
        <w:t>交易响应文件</w:t>
      </w:r>
      <w:r>
        <w:rPr>
          <w:rFonts w:hint="eastAsia"/>
          <w:szCs w:val="21"/>
          <w:lang w:val="en-US" w:bidi="ar-SA"/>
        </w:rPr>
        <w:t>由联合体牵头人的法定代表人或其委托代理人按上述规定签署并加盖联合体牵头人单位章。法定代表人授权委托书或法定代表人身份证明须由联合体牵头人按上述规定出具。</w:t>
      </w:r>
    </w:p>
    <w:p>
      <w:pPr>
        <w:pStyle w:val="34"/>
        <w:tabs>
          <w:tab w:val="left" w:pos="1450"/>
        </w:tabs>
        <w:spacing w:line="440" w:lineRule="exact"/>
        <w:ind w:left="0" w:firstLine="420" w:firstLineChars="200"/>
        <w:jc w:val="left"/>
        <w:rPr>
          <w:szCs w:val="21"/>
          <w:lang w:val="en-US" w:bidi="ar-SA"/>
        </w:rPr>
      </w:pPr>
      <w:r>
        <w:rPr>
          <w:rFonts w:hint="eastAsia"/>
          <w:szCs w:val="21"/>
          <w:lang w:val="en-US" w:eastAsia="zh-CN" w:bidi="ar-SA"/>
        </w:rPr>
        <w:t>交易响应文件</w:t>
      </w:r>
      <w:r>
        <w:rPr>
          <w:rFonts w:hint="eastAsia"/>
          <w:szCs w:val="21"/>
          <w:lang w:val="en-US" w:bidi="ar-SA"/>
        </w:rPr>
        <w:t>应尽量避免涂改、行间插字或删除。如果出现上述情况，改动之处应由</w:t>
      </w:r>
      <w:r>
        <w:rPr>
          <w:rFonts w:hint="eastAsia"/>
          <w:szCs w:val="21"/>
          <w:lang w:val="en-US" w:eastAsia="zh-CN" w:bidi="ar-SA"/>
        </w:rPr>
        <w:t>交易响应单位</w:t>
      </w:r>
      <w:r>
        <w:rPr>
          <w:rFonts w:hint="eastAsia"/>
          <w:szCs w:val="21"/>
          <w:lang w:val="en-US" w:bidi="ar-SA"/>
        </w:rPr>
        <w:t>的法定代表人或其授权的代理人签字或盖单位章。</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3.7.4</w:t>
      </w:r>
      <w:r>
        <w:rPr>
          <w:rFonts w:hint="eastAsia"/>
          <w:szCs w:val="21"/>
          <w:lang w:val="en-US" w:eastAsia="zh-CN" w:bidi="ar-SA"/>
        </w:rPr>
        <w:t>交易响应文件</w:t>
      </w:r>
      <w:r>
        <w:rPr>
          <w:rFonts w:hint="eastAsia"/>
          <w:szCs w:val="21"/>
          <w:lang w:val="en-US" w:bidi="ar-SA"/>
        </w:rPr>
        <w:t>正本一份, 副本份数见</w:t>
      </w:r>
      <w:r>
        <w:rPr>
          <w:rFonts w:hint="eastAsia"/>
          <w:szCs w:val="21"/>
          <w:lang w:val="en-US" w:eastAsia="zh-CN" w:bidi="ar-SA"/>
        </w:rPr>
        <w:t>交易须知</w:t>
      </w:r>
      <w:r>
        <w:rPr>
          <w:rFonts w:hint="eastAsia"/>
          <w:szCs w:val="21"/>
          <w:lang w:val="en-US" w:bidi="ar-SA"/>
        </w:rPr>
        <w:t>前附表。正本和副本的封面右上角上应清楚地标记“正本”或“副本”字样。</w:t>
      </w:r>
      <w:r>
        <w:rPr>
          <w:rFonts w:hint="eastAsia"/>
          <w:szCs w:val="21"/>
          <w:lang w:val="en-US" w:eastAsia="zh-CN" w:bidi="ar-SA"/>
        </w:rPr>
        <w:t>交易响应单位</w:t>
      </w:r>
      <w:r>
        <w:rPr>
          <w:rFonts w:hint="eastAsia"/>
          <w:szCs w:val="21"/>
          <w:lang w:val="en-US" w:bidi="ar-SA"/>
        </w:rPr>
        <w:t>应根据</w:t>
      </w:r>
      <w:r>
        <w:rPr>
          <w:rFonts w:hint="eastAsia"/>
          <w:szCs w:val="21"/>
          <w:lang w:val="en-US" w:eastAsia="zh-CN" w:bidi="ar-SA"/>
        </w:rPr>
        <w:t>交易须知</w:t>
      </w:r>
      <w:r>
        <w:rPr>
          <w:rFonts w:hint="eastAsia"/>
          <w:szCs w:val="21"/>
          <w:lang w:val="en-US" w:bidi="ar-SA"/>
        </w:rPr>
        <w:t>前附表要求提供电子版文件。当副本和正本不一致或电子版文件和纸质正本文件不一致时，以纸质正本文件为准。</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3.7.5</w:t>
      </w:r>
      <w:r>
        <w:rPr>
          <w:rFonts w:hint="eastAsia"/>
          <w:szCs w:val="21"/>
          <w:lang w:val="en-US" w:eastAsia="zh-CN" w:bidi="ar-SA"/>
        </w:rPr>
        <w:t>交易响应文件</w:t>
      </w:r>
      <w:r>
        <w:rPr>
          <w:rFonts w:hint="eastAsia"/>
          <w:szCs w:val="21"/>
          <w:lang w:val="en-US" w:bidi="ar-SA"/>
        </w:rPr>
        <w:t>的正本与副本应分别装订成册（A4  纸幅），编制目录并逐页标注连续页码。</w:t>
      </w:r>
      <w:r>
        <w:rPr>
          <w:rFonts w:hint="eastAsia"/>
          <w:szCs w:val="21"/>
          <w:lang w:val="en-US" w:eastAsia="zh-CN" w:bidi="ar-SA"/>
        </w:rPr>
        <w:t>交易响应文件</w:t>
      </w:r>
      <w:r>
        <w:rPr>
          <w:rFonts w:hint="eastAsia"/>
          <w:szCs w:val="21"/>
          <w:lang w:val="en-US" w:bidi="ar-SA"/>
        </w:rPr>
        <w:t>不得采用活页夹装订，否则，招标人对由于</w:t>
      </w:r>
      <w:r>
        <w:rPr>
          <w:rFonts w:hint="eastAsia"/>
          <w:szCs w:val="21"/>
          <w:lang w:val="en-US" w:eastAsia="zh-CN" w:bidi="ar-SA"/>
        </w:rPr>
        <w:t>交易响应文件</w:t>
      </w:r>
      <w:r>
        <w:rPr>
          <w:rFonts w:hint="eastAsia"/>
          <w:szCs w:val="21"/>
          <w:lang w:val="en-US" w:bidi="ar-SA"/>
        </w:rPr>
        <w:t>装订松散而造成的丢失或其他后果不承担任何责任。装订的其他要求见</w:t>
      </w:r>
      <w:r>
        <w:rPr>
          <w:rFonts w:hint="eastAsia"/>
          <w:szCs w:val="21"/>
          <w:lang w:val="en-US" w:eastAsia="zh-CN" w:bidi="ar-SA"/>
        </w:rPr>
        <w:t>交易须知</w:t>
      </w:r>
      <w:r>
        <w:rPr>
          <w:rFonts w:hint="eastAsia"/>
          <w:szCs w:val="21"/>
          <w:lang w:val="en-US" w:bidi="ar-SA"/>
        </w:rPr>
        <w:t>前附表。</w:t>
      </w:r>
    </w:p>
    <w:p>
      <w:pPr>
        <w:pStyle w:val="4"/>
        <w:spacing w:line="440" w:lineRule="exact"/>
        <w:ind w:firstLine="422" w:firstLineChars="200"/>
        <w:jc w:val="left"/>
        <w:rPr>
          <w:rFonts w:ascii="宋体" w:hAnsi="宋体" w:cs="宋体"/>
          <w:sz w:val="21"/>
          <w:szCs w:val="21"/>
        </w:rPr>
      </w:pPr>
      <w:bookmarkStart w:id="80" w:name="_Toc18637"/>
      <w:r>
        <w:rPr>
          <w:rFonts w:hint="eastAsia" w:ascii="宋体" w:hAnsi="宋体" w:cs="宋体"/>
          <w:sz w:val="21"/>
          <w:szCs w:val="21"/>
        </w:rPr>
        <w:t>4. 投标</w:t>
      </w:r>
      <w:bookmarkEnd w:id="80"/>
    </w:p>
    <w:p>
      <w:pPr>
        <w:pStyle w:val="4"/>
        <w:spacing w:line="440" w:lineRule="exact"/>
        <w:ind w:firstLine="422" w:firstLineChars="200"/>
        <w:jc w:val="left"/>
        <w:rPr>
          <w:rFonts w:ascii="宋体" w:hAnsi="宋体" w:cs="宋体"/>
          <w:sz w:val="21"/>
          <w:szCs w:val="21"/>
        </w:rPr>
      </w:pPr>
      <w:bookmarkStart w:id="81" w:name="_Toc432367727"/>
      <w:bookmarkStart w:id="82" w:name="_Toc222"/>
      <w:bookmarkStart w:id="83" w:name="_Toc369608023"/>
      <w:r>
        <w:rPr>
          <w:rFonts w:hint="eastAsia" w:ascii="宋体" w:hAnsi="宋体" w:cs="宋体"/>
          <w:sz w:val="21"/>
          <w:szCs w:val="21"/>
        </w:rPr>
        <w:t xml:space="preserve">4.1 </w:t>
      </w:r>
      <w:r>
        <w:rPr>
          <w:rFonts w:hint="eastAsia" w:ascii="宋体" w:hAnsi="宋体" w:cs="宋体"/>
          <w:sz w:val="21"/>
          <w:szCs w:val="21"/>
          <w:lang w:eastAsia="zh-CN"/>
        </w:rPr>
        <w:t>交易响应文件</w:t>
      </w:r>
      <w:r>
        <w:rPr>
          <w:rFonts w:hint="eastAsia" w:ascii="宋体" w:hAnsi="宋体" w:cs="宋体"/>
          <w:sz w:val="21"/>
          <w:szCs w:val="21"/>
        </w:rPr>
        <w:t>的密封和标记</w:t>
      </w:r>
      <w:bookmarkEnd w:id="81"/>
      <w:bookmarkEnd w:id="82"/>
      <w:bookmarkEnd w:id="83"/>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若采用双信封形式，第 4.1.1 项和第 4.1.2 项采用以下条款：</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4.1.1</w:t>
      </w:r>
      <w:r>
        <w:rPr>
          <w:rFonts w:hint="eastAsia"/>
          <w:szCs w:val="21"/>
          <w:lang w:val="en-US" w:eastAsia="zh-CN" w:bidi="ar-SA"/>
        </w:rPr>
        <w:t>交易响应文件</w:t>
      </w:r>
      <w:r>
        <w:rPr>
          <w:rFonts w:hint="eastAsia"/>
          <w:szCs w:val="21"/>
          <w:lang w:val="en-US" w:bidi="ar-SA"/>
        </w:rPr>
        <w:t>应采用双信封形式密封。</w:t>
      </w:r>
      <w:r>
        <w:rPr>
          <w:rFonts w:hint="eastAsia"/>
          <w:szCs w:val="21"/>
          <w:lang w:val="en-US" w:eastAsia="zh-CN" w:bidi="ar-SA"/>
        </w:rPr>
        <w:t>交易响应文件</w:t>
      </w:r>
      <w:r>
        <w:rPr>
          <w:rFonts w:hint="eastAsia"/>
          <w:szCs w:val="21"/>
          <w:lang w:val="en-US" w:bidi="ar-SA"/>
        </w:rPr>
        <w:t>第一个信封（商务及技术文件） 以及第二个信封（报价文件）应单独密封包装。商务及技术文件的正本与副本应统一密封在一个封套中。报价文件的正本与副本、</w:t>
      </w:r>
      <w:r>
        <w:rPr>
          <w:rFonts w:hint="eastAsia"/>
          <w:szCs w:val="21"/>
          <w:lang w:val="en-US" w:eastAsia="zh-CN" w:bidi="ar-SA"/>
        </w:rPr>
        <w:t>交易响应文件</w:t>
      </w:r>
      <w:r>
        <w:rPr>
          <w:rFonts w:hint="eastAsia"/>
          <w:szCs w:val="21"/>
          <w:lang w:val="en-US" w:bidi="ar-SA"/>
        </w:rPr>
        <w:t>电子版文件（如需要）以及填写完毕的工程量固化清单电子文件（如采用工程量固化清单形式）应统一密封在另一个封套中。封套应加贴封条，并在封套的封口处加盖</w:t>
      </w:r>
      <w:r>
        <w:rPr>
          <w:rFonts w:hint="eastAsia"/>
          <w:szCs w:val="21"/>
          <w:lang w:val="en-US" w:eastAsia="zh-CN" w:bidi="ar-SA"/>
        </w:rPr>
        <w:t>交易响应单位</w:t>
      </w:r>
      <w:r>
        <w:rPr>
          <w:rFonts w:hint="eastAsia"/>
          <w:szCs w:val="21"/>
          <w:lang w:val="en-US" w:bidi="ar-SA"/>
        </w:rPr>
        <w:t>单位章或由</w:t>
      </w:r>
      <w:r>
        <w:rPr>
          <w:rFonts w:hint="eastAsia"/>
          <w:szCs w:val="21"/>
          <w:lang w:val="en-US" w:eastAsia="zh-CN" w:bidi="ar-SA"/>
        </w:rPr>
        <w:t>交易响应单位</w:t>
      </w:r>
      <w:r>
        <w:rPr>
          <w:rFonts w:hint="eastAsia"/>
          <w:szCs w:val="21"/>
          <w:lang w:val="en-US" w:bidi="ar-SA"/>
        </w:rPr>
        <w:t>的法定代表人或其委托代理人签字。</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采用银行保函形式提交</w:t>
      </w:r>
      <w:r>
        <w:rPr>
          <w:rFonts w:hint="eastAsia"/>
          <w:szCs w:val="21"/>
          <w:lang w:val="en-US" w:eastAsia="zh-CN" w:bidi="ar-SA"/>
        </w:rPr>
        <w:t>交易保证金</w:t>
      </w:r>
      <w:r>
        <w:rPr>
          <w:rFonts w:hint="eastAsia"/>
          <w:szCs w:val="21"/>
          <w:lang w:val="en-US" w:bidi="ar-SA"/>
        </w:rPr>
        <w:t>的，银行保函原件应密封在单独的封套中。</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4.1.2</w:t>
      </w:r>
      <w:r>
        <w:rPr>
          <w:rFonts w:hint="eastAsia"/>
          <w:szCs w:val="21"/>
          <w:lang w:val="en-US" w:eastAsia="zh-CN" w:bidi="ar-SA"/>
        </w:rPr>
        <w:t>交易响应文件</w:t>
      </w:r>
      <w:r>
        <w:rPr>
          <w:rFonts w:hint="eastAsia"/>
          <w:szCs w:val="21"/>
          <w:lang w:val="en-US" w:bidi="ar-SA"/>
        </w:rPr>
        <w:t>第一个信封（商务及技术文件）、第二个信封（报价文件）以及银行保函封套上应写明的内容见</w:t>
      </w:r>
      <w:r>
        <w:rPr>
          <w:rFonts w:hint="eastAsia"/>
          <w:szCs w:val="21"/>
          <w:lang w:val="en-US" w:eastAsia="zh-CN" w:bidi="ar-SA"/>
        </w:rPr>
        <w:t>交易须知</w:t>
      </w:r>
      <w:r>
        <w:rPr>
          <w:rFonts w:hint="eastAsia"/>
          <w:szCs w:val="21"/>
          <w:lang w:val="en-US" w:bidi="ar-SA"/>
        </w:rPr>
        <w:t>前附表。</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若采用单信封形式，第 4.1.1 项和第 4.1.2 项采用以下条款：</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4.1.1</w:t>
      </w:r>
      <w:r>
        <w:rPr>
          <w:rFonts w:hint="eastAsia"/>
          <w:szCs w:val="21"/>
          <w:lang w:val="en-US" w:eastAsia="zh-CN" w:bidi="ar-SA"/>
        </w:rPr>
        <w:t>交易响应文件</w:t>
      </w:r>
      <w:r>
        <w:rPr>
          <w:rFonts w:hint="eastAsia"/>
          <w:szCs w:val="21"/>
          <w:lang w:val="en-US" w:bidi="ar-SA"/>
        </w:rPr>
        <w:t>应采用单信封形式密封。</w:t>
      </w:r>
      <w:r>
        <w:rPr>
          <w:rFonts w:hint="eastAsia"/>
          <w:szCs w:val="21"/>
          <w:lang w:val="en-US" w:eastAsia="zh-CN" w:bidi="ar-SA"/>
        </w:rPr>
        <w:t>交易响应文件</w:t>
      </w:r>
      <w:r>
        <w:rPr>
          <w:rFonts w:hint="eastAsia"/>
          <w:szCs w:val="21"/>
          <w:lang w:val="en-US" w:bidi="ar-SA"/>
        </w:rPr>
        <w:t>的正本与副本、</w:t>
      </w:r>
      <w:r>
        <w:rPr>
          <w:rFonts w:hint="eastAsia"/>
          <w:szCs w:val="21"/>
          <w:lang w:val="en-US" w:eastAsia="zh-CN" w:bidi="ar-SA"/>
        </w:rPr>
        <w:t>交易响应文件</w:t>
      </w:r>
      <w:r>
        <w:rPr>
          <w:rFonts w:hint="eastAsia"/>
          <w:szCs w:val="21"/>
          <w:lang w:val="en-US" w:bidi="ar-SA"/>
        </w:rPr>
        <w:t>电子版文件（如需要）以及填写完毕的工程量固化清单电子文件（如采用工程量固化清单形式）应统一密封在一个封套中。封套应加贴封条，并在封套的封口处加盖</w:t>
      </w:r>
      <w:r>
        <w:rPr>
          <w:rFonts w:hint="eastAsia"/>
          <w:szCs w:val="21"/>
          <w:lang w:val="en-US" w:eastAsia="zh-CN" w:bidi="ar-SA"/>
        </w:rPr>
        <w:t>交易响应单位</w:t>
      </w:r>
      <w:r>
        <w:rPr>
          <w:rFonts w:hint="eastAsia"/>
          <w:szCs w:val="21"/>
          <w:lang w:val="en-US" w:bidi="ar-SA"/>
        </w:rPr>
        <w:t>单位章或由</w:t>
      </w:r>
      <w:r>
        <w:rPr>
          <w:rFonts w:hint="eastAsia"/>
          <w:szCs w:val="21"/>
          <w:lang w:val="en-US" w:eastAsia="zh-CN" w:bidi="ar-SA"/>
        </w:rPr>
        <w:t>交易响应单位</w:t>
      </w:r>
      <w:r>
        <w:rPr>
          <w:rFonts w:hint="eastAsia"/>
          <w:szCs w:val="21"/>
          <w:lang w:val="en-US" w:bidi="ar-SA"/>
        </w:rPr>
        <w:t>的法定代表人或其委托代理人签字。</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采用银行保函形式提交</w:t>
      </w:r>
      <w:r>
        <w:rPr>
          <w:rFonts w:hint="eastAsia"/>
          <w:szCs w:val="21"/>
          <w:lang w:val="en-US" w:eastAsia="zh-CN" w:bidi="ar-SA"/>
        </w:rPr>
        <w:t>交易保证金</w:t>
      </w:r>
      <w:r>
        <w:rPr>
          <w:rFonts w:hint="eastAsia"/>
          <w:szCs w:val="21"/>
          <w:lang w:val="en-US" w:bidi="ar-SA"/>
        </w:rPr>
        <w:t>的，银行保函原件应密封在单独的封套中。</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4.1.2</w:t>
      </w:r>
      <w:r>
        <w:rPr>
          <w:rFonts w:hint="eastAsia"/>
          <w:szCs w:val="21"/>
          <w:lang w:val="en-US" w:eastAsia="zh-CN" w:bidi="ar-SA"/>
        </w:rPr>
        <w:t>交易响应文件</w:t>
      </w:r>
      <w:r>
        <w:rPr>
          <w:rFonts w:hint="eastAsia"/>
          <w:szCs w:val="21"/>
          <w:lang w:val="en-US" w:bidi="ar-SA"/>
        </w:rPr>
        <w:t>以及银行保函封套上应写明的内容见</w:t>
      </w:r>
      <w:r>
        <w:rPr>
          <w:rFonts w:hint="eastAsia"/>
          <w:szCs w:val="21"/>
          <w:lang w:val="en-US" w:eastAsia="zh-CN" w:bidi="ar-SA"/>
        </w:rPr>
        <w:t>交易须知</w:t>
      </w:r>
      <w:r>
        <w:rPr>
          <w:rFonts w:hint="eastAsia"/>
          <w:szCs w:val="21"/>
          <w:lang w:val="en-US" w:bidi="ar-SA"/>
        </w:rPr>
        <w:t>前附表。</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4.1.3未按本章第 4.1.1 项要求密封的</w:t>
      </w:r>
      <w:r>
        <w:rPr>
          <w:rFonts w:hint="eastAsia"/>
          <w:szCs w:val="21"/>
          <w:lang w:val="en-US" w:eastAsia="zh-CN" w:bidi="ar-SA"/>
        </w:rPr>
        <w:t>交易响应文件</w:t>
      </w:r>
      <w:r>
        <w:rPr>
          <w:rFonts w:hint="eastAsia"/>
          <w:szCs w:val="21"/>
          <w:lang w:val="en-US" w:bidi="ar-SA"/>
        </w:rPr>
        <w:t>，招标人将予以拒收。</w:t>
      </w:r>
    </w:p>
    <w:p>
      <w:pPr>
        <w:pStyle w:val="4"/>
        <w:spacing w:line="440" w:lineRule="exact"/>
        <w:ind w:firstLine="422" w:firstLineChars="200"/>
        <w:jc w:val="left"/>
        <w:rPr>
          <w:rFonts w:ascii="宋体" w:hAnsi="宋体" w:cs="宋体"/>
          <w:sz w:val="21"/>
          <w:szCs w:val="21"/>
        </w:rPr>
      </w:pPr>
      <w:bookmarkStart w:id="84" w:name="_Toc27471"/>
      <w:bookmarkStart w:id="85" w:name="_Toc369608024"/>
      <w:bookmarkStart w:id="86" w:name="_Toc432367728"/>
      <w:r>
        <w:rPr>
          <w:rFonts w:hint="eastAsia" w:ascii="宋体" w:hAnsi="宋体" w:cs="宋体"/>
          <w:sz w:val="21"/>
          <w:szCs w:val="21"/>
        </w:rPr>
        <w:t xml:space="preserve">4.2 </w:t>
      </w:r>
      <w:r>
        <w:rPr>
          <w:rFonts w:hint="eastAsia" w:ascii="宋体" w:hAnsi="宋体" w:cs="宋体"/>
          <w:sz w:val="21"/>
          <w:szCs w:val="21"/>
          <w:lang w:eastAsia="zh-CN"/>
        </w:rPr>
        <w:t>交易响应文件</w:t>
      </w:r>
      <w:r>
        <w:rPr>
          <w:rFonts w:hint="eastAsia" w:ascii="宋体" w:hAnsi="宋体" w:cs="宋体"/>
          <w:sz w:val="21"/>
          <w:szCs w:val="21"/>
        </w:rPr>
        <w:t>的递交</w:t>
      </w:r>
      <w:bookmarkEnd w:id="84"/>
      <w:bookmarkEnd w:id="85"/>
      <w:bookmarkEnd w:id="86"/>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 xml:space="preserve">4.2.1 </w:t>
      </w:r>
      <w:r>
        <w:rPr>
          <w:rFonts w:hint="eastAsia"/>
          <w:szCs w:val="21"/>
          <w:lang w:val="en-US" w:eastAsia="zh-CN" w:bidi="ar-SA"/>
        </w:rPr>
        <w:t>交易响应单位</w:t>
      </w:r>
      <w:r>
        <w:rPr>
          <w:rFonts w:hint="eastAsia"/>
          <w:szCs w:val="21"/>
          <w:lang w:val="en-US" w:bidi="ar-SA"/>
        </w:rPr>
        <w:t>应在第一章“</w:t>
      </w:r>
      <w:r>
        <w:rPr>
          <w:rFonts w:hint="eastAsia"/>
          <w:szCs w:val="21"/>
          <w:lang w:val="en-US" w:eastAsia="zh-CN" w:bidi="ar-SA"/>
        </w:rPr>
        <w:t>交易公告</w:t>
      </w:r>
      <w:r>
        <w:rPr>
          <w:rFonts w:hint="eastAsia"/>
          <w:szCs w:val="21"/>
          <w:lang w:val="en-US" w:bidi="ar-SA"/>
        </w:rPr>
        <w:t>”或“投标邀请书”规定的投标截止时间前递交</w:t>
      </w:r>
      <w:r>
        <w:rPr>
          <w:rFonts w:hint="eastAsia"/>
          <w:szCs w:val="21"/>
          <w:lang w:val="en-US" w:eastAsia="zh-CN" w:bidi="ar-SA"/>
        </w:rPr>
        <w:t>交易响应文件</w:t>
      </w:r>
      <w:r>
        <w:rPr>
          <w:rFonts w:hint="eastAsia"/>
          <w:szCs w:val="21"/>
          <w:lang w:val="en-US" w:bidi="ar-SA"/>
        </w:rPr>
        <w:t>。</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4.2.2</w:t>
      </w:r>
      <w:r>
        <w:rPr>
          <w:rFonts w:hint="eastAsia"/>
          <w:szCs w:val="21"/>
          <w:lang w:val="en-US" w:eastAsia="zh-CN" w:bidi="ar-SA"/>
        </w:rPr>
        <w:t>交易响应单位</w:t>
      </w:r>
      <w:r>
        <w:rPr>
          <w:rFonts w:hint="eastAsia"/>
          <w:szCs w:val="21"/>
          <w:lang w:val="en-US" w:bidi="ar-SA"/>
        </w:rPr>
        <w:t>递交</w:t>
      </w:r>
      <w:r>
        <w:rPr>
          <w:rFonts w:hint="eastAsia"/>
          <w:szCs w:val="21"/>
          <w:lang w:val="en-US" w:eastAsia="zh-CN" w:bidi="ar-SA"/>
        </w:rPr>
        <w:t>交易响应文件</w:t>
      </w:r>
      <w:r>
        <w:rPr>
          <w:rFonts w:hint="eastAsia"/>
          <w:szCs w:val="21"/>
          <w:lang w:val="en-US" w:bidi="ar-SA"/>
        </w:rPr>
        <w:t>的地点：见第一章“</w:t>
      </w:r>
      <w:r>
        <w:rPr>
          <w:rFonts w:hint="eastAsia"/>
          <w:szCs w:val="21"/>
          <w:lang w:val="en-US" w:eastAsia="zh-CN" w:bidi="ar-SA"/>
        </w:rPr>
        <w:t>交易公告</w:t>
      </w:r>
      <w:r>
        <w:rPr>
          <w:rFonts w:hint="eastAsia"/>
          <w:szCs w:val="21"/>
          <w:lang w:val="en-US" w:bidi="ar-SA"/>
        </w:rPr>
        <w:t>”或“投标邀请书”。</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4.2.3除</w:t>
      </w:r>
      <w:r>
        <w:rPr>
          <w:rFonts w:hint="eastAsia"/>
          <w:szCs w:val="21"/>
          <w:lang w:val="en-US" w:eastAsia="zh-CN" w:bidi="ar-SA"/>
        </w:rPr>
        <w:t>交易须知</w:t>
      </w:r>
      <w:r>
        <w:rPr>
          <w:rFonts w:hint="eastAsia"/>
          <w:szCs w:val="21"/>
          <w:lang w:val="en-US" w:bidi="ar-SA"/>
        </w:rPr>
        <w:t>前附表另有规定外，</w:t>
      </w:r>
      <w:r>
        <w:rPr>
          <w:rFonts w:hint="eastAsia"/>
          <w:szCs w:val="21"/>
          <w:lang w:val="en-US" w:eastAsia="zh-CN" w:bidi="ar-SA"/>
        </w:rPr>
        <w:t>交易响应单位</w:t>
      </w:r>
      <w:r>
        <w:rPr>
          <w:rFonts w:hint="eastAsia"/>
          <w:szCs w:val="21"/>
          <w:lang w:val="en-US" w:bidi="ar-SA"/>
        </w:rPr>
        <w:t>所递交的</w:t>
      </w:r>
      <w:r>
        <w:rPr>
          <w:rFonts w:hint="eastAsia"/>
          <w:szCs w:val="21"/>
          <w:lang w:val="en-US" w:eastAsia="zh-CN" w:bidi="ar-SA"/>
        </w:rPr>
        <w:t>交易响应文件</w:t>
      </w:r>
      <w:r>
        <w:rPr>
          <w:rFonts w:hint="eastAsia"/>
          <w:szCs w:val="21"/>
          <w:lang w:val="en-US" w:bidi="ar-SA"/>
        </w:rPr>
        <w:t>不予退还。</w:t>
      </w:r>
      <w:r>
        <w:rPr>
          <w:rFonts w:hint="eastAsia"/>
          <w:szCs w:val="21"/>
          <w:lang w:val="en-US" w:eastAsia="zh-CN" w:bidi="ar-SA"/>
        </w:rPr>
        <w:t>交易响应单位</w:t>
      </w:r>
      <w:r>
        <w:rPr>
          <w:rFonts w:hint="eastAsia"/>
          <w:szCs w:val="21"/>
          <w:lang w:val="en-US" w:bidi="ar-SA"/>
        </w:rPr>
        <w:t>少于 3 个的，</w:t>
      </w:r>
      <w:r>
        <w:rPr>
          <w:rFonts w:hint="eastAsia"/>
          <w:szCs w:val="21"/>
          <w:lang w:val="en-US" w:eastAsia="zh-CN" w:bidi="ar-SA"/>
        </w:rPr>
        <w:t>交易响应文件</w:t>
      </w:r>
      <w:r>
        <w:rPr>
          <w:rFonts w:hint="eastAsia"/>
          <w:szCs w:val="21"/>
          <w:lang w:val="en-US" w:bidi="ar-SA"/>
        </w:rPr>
        <w:t>当场退还给</w:t>
      </w:r>
      <w:r>
        <w:rPr>
          <w:rFonts w:hint="eastAsia"/>
          <w:szCs w:val="21"/>
          <w:lang w:val="en-US" w:eastAsia="zh-CN" w:bidi="ar-SA"/>
        </w:rPr>
        <w:t>交易响应单位</w:t>
      </w:r>
      <w:r>
        <w:rPr>
          <w:rFonts w:hint="eastAsia"/>
          <w:szCs w:val="21"/>
          <w:lang w:val="en-US" w:bidi="ar-SA"/>
        </w:rPr>
        <w:t>。</w:t>
      </w:r>
    </w:p>
    <w:p>
      <w:pPr>
        <w:pStyle w:val="34"/>
        <w:tabs>
          <w:tab w:val="left" w:pos="1450"/>
        </w:tabs>
        <w:spacing w:line="440" w:lineRule="exact"/>
        <w:ind w:left="0" w:firstLine="420" w:firstLineChars="200"/>
        <w:jc w:val="left"/>
        <w:rPr>
          <w:spacing w:val="-16"/>
          <w:szCs w:val="21"/>
        </w:rPr>
      </w:pPr>
      <w:r>
        <w:rPr>
          <w:rFonts w:hint="eastAsia"/>
          <w:szCs w:val="21"/>
          <w:lang w:val="en-US" w:bidi="ar-SA"/>
        </w:rPr>
        <w:t>4.2.4逾期送达的或未送达指定地点的</w:t>
      </w:r>
      <w:r>
        <w:rPr>
          <w:rFonts w:hint="eastAsia"/>
          <w:szCs w:val="21"/>
          <w:lang w:val="en-US" w:eastAsia="zh-CN" w:bidi="ar-SA"/>
        </w:rPr>
        <w:t>交易响应文件</w:t>
      </w:r>
      <w:r>
        <w:rPr>
          <w:rFonts w:hint="eastAsia"/>
          <w:szCs w:val="21"/>
          <w:lang w:val="en-US" w:bidi="ar-SA"/>
        </w:rPr>
        <w:t>，招标人将予以拒收。</w:t>
      </w:r>
    </w:p>
    <w:p>
      <w:pPr>
        <w:pStyle w:val="4"/>
        <w:spacing w:line="440" w:lineRule="exact"/>
        <w:ind w:firstLine="422" w:firstLineChars="200"/>
        <w:jc w:val="left"/>
        <w:rPr>
          <w:rFonts w:ascii="宋体" w:hAnsi="宋体" w:cs="宋体"/>
          <w:sz w:val="21"/>
          <w:szCs w:val="21"/>
        </w:rPr>
      </w:pPr>
      <w:bookmarkStart w:id="87" w:name="_Toc7043"/>
      <w:bookmarkStart w:id="88" w:name="_Toc432367729"/>
      <w:bookmarkStart w:id="89" w:name="_Toc369608025"/>
      <w:r>
        <w:rPr>
          <w:rFonts w:hint="eastAsia" w:ascii="宋体" w:hAnsi="宋体" w:cs="宋体"/>
          <w:sz w:val="21"/>
          <w:szCs w:val="21"/>
        </w:rPr>
        <w:t xml:space="preserve">4.3 </w:t>
      </w:r>
      <w:r>
        <w:rPr>
          <w:rFonts w:hint="eastAsia" w:ascii="宋体" w:hAnsi="宋体" w:cs="宋体"/>
          <w:sz w:val="21"/>
          <w:szCs w:val="21"/>
          <w:lang w:eastAsia="zh-CN"/>
        </w:rPr>
        <w:t>交易响应文件</w:t>
      </w:r>
      <w:r>
        <w:rPr>
          <w:rFonts w:hint="eastAsia" w:ascii="宋体" w:hAnsi="宋体" w:cs="宋体"/>
          <w:sz w:val="21"/>
          <w:szCs w:val="21"/>
        </w:rPr>
        <w:t>的修改与撤回</w:t>
      </w:r>
      <w:bookmarkEnd w:id="87"/>
      <w:bookmarkEnd w:id="88"/>
      <w:bookmarkEnd w:id="89"/>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4.3.1 在本章第 4.2.1 项规定的投标截止时间前，</w:t>
      </w:r>
      <w:r>
        <w:rPr>
          <w:rFonts w:hint="eastAsia"/>
          <w:szCs w:val="21"/>
          <w:lang w:val="en-US" w:eastAsia="zh-CN" w:bidi="ar-SA"/>
        </w:rPr>
        <w:t>交易响应单位</w:t>
      </w:r>
      <w:r>
        <w:rPr>
          <w:rFonts w:hint="eastAsia"/>
          <w:szCs w:val="21"/>
          <w:lang w:val="en-US" w:bidi="ar-SA"/>
        </w:rPr>
        <w:t>可以修改或撤回已递交的</w:t>
      </w:r>
      <w:r>
        <w:rPr>
          <w:rFonts w:hint="eastAsia"/>
          <w:szCs w:val="21"/>
          <w:lang w:val="en-US" w:eastAsia="zh-CN" w:bidi="ar-SA"/>
        </w:rPr>
        <w:t>交易响应文件</w:t>
      </w:r>
      <w:r>
        <w:rPr>
          <w:rFonts w:hint="eastAsia"/>
          <w:szCs w:val="21"/>
          <w:lang w:val="en-US" w:bidi="ar-SA"/>
        </w:rPr>
        <w:t>，但应以书面形式通知招标人。</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 xml:space="preserve">4.3.2 </w:t>
      </w:r>
      <w:r>
        <w:rPr>
          <w:rFonts w:hint="eastAsia"/>
          <w:szCs w:val="21"/>
          <w:lang w:val="en-US" w:eastAsia="zh-CN" w:bidi="ar-SA"/>
        </w:rPr>
        <w:t>交易响应单位</w:t>
      </w:r>
      <w:r>
        <w:rPr>
          <w:rFonts w:hint="eastAsia"/>
          <w:szCs w:val="21"/>
          <w:lang w:val="en-US" w:bidi="ar-SA"/>
        </w:rPr>
        <w:t>撤回</w:t>
      </w:r>
      <w:r>
        <w:rPr>
          <w:rFonts w:hint="eastAsia"/>
          <w:szCs w:val="21"/>
          <w:lang w:val="en-US" w:eastAsia="zh-CN" w:bidi="ar-SA"/>
        </w:rPr>
        <w:t>交易响应文件</w:t>
      </w:r>
      <w:r>
        <w:rPr>
          <w:rFonts w:hint="eastAsia"/>
          <w:szCs w:val="21"/>
          <w:lang w:val="en-US" w:bidi="ar-SA"/>
        </w:rPr>
        <w:t>的，招标人自收到</w:t>
      </w:r>
      <w:r>
        <w:rPr>
          <w:rFonts w:hint="eastAsia"/>
          <w:szCs w:val="21"/>
          <w:lang w:val="en-US" w:eastAsia="zh-CN" w:bidi="ar-SA"/>
        </w:rPr>
        <w:t>交易响应单位</w:t>
      </w:r>
      <w:r>
        <w:rPr>
          <w:rFonts w:hint="eastAsia"/>
          <w:szCs w:val="21"/>
          <w:lang w:val="en-US" w:bidi="ar-SA"/>
        </w:rPr>
        <w:t>书面撤回通知之日起 5 日内退还已收取的</w:t>
      </w:r>
      <w:r>
        <w:rPr>
          <w:rFonts w:hint="eastAsia"/>
          <w:szCs w:val="21"/>
          <w:lang w:val="en-US" w:eastAsia="zh-CN" w:bidi="ar-SA"/>
        </w:rPr>
        <w:t>交易保证金</w:t>
      </w:r>
      <w:r>
        <w:rPr>
          <w:rFonts w:hint="eastAsia"/>
          <w:szCs w:val="21"/>
          <w:lang w:val="en-US" w:bidi="ar-SA"/>
        </w:rPr>
        <w:t>向</w:t>
      </w:r>
      <w:r>
        <w:rPr>
          <w:rFonts w:hint="eastAsia"/>
          <w:szCs w:val="21"/>
          <w:lang w:val="en-US" w:eastAsia="zh-CN" w:bidi="ar-SA"/>
        </w:rPr>
        <w:t>交易响应单位</w:t>
      </w:r>
      <w:r>
        <w:rPr>
          <w:rFonts w:hint="eastAsia"/>
          <w:szCs w:val="21"/>
          <w:lang w:val="en-US" w:bidi="ar-SA"/>
        </w:rPr>
        <w:t>出具签收凭证。</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4.3.3 修改的内容为</w:t>
      </w:r>
      <w:r>
        <w:rPr>
          <w:rFonts w:hint="eastAsia"/>
          <w:szCs w:val="21"/>
          <w:lang w:val="en-US" w:eastAsia="zh-CN" w:bidi="ar-SA"/>
        </w:rPr>
        <w:t>交易响应文件</w:t>
      </w:r>
      <w:r>
        <w:rPr>
          <w:rFonts w:hint="eastAsia"/>
          <w:szCs w:val="21"/>
          <w:lang w:val="en-US" w:bidi="ar-SA"/>
        </w:rPr>
        <w:t>的组成部分。修改的</w:t>
      </w:r>
      <w:r>
        <w:rPr>
          <w:rFonts w:hint="eastAsia"/>
          <w:szCs w:val="21"/>
          <w:lang w:val="en-US" w:eastAsia="zh-CN" w:bidi="ar-SA"/>
        </w:rPr>
        <w:t>交易响应文件</w:t>
      </w:r>
      <w:r>
        <w:rPr>
          <w:rFonts w:hint="eastAsia"/>
          <w:szCs w:val="21"/>
          <w:lang w:val="en-US" w:bidi="ar-SA"/>
        </w:rPr>
        <w:t>应按照本章第3条、第4条规定进行编制、密封、标记和递交，并标明“修改”字样。</w:t>
      </w:r>
    </w:p>
    <w:p>
      <w:pPr>
        <w:pStyle w:val="4"/>
        <w:spacing w:line="440" w:lineRule="exact"/>
        <w:ind w:firstLine="422" w:firstLineChars="200"/>
        <w:jc w:val="left"/>
        <w:rPr>
          <w:rFonts w:ascii="宋体" w:hAnsi="宋体" w:cs="宋体"/>
          <w:sz w:val="21"/>
          <w:szCs w:val="21"/>
        </w:rPr>
      </w:pPr>
      <w:bookmarkStart w:id="90" w:name="_Toc1539"/>
      <w:bookmarkStart w:id="91" w:name="_Toc369608026"/>
      <w:bookmarkStart w:id="92" w:name="_Toc432367730"/>
      <w:r>
        <w:rPr>
          <w:rFonts w:hint="eastAsia" w:ascii="宋体" w:hAnsi="宋体" w:cs="宋体"/>
          <w:sz w:val="21"/>
          <w:szCs w:val="21"/>
        </w:rPr>
        <w:t>5. 开标</w:t>
      </w:r>
      <w:bookmarkEnd w:id="90"/>
      <w:bookmarkEnd w:id="91"/>
      <w:bookmarkEnd w:id="92"/>
    </w:p>
    <w:p>
      <w:pPr>
        <w:pStyle w:val="34"/>
        <w:tabs>
          <w:tab w:val="left" w:pos="1450"/>
        </w:tabs>
        <w:spacing w:line="440" w:lineRule="exact"/>
        <w:ind w:left="0" w:firstLine="420" w:firstLineChars="200"/>
        <w:jc w:val="left"/>
        <w:rPr>
          <w:szCs w:val="21"/>
        </w:rPr>
      </w:pPr>
      <w:r>
        <w:rPr>
          <w:rFonts w:hint="eastAsia"/>
          <w:szCs w:val="21"/>
          <w:lang w:val="en-US" w:bidi="ar-SA"/>
        </w:rPr>
        <w:t>若采用双信封形式，第 5.1 款采用以下条款：</w:t>
      </w:r>
    </w:p>
    <w:p>
      <w:pPr>
        <w:pStyle w:val="34"/>
        <w:tabs>
          <w:tab w:val="left" w:pos="850"/>
        </w:tabs>
        <w:spacing w:line="440" w:lineRule="exact"/>
        <w:ind w:left="0" w:firstLine="422" w:firstLineChars="200"/>
        <w:jc w:val="left"/>
        <w:rPr>
          <w:szCs w:val="21"/>
        </w:rPr>
      </w:pPr>
      <w:bookmarkStart w:id="93" w:name="_bookmark61"/>
      <w:bookmarkEnd w:id="93"/>
      <w:r>
        <w:rPr>
          <w:rFonts w:hint="eastAsia"/>
          <w:b/>
          <w:szCs w:val="21"/>
          <w:lang w:val="en-US" w:bidi="ar-SA"/>
        </w:rPr>
        <w:t>5.1开标时间和地点</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招标人在本章第 4.2.1 项规定的投标截止时间（开标时间）和</w:t>
      </w:r>
      <w:r>
        <w:rPr>
          <w:rFonts w:hint="eastAsia"/>
          <w:szCs w:val="21"/>
          <w:lang w:val="en-US" w:eastAsia="zh-CN" w:bidi="ar-SA"/>
        </w:rPr>
        <w:t>交易须知</w:t>
      </w:r>
      <w:r>
        <w:rPr>
          <w:rFonts w:hint="eastAsia"/>
          <w:szCs w:val="21"/>
          <w:lang w:val="en-US" w:bidi="ar-SA"/>
        </w:rPr>
        <w:t>前附表规定的地点对收到的</w:t>
      </w:r>
      <w:r>
        <w:rPr>
          <w:rFonts w:hint="eastAsia"/>
          <w:szCs w:val="21"/>
          <w:lang w:val="en-US" w:eastAsia="zh-CN" w:bidi="ar-SA"/>
        </w:rPr>
        <w:t>交易响应文件</w:t>
      </w:r>
      <w:r>
        <w:rPr>
          <w:rFonts w:hint="eastAsia"/>
          <w:szCs w:val="21"/>
          <w:lang w:val="en-US" w:bidi="ar-SA"/>
        </w:rPr>
        <w:t>第一个信封（商务及技术文件）公开开标，并邀请所有</w:t>
      </w:r>
      <w:r>
        <w:rPr>
          <w:rFonts w:hint="eastAsia"/>
          <w:szCs w:val="21"/>
          <w:lang w:val="en-US" w:eastAsia="zh-CN" w:bidi="ar-SA"/>
        </w:rPr>
        <w:t>交易响应单位</w:t>
      </w:r>
      <w:r>
        <w:rPr>
          <w:rFonts w:hint="eastAsia"/>
          <w:szCs w:val="21"/>
          <w:lang w:val="en-US" w:bidi="ar-SA"/>
        </w:rPr>
        <w:t>的法定代表人或其委托代理人准时参加。</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招标人在</w:t>
      </w:r>
      <w:r>
        <w:rPr>
          <w:rFonts w:hint="eastAsia"/>
          <w:szCs w:val="21"/>
          <w:lang w:val="en-US" w:eastAsia="zh-CN" w:bidi="ar-SA"/>
        </w:rPr>
        <w:t>交易须知</w:t>
      </w:r>
      <w:r>
        <w:rPr>
          <w:rFonts w:hint="eastAsia"/>
          <w:szCs w:val="21"/>
          <w:lang w:val="en-US" w:bidi="ar-SA"/>
        </w:rPr>
        <w:t>前附表规定的时间和地点对</w:t>
      </w:r>
      <w:r>
        <w:rPr>
          <w:rFonts w:hint="eastAsia"/>
          <w:szCs w:val="21"/>
          <w:lang w:val="en-US" w:eastAsia="zh-CN" w:bidi="ar-SA"/>
        </w:rPr>
        <w:t>交易响应文件</w:t>
      </w:r>
      <w:r>
        <w:rPr>
          <w:rFonts w:hint="eastAsia"/>
          <w:szCs w:val="21"/>
          <w:lang w:val="en-US" w:bidi="ar-SA"/>
        </w:rPr>
        <w:t>第二个信封（报价文件）公开开标，并邀请所有</w:t>
      </w:r>
      <w:r>
        <w:rPr>
          <w:rFonts w:hint="eastAsia"/>
          <w:szCs w:val="21"/>
          <w:lang w:val="en-US" w:eastAsia="zh-CN" w:bidi="ar-SA"/>
        </w:rPr>
        <w:t>交易响应单位</w:t>
      </w:r>
      <w:r>
        <w:rPr>
          <w:rFonts w:hint="eastAsia"/>
          <w:szCs w:val="21"/>
          <w:lang w:val="en-US" w:bidi="ar-SA"/>
        </w:rPr>
        <w:t>的法定代表人或其委托代理人准时参加。</w:t>
      </w:r>
    </w:p>
    <w:p>
      <w:pPr>
        <w:pStyle w:val="34"/>
        <w:tabs>
          <w:tab w:val="left" w:pos="1450"/>
        </w:tabs>
        <w:spacing w:line="440" w:lineRule="exact"/>
        <w:ind w:left="0" w:firstLine="420" w:firstLineChars="200"/>
        <w:jc w:val="left"/>
        <w:rPr>
          <w:szCs w:val="21"/>
          <w:lang w:val="en-US" w:bidi="ar-SA"/>
        </w:rPr>
      </w:pPr>
      <w:r>
        <w:rPr>
          <w:rFonts w:hint="eastAsia"/>
          <w:szCs w:val="21"/>
          <w:lang w:val="en-US" w:eastAsia="zh-CN" w:bidi="ar-SA"/>
        </w:rPr>
        <w:t>交易响应单位</w:t>
      </w:r>
      <w:r>
        <w:rPr>
          <w:rFonts w:hint="eastAsia"/>
          <w:szCs w:val="21"/>
          <w:lang w:val="en-US" w:bidi="ar-SA"/>
        </w:rPr>
        <w:t>若未派法定代表人或委托代理人出席开标活动，视为该</w:t>
      </w:r>
      <w:r>
        <w:rPr>
          <w:rFonts w:hint="eastAsia"/>
          <w:szCs w:val="21"/>
          <w:lang w:val="en-US" w:eastAsia="zh-CN" w:bidi="ar-SA"/>
        </w:rPr>
        <w:t>交易响应单位</w:t>
      </w:r>
      <w:r>
        <w:rPr>
          <w:rFonts w:hint="eastAsia"/>
          <w:szCs w:val="21"/>
          <w:lang w:val="en-US" w:bidi="ar-SA"/>
        </w:rPr>
        <w:t>默认开标结果。</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若采用单信封形式，第 5.1 款采用以下条款：</w:t>
      </w:r>
    </w:p>
    <w:p>
      <w:pPr>
        <w:pStyle w:val="34"/>
        <w:tabs>
          <w:tab w:val="left" w:pos="850"/>
        </w:tabs>
        <w:spacing w:line="440" w:lineRule="exact"/>
        <w:ind w:left="0" w:firstLine="422" w:firstLineChars="200"/>
        <w:jc w:val="left"/>
        <w:rPr>
          <w:szCs w:val="21"/>
        </w:rPr>
      </w:pPr>
      <w:bookmarkStart w:id="94" w:name="_bookmark62"/>
      <w:bookmarkEnd w:id="94"/>
      <w:r>
        <w:rPr>
          <w:rFonts w:hint="eastAsia"/>
          <w:b/>
          <w:szCs w:val="21"/>
          <w:lang w:val="en-US" w:bidi="ar-SA"/>
        </w:rPr>
        <w:t>5.1开标时间和地点</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招标人在本章第 4.2.1 项规定的投标截止时间（开标时间）和</w:t>
      </w:r>
      <w:r>
        <w:rPr>
          <w:rFonts w:hint="eastAsia"/>
          <w:szCs w:val="21"/>
          <w:lang w:val="en-US" w:eastAsia="zh-CN" w:bidi="ar-SA"/>
        </w:rPr>
        <w:t>交易须知</w:t>
      </w:r>
      <w:r>
        <w:rPr>
          <w:rFonts w:hint="eastAsia"/>
          <w:szCs w:val="21"/>
          <w:lang w:val="en-US" w:bidi="ar-SA"/>
        </w:rPr>
        <w:t>前附表规定的地点公开开标，并邀请所有</w:t>
      </w:r>
      <w:r>
        <w:rPr>
          <w:rFonts w:hint="eastAsia"/>
          <w:szCs w:val="21"/>
          <w:lang w:val="en-US" w:eastAsia="zh-CN" w:bidi="ar-SA"/>
        </w:rPr>
        <w:t>交易响应单位</w:t>
      </w:r>
      <w:r>
        <w:rPr>
          <w:rFonts w:hint="eastAsia"/>
          <w:szCs w:val="21"/>
          <w:lang w:val="en-US" w:bidi="ar-SA"/>
        </w:rPr>
        <w:t>的法定代表人或其委托代理人准时参加。</w:t>
      </w:r>
    </w:p>
    <w:p>
      <w:pPr>
        <w:pStyle w:val="34"/>
        <w:tabs>
          <w:tab w:val="left" w:pos="1450"/>
        </w:tabs>
        <w:spacing w:line="440" w:lineRule="exact"/>
        <w:ind w:left="0" w:firstLine="420" w:firstLineChars="200"/>
        <w:jc w:val="left"/>
        <w:rPr>
          <w:szCs w:val="21"/>
          <w:lang w:val="en-US" w:bidi="ar-SA"/>
        </w:rPr>
      </w:pPr>
      <w:r>
        <w:rPr>
          <w:rFonts w:hint="eastAsia"/>
          <w:szCs w:val="21"/>
          <w:lang w:val="en-US" w:eastAsia="zh-CN" w:bidi="ar-SA"/>
        </w:rPr>
        <w:t>交易响应单位</w:t>
      </w:r>
      <w:r>
        <w:rPr>
          <w:rFonts w:hint="eastAsia"/>
          <w:szCs w:val="21"/>
          <w:lang w:val="en-US" w:bidi="ar-SA"/>
        </w:rPr>
        <w:t>若未派法定代表人或委托代理人出席开标活动，视为该</w:t>
      </w:r>
      <w:r>
        <w:rPr>
          <w:rFonts w:hint="eastAsia"/>
          <w:szCs w:val="21"/>
          <w:lang w:val="en-US" w:eastAsia="zh-CN" w:bidi="ar-SA"/>
        </w:rPr>
        <w:t>交易响应单位</w:t>
      </w:r>
      <w:r>
        <w:rPr>
          <w:rFonts w:hint="eastAsia"/>
          <w:szCs w:val="21"/>
          <w:lang w:val="en-US" w:bidi="ar-SA"/>
        </w:rPr>
        <w:t>默认开标结果。</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若采用双信封形式，第 5.2 款采用以下条款：</w:t>
      </w:r>
    </w:p>
    <w:p>
      <w:pPr>
        <w:pStyle w:val="34"/>
        <w:tabs>
          <w:tab w:val="left" w:pos="790"/>
        </w:tabs>
        <w:spacing w:line="440" w:lineRule="exact"/>
        <w:ind w:left="0" w:firstLine="422" w:firstLineChars="200"/>
        <w:jc w:val="left"/>
        <w:rPr>
          <w:szCs w:val="21"/>
        </w:rPr>
      </w:pPr>
      <w:bookmarkStart w:id="95" w:name="_bookmark63"/>
      <w:bookmarkEnd w:id="95"/>
      <w:r>
        <w:rPr>
          <w:rFonts w:hint="eastAsia"/>
          <w:b/>
          <w:szCs w:val="21"/>
          <w:lang w:val="en-US" w:bidi="ar-SA"/>
        </w:rPr>
        <w:t>5.2开标程序</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5.2.1 主持人按下列程序对</w:t>
      </w:r>
      <w:r>
        <w:rPr>
          <w:rFonts w:hint="eastAsia"/>
          <w:szCs w:val="21"/>
          <w:lang w:val="en-US" w:eastAsia="zh-CN" w:bidi="ar-SA"/>
        </w:rPr>
        <w:t>交易响应文件</w:t>
      </w:r>
      <w:r>
        <w:rPr>
          <w:rFonts w:hint="eastAsia"/>
          <w:szCs w:val="21"/>
          <w:lang w:val="en-US" w:bidi="ar-SA"/>
        </w:rPr>
        <w:t>第一个信封（商务及技术文件）进行开标：</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（1）宣布开标纪律；</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（2）公布在投标截止时间前递交</w:t>
      </w:r>
      <w:r>
        <w:rPr>
          <w:rFonts w:hint="eastAsia"/>
          <w:szCs w:val="21"/>
          <w:lang w:val="en-US" w:eastAsia="zh-CN" w:bidi="ar-SA"/>
        </w:rPr>
        <w:t>交易响应文件</w:t>
      </w:r>
      <w:r>
        <w:rPr>
          <w:rFonts w:hint="eastAsia"/>
          <w:szCs w:val="21"/>
          <w:lang w:val="en-US" w:bidi="ar-SA"/>
        </w:rPr>
        <w:t>的</w:t>
      </w:r>
      <w:r>
        <w:rPr>
          <w:rFonts w:hint="eastAsia"/>
          <w:szCs w:val="21"/>
          <w:lang w:val="en-US" w:eastAsia="zh-CN" w:bidi="ar-SA"/>
        </w:rPr>
        <w:t>交易响应单位</w:t>
      </w:r>
      <w:r>
        <w:rPr>
          <w:rFonts w:hint="eastAsia"/>
          <w:szCs w:val="21"/>
          <w:lang w:val="en-US" w:bidi="ar-SA"/>
        </w:rPr>
        <w:t>数量；</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（3）宣布开标人、唱标人、记录人等有关人员姓名；</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（4）按照</w:t>
      </w:r>
      <w:r>
        <w:rPr>
          <w:rFonts w:hint="eastAsia"/>
          <w:szCs w:val="21"/>
          <w:lang w:val="en-US" w:eastAsia="zh-CN" w:bidi="ar-SA"/>
        </w:rPr>
        <w:t>交易须知</w:t>
      </w:r>
      <w:r>
        <w:rPr>
          <w:rFonts w:hint="eastAsia"/>
          <w:szCs w:val="21"/>
          <w:lang w:val="en-US" w:bidi="ar-SA"/>
        </w:rPr>
        <w:t>前附表规定由</w:t>
      </w:r>
      <w:r>
        <w:rPr>
          <w:rFonts w:hint="eastAsia"/>
          <w:szCs w:val="21"/>
          <w:lang w:val="en-US" w:eastAsia="zh-CN" w:bidi="ar-SA"/>
        </w:rPr>
        <w:t>交易响应单位</w:t>
      </w:r>
      <w:r>
        <w:rPr>
          <w:rFonts w:hint="eastAsia"/>
          <w:szCs w:val="21"/>
          <w:lang w:val="en-US" w:bidi="ar-SA"/>
        </w:rPr>
        <w:t>推选的代表检查</w:t>
      </w:r>
      <w:r>
        <w:rPr>
          <w:rFonts w:hint="eastAsia"/>
          <w:szCs w:val="21"/>
          <w:lang w:val="en-US" w:eastAsia="zh-CN" w:bidi="ar-SA"/>
        </w:rPr>
        <w:t>交易响应文件</w:t>
      </w:r>
      <w:r>
        <w:rPr>
          <w:rFonts w:hint="eastAsia"/>
          <w:szCs w:val="21"/>
          <w:lang w:val="en-US" w:bidi="ar-SA"/>
        </w:rPr>
        <w:t>的密封情况；</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（5）按照</w:t>
      </w:r>
      <w:r>
        <w:rPr>
          <w:rFonts w:hint="eastAsia"/>
          <w:szCs w:val="21"/>
          <w:lang w:val="en-US" w:eastAsia="zh-CN" w:bidi="ar-SA"/>
        </w:rPr>
        <w:t>交易须知</w:t>
      </w:r>
      <w:r>
        <w:rPr>
          <w:rFonts w:hint="eastAsia"/>
          <w:szCs w:val="21"/>
          <w:lang w:val="en-US" w:bidi="ar-SA"/>
        </w:rPr>
        <w:t>前附表规定的开标顺序当众开标，公布标段名称、</w:t>
      </w:r>
      <w:r>
        <w:rPr>
          <w:rFonts w:hint="eastAsia"/>
          <w:szCs w:val="21"/>
          <w:lang w:val="en-US" w:eastAsia="zh-CN" w:bidi="ar-SA"/>
        </w:rPr>
        <w:t>交易响应单位</w:t>
      </w:r>
      <w:r>
        <w:rPr>
          <w:rFonts w:hint="eastAsia"/>
          <w:szCs w:val="21"/>
          <w:lang w:val="en-US" w:bidi="ar-SA"/>
        </w:rPr>
        <w:t>名称、</w:t>
      </w:r>
      <w:r>
        <w:rPr>
          <w:rFonts w:hint="eastAsia"/>
          <w:szCs w:val="21"/>
          <w:lang w:val="en-US" w:eastAsia="zh-CN" w:bidi="ar-SA"/>
        </w:rPr>
        <w:t>交易保证金</w:t>
      </w:r>
      <w:r>
        <w:rPr>
          <w:rFonts w:hint="eastAsia"/>
          <w:szCs w:val="21"/>
          <w:lang w:val="en-US" w:bidi="ar-SA"/>
        </w:rPr>
        <w:t>的递交情况、工期及其他内容，并记录在案；</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（6）</w:t>
      </w:r>
      <w:r>
        <w:rPr>
          <w:rFonts w:hint="eastAsia"/>
          <w:szCs w:val="21"/>
          <w:lang w:val="en-US" w:eastAsia="zh-CN" w:bidi="ar-SA"/>
        </w:rPr>
        <w:t>交易响应单位</w:t>
      </w:r>
      <w:r>
        <w:rPr>
          <w:rFonts w:hint="eastAsia"/>
          <w:szCs w:val="21"/>
          <w:lang w:val="en-US" w:bidi="ar-SA"/>
        </w:rPr>
        <w:t>代表、招标人代表、记录人等有关人员在开标记录上签字确认；</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（7）开标结束。</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5.2.2在</w:t>
      </w:r>
      <w:r>
        <w:rPr>
          <w:rFonts w:hint="eastAsia"/>
          <w:szCs w:val="21"/>
          <w:lang w:val="en-US" w:eastAsia="zh-CN" w:bidi="ar-SA"/>
        </w:rPr>
        <w:t>交易响应文件</w:t>
      </w:r>
      <w:r>
        <w:rPr>
          <w:rFonts w:hint="eastAsia"/>
          <w:szCs w:val="21"/>
          <w:lang w:val="en-US" w:bidi="ar-SA"/>
        </w:rPr>
        <w:t>第一个信封（商务及技术文件）开标现场，</w:t>
      </w:r>
      <w:r>
        <w:rPr>
          <w:rFonts w:hint="eastAsia"/>
          <w:szCs w:val="21"/>
          <w:lang w:val="en-US" w:eastAsia="zh-CN" w:bidi="ar-SA"/>
        </w:rPr>
        <w:t>交易响应文件</w:t>
      </w:r>
      <w:r>
        <w:rPr>
          <w:rFonts w:hint="eastAsia"/>
          <w:szCs w:val="21"/>
          <w:lang w:val="en-US" w:bidi="ar-SA"/>
        </w:rPr>
        <w:t>第二个信封（报价文件）不予开封，由招标人密封保存。</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5.2.3招标人将按照本章第 5.1 款规定的时间和地点对</w:t>
      </w:r>
      <w:r>
        <w:rPr>
          <w:rFonts w:hint="eastAsia"/>
          <w:szCs w:val="21"/>
          <w:lang w:val="en-US" w:eastAsia="zh-CN" w:bidi="ar-SA"/>
        </w:rPr>
        <w:t>交易响应文件</w:t>
      </w:r>
      <w:r>
        <w:rPr>
          <w:rFonts w:hint="eastAsia"/>
          <w:szCs w:val="21"/>
          <w:lang w:val="en-US" w:bidi="ar-SA"/>
        </w:rPr>
        <w:t>第二个信封（报价文件）进行开标。主持人按下列程序进行开标：</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（1）宣布开标纪律；</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（2）当众拆开</w:t>
      </w:r>
      <w:r>
        <w:rPr>
          <w:rFonts w:hint="eastAsia"/>
          <w:szCs w:val="21"/>
          <w:lang w:val="en-US" w:eastAsia="zh-CN" w:bidi="ar-SA"/>
        </w:rPr>
        <w:t>交易响应文件</w:t>
      </w:r>
      <w:r>
        <w:rPr>
          <w:rFonts w:hint="eastAsia"/>
          <w:szCs w:val="21"/>
          <w:lang w:val="en-US" w:bidi="ar-SA"/>
        </w:rPr>
        <w:t>第一个信封（商务及技术文件）评审结果的密封袋，宣布通过</w:t>
      </w:r>
      <w:r>
        <w:rPr>
          <w:rFonts w:hint="eastAsia"/>
          <w:szCs w:val="21"/>
          <w:lang w:val="en-US" w:eastAsia="zh-CN" w:bidi="ar-SA"/>
        </w:rPr>
        <w:t>交易响应文件</w:t>
      </w:r>
      <w:r>
        <w:rPr>
          <w:rFonts w:hint="eastAsia"/>
          <w:szCs w:val="21"/>
          <w:lang w:val="en-US" w:bidi="ar-SA"/>
        </w:rPr>
        <w:t>第一个信封（商务及技术文件）评审的</w:t>
      </w:r>
      <w:r>
        <w:rPr>
          <w:rFonts w:hint="eastAsia"/>
          <w:szCs w:val="21"/>
          <w:lang w:val="en-US" w:eastAsia="zh-CN" w:bidi="ar-SA"/>
        </w:rPr>
        <w:t>交易响应单位</w:t>
      </w:r>
      <w:r>
        <w:rPr>
          <w:rFonts w:hint="eastAsia"/>
          <w:szCs w:val="21"/>
          <w:lang w:val="en-US" w:bidi="ar-SA"/>
        </w:rPr>
        <w:t>名单；</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（3）宣布开标人、唱标人、记录人等有关人员姓名；</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（4）按照</w:t>
      </w:r>
      <w:r>
        <w:rPr>
          <w:rFonts w:hint="eastAsia"/>
          <w:szCs w:val="21"/>
          <w:lang w:val="en-US" w:eastAsia="zh-CN" w:bidi="ar-SA"/>
        </w:rPr>
        <w:t>交易须知</w:t>
      </w:r>
      <w:r>
        <w:rPr>
          <w:rFonts w:hint="eastAsia"/>
          <w:szCs w:val="21"/>
          <w:lang w:val="en-US" w:bidi="ar-SA"/>
        </w:rPr>
        <w:t>前附表规定由</w:t>
      </w:r>
      <w:r>
        <w:rPr>
          <w:rFonts w:hint="eastAsia"/>
          <w:szCs w:val="21"/>
          <w:lang w:val="en-US" w:eastAsia="zh-CN" w:bidi="ar-SA"/>
        </w:rPr>
        <w:t>交易响应单位</w:t>
      </w:r>
      <w:r>
        <w:rPr>
          <w:rFonts w:hint="eastAsia"/>
          <w:szCs w:val="21"/>
          <w:lang w:val="en-US" w:bidi="ar-SA"/>
        </w:rPr>
        <w:t>推选的代表检查</w:t>
      </w:r>
      <w:r>
        <w:rPr>
          <w:rFonts w:hint="eastAsia"/>
          <w:szCs w:val="21"/>
          <w:lang w:val="en-US" w:eastAsia="zh-CN" w:bidi="ar-SA"/>
        </w:rPr>
        <w:t>交易响应文件</w:t>
      </w:r>
      <w:r>
        <w:rPr>
          <w:rFonts w:hint="eastAsia"/>
          <w:szCs w:val="21"/>
          <w:lang w:val="en-US" w:bidi="ar-SA"/>
        </w:rPr>
        <w:t>的密封情况；</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（5）按照</w:t>
      </w:r>
      <w:r>
        <w:rPr>
          <w:rFonts w:hint="eastAsia"/>
          <w:szCs w:val="21"/>
          <w:lang w:val="en-US" w:eastAsia="zh-CN" w:bidi="ar-SA"/>
        </w:rPr>
        <w:t>交易须知</w:t>
      </w:r>
      <w:r>
        <w:rPr>
          <w:rFonts w:hint="eastAsia"/>
          <w:szCs w:val="21"/>
          <w:lang w:val="en-US" w:bidi="ar-SA"/>
        </w:rPr>
        <w:t>前附表规定的开标顺序当众开标，开标人只拆封通过</w:t>
      </w:r>
      <w:r>
        <w:rPr>
          <w:rFonts w:hint="eastAsia"/>
          <w:szCs w:val="21"/>
          <w:lang w:val="en-US" w:eastAsia="zh-CN" w:bidi="ar-SA"/>
        </w:rPr>
        <w:t>交易响应文件</w:t>
      </w:r>
      <w:r>
        <w:rPr>
          <w:rFonts w:hint="eastAsia"/>
          <w:szCs w:val="21"/>
          <w:lang w:val="en-US" w:bidi="ar-SA"/>
        </w:rPr>
        <w:t>第一个信封（商务及技术文件）评审的</w:t>
      </w:r>
      <w:r>
        <w:rPr>
          <w:rFonts w:hint="eastAsia"/>
          <w:szCs w:val="21"/>
          <w:lang w:val="en-US" w:eastAsia="zh-CN" w:bidi="ar-SA"/>
        </w:rPr>
        <w:t>交易响应文件</w:t>
      </w:r>
      <w:r>
        <w:rPr>
          <w:rFonts w:hint="eastAsia"/>
          <w:szCs w:val="21"/>
          <w:lang w:val="en-US" w:bidi="ar-SA"/>
        </w:rPr>
        <w:t>第二个信封（报价文件），公布标段名称、</w:t>
      </w:r>
      <w:r>
        <w:rPr>
          <w:rFonts w:hint="eastAsia"/>
          <w:szCs w:val="21"/>
          <w:lang w:val="en-US" w:eastAsia="zh-CN" w:bidi="ar-SA"/>
        </w:rPr>
        <w:t>交易响应单位</w:t>
      </w:r>
      <w:r>
        <w:rPr>
          <w:rFonts w:hint="eastAsia"/>
          <w:szCs w:val="21"/>
          <w:lang w:val="en-US" w:bidi="ar-SA"/>
        </w:rPr>
        <w:t>名称、投标报价①及其他内容，并记录在案；</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（6）计算并宣布评标基准价；</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（7）将未通过</w:t>
      </w:r>
      <w:r>
        <w:rPr>
          <w:rFonts w:hint="eastAsia"/>
          <w:szCs w:val="21"/>
          <w:lang w:val="en-US" w:eastAsia="zh-CN" w:bidi="ar-SA"/>
        </w:rPr>
        <w:t>交易响应文件</w:t>
      </w:r>
      <w:r>
        <w:rPr>
          <w:rFonts w:hint="eastAsia"/>
          <w:szCs w:val="21"/>
          <w:lang w:val="en-US" w:bidi="ar-SA"/>
        </w:rPr>
        <w:t>第一个信封（商务及技术文件）评审的</w:t>
      </w:r>
      <w:r>
        <w:rPr>
          <w:rFonts w:hint="eastAsia"/>
          <w:szCs w:val="21"/>
          <w:lang w:val="en-US" w:eastAsia="zh-CN" w:bidi="ar-SA"/>
        </w:rPr>
        <w:t>交易响应文件</w:t>
      </w:r>
      <w:r>
        <w:rPr>
          <w:rFonts w:hint="eastAsia"/>
          <w:szCs w:val="21"/>
          <w:lang w:val="en-US" w:bidi="ar-SA"/>
        </w:rPr>
        <w:t>第二个信封（报价文件）退还给</w:t>
      </w:r>
      <w:r>
        <w:rPr>
          <w:rFonts w:hint="eastAsia"/>
          <w:szCs w:val="21"/>
          <w:lang w:val="en-US" w:eastAsia="zh-CN" w:bidi="ar-SA"/>
        </w:rPr>
        <w:t>交易响应单位</w:t>
      </w:r>
      <w:r>
        <w:rPr>
          <w:rFonts w:hint="eastAsia"/>
          <w:szCs w:val="21"/>
          <w:lang w:val="en-US" w:bidi="ar-SA"/>
        </w:rPr>
        <w:t>；</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（8）</w:t>
      </w:r>
      <w:r>
        <w:rPr>
          <w:rFonts w:hint="eastAsia"/>
          <w:szCs w:val="21"/>
          <w:lang w:val="en-US" w:eastAsia="zh-CN" w:bidi="ar-SA"/>
        </w:rPr>
        <w:t>交易响应单位</w:t>
      </w:r>
      <w:r>
        <w:rPr>
          <w:rFonts w:hint="eastAsia"/>
          <w:szCs w:val="21"/>
          <w:lang w:val="en-US" w:bidi="ar-SA"/>
        </w:rPr>
        <w:t>代表、招标人代表、记录人等有关人员在开标记录上签字确认；</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（9）开标结束。</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5.2.4若采用合理低价法或综合评分法，在</w:t>
      </w:r>
      <w:r>
        <w:rPr>
          <w:rFonts w:hint="eastAsia"/>
          <w:szCs w:val="21"/>
          <w:lang w:val="en-US" w:eastAsia="zh-CN" w:bidi="ar-SA"/>
        </w:rPr>
        <w:t>交易响应文件</w:t>
      </w:r>
      <w:r>
        <w:rPr>
          <w:rFonts w:hint="eastAsia"/>
          <w:szCs w:val="21"/>
          <w:lang w:val="en-US" w:bidi="ar-SA"/>
        </w:rPr>
        <w:t>第二个信封（报价文件）开标现场，招标人将按第三章“评标办法”规定的原则计算并宣布评标基准价。若招标人发现</w:t>
      </w:r>
      <w:r>
        <w:rPr>
          <w:rFonts w:hint="eastAsia"/>
          <w:szCs w:val="21"/>
          <w:lang w:val="en-US" w:eastAsia="zh-CN" w:bidi="ar-SA"/>
        </w:rPr>
        <w:t>交易响应文件</w:t>
      </w:r>
      <w:r>
        <w:rPr>
          <w:rFonts w:hint="eastAsia"/>
          <w:szCs w:val="21"/>
          <w:lang w:val="en-US" w:bidi="ar-SA"/>
        </w:rPr>
        <w:t>出现以下任一情况，其投标报价将不再参加评标基准价的计算：</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（1）未在投标函上填写投标总价；</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（2）投标报价或调价函中的报价超出招标人公布的最高投标限价（如有）；</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（3）投标报价或调价函中报价的大写金额无法确定具体数值；</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（4）投标函上填写的标段号与</w:t>
      </w:r>
      <w:r>
        <w:rPr>
          <w:rFonts w:hint="eastAsia"/>
          <w:szCs w:val="21"/>
          <w:lang w:val="en-US" w:eastAsia="zh-CN" w:bidi="ar-SA"/>
        </w:rPr>
        <w:t>交易响应文件</w:t>
      </w:r>
      <w:r>
        <w:rPr>
          <w:rFonts w:hint="eastAsia"/>
          <w:szCs w:val="21"/>
          <w:lang w:val="en-US" w:bidi="ar-SA"/>
        </w:rPr>
        <w:t>封套上标记的标段号不一致。</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如果</w:t>
      </w:r>
      <w:r>
        <w:rPr>
          <w:rFonts w:hint="eastAsia"/>
          <w:szCs w:val="21"/>
          <w:lang w:val="en-US" w:eastAsia="zh-CN" w:bidi="ar-SA"/>
        </w:rPr>
        <w:t>交易响应单位</w:t>
      </w:r>
      <w:r>
        <w:rPr>
          <w:rFonts w:hint="eastAsia"/>
          <w:szCs w:val="21"/>
          <w:lang w:val="en-US" w:bidi="ar-SA"/>
        </w:rPr>
        <w:t>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pStyle w:val="34"/>
        <w:tabs>
          <w:tab w:val="left" w:pos="1450"/>
        </w:tabs>
        <w:spacing w:line="440" w:lineRule="exact"/>
        <w:ind w:left="0" w:firstLine="420" w:firstLineChars="200"/>
        <w:jc w:val="left"/>
        <w:rPr>
          <w:szCs w:val="21"/>
          <w:lang w:val="en-US" w:bidi="ar-SA"/>
        </w:rPr>
      </w:pPr>
      <w:r>
        <w:rPr>
          <w:rFonts w:hint="eastAsia"/>
          <w:szCs w:val="21"/>
          <w:lang w:val="en-US" w:bidi="ar-SA"/>
        </w:rPr>
        <w:t>5.2.5在</w:t>
      </w:r>
      <w:r>
        <w:rPr>
          <w:rFonts w:hint="eastAsia"/>
          <w:szCs w:val="21"/>
          <w:lang w:val="en-US" w:eastAsia="zh-CN" w:bidi="ar-SA"/>
        </w:rPr>
        <w:t>交易响应文件</w:t>
      </w:r>
      <w:r>
        <w:rPr>
          <w:rFonts w:hint="eastAsia"/>
          <w:szCs w:val="21"/>
          <w:lang w:val="en-US" w:bidi="ar-SA"/>
        </w:rPr>
        <w:t>第一个信封（商务及技术文件）或第二个信封（报价文件）开标过程中，若招标人宣读的内容与</w:t>
      </w:r>
      <w:r>
        <w:rPr>
          <w:rFonts w:hint="eastAsia"/>
          <w:szCs w:val="21"/>
          <w:lang w:val="en-US" w:eastAsia="zh-CN" w:bidi="ar-SA"/>
        </w:rPr>
        <w:t>交易响应文件</w:t>
      </w:r>
      <w:r>
        <w:rPr>
          <w:rFonts w:hint="eastAsia"/>
          <w:szCs w:val="21"/>
          <w:lang w:val="en-US" w:bidi="ar-SA"/>
        </w:rPr>
        <w:t>不符，</w:t>
      </w:r>
      <w:r>
        <w:rPr>
          <w:rFonts w:hint="eastAsia"/>
          <w:szCs w:val="21"/>
          <w:lang w:val="en-US" w:eastAsia="zh-CN" w:bidi="ar-SA"/>
        </w:rPr>
        <w:t>交易响应单位</w:t>
      </w:r>
      <w:r>
        <w:rPr>
          <w:rFonts w:hint="eastAsia"/>
          <w:szCs w:val="21"/>
          <w:lang w:val="en-US" w:bidi="ar-SA"/>
        </w:rPr>
        <w:t>有权在开标现场提出疑问， 经招标人当场核查确认之后，可重新宣读其</w:t>
      </w:r>
      <w:r>
        <w:rPr>
          <w:rFonts w:hint="eastAsia"/>
          <w:szCs w:val="21"/>
          <w:lang w:val="en-US" w:eastAsia="zh-CN" w:bidi="ar-SA"/>
        </w:rPr>
        <w:t>交易响应文件</w:t>
      </w:r>
      <w:r>
        <w:rPr>
          <w:rFonts w:hint="eastAsia"/>
          <w:szCs w:val="21"/>
          <w:lang w:val="en-US" w:bidi="ar-SA"/>
        </w:rPr>
        <w:t>。若</w:t>
      </w:r>
      <w:r>
        <w:rPr>
          <w:rFonts w:hint="eastAsia"/>
          <w:szCs w:val="21"/>
          <w:lang w:val="en-US" w:eastAsia="zh-CN" w:bidi="ar-SA"/>
        </w:rPr>
        <w:t>交易响应单位</w:t>
      </w:r>
      <w:r>
        <w:rPr>
          <w:rFonts w:hint="eastAsia"/>
          <w:szCs w:val="21"/>
          <w:lang w:val="en-US" w:bidi="ar-SA"/>
        </w:rPr>
        <w:t>现场未提出疑问，则认为</w:t>
      </w:r>
      <w:r>
        <w:rPr>
          <w:rFonts w:hint="eastAsia"/>
          <w:szCs w:val="21"/>
          <w:lang w:val="en-US" w:eastAsia="zh-CN" w:bidi="ar-SA"/>
        </w:rPr>
        <w:t>交易响应单位</w:t>
      </w:r>
      <w:r>
        <w:rPr>
          <w:rFonts w:hint="eastAsia"/>
          <w:szCs w:val="21"/>
          <w:lang w:val="en-US" w:bidi="ar-SA"/>
        </w:rPr>
        <w:t>已确认招标人宣读的内容。</w:t>
      </w:r>
    </w:p>
    <w:p>
      <w:pPr>
        <w:pStyle w:val="34"/>
        <w:tabs>
          <w:tab w:val="left" w:pos="1450"/>
        </w:tabs>
        <w:spacing w:line="440" w:lineRule="exact"/>
        <w:ind w:left="0" w:firstLine="420" w:firstLineChars="200"/>
        <w:jc w:val="left"/>
        <w:rPr>
          <w:szCs w:val="21"/>
        </w:rPr>
      </w:pPr>
      <w:r>
        <w:rPr>
          <w:rFonts w:hint="eastAsia"/>
          <w:szCs w:val="21"/>
          <w:lang w:val="en-US" w:bidi="ar-SA"/>
        </w:rPr>
        <w:t>若采用单信封形式，第 5.2 款采用以下条款：</w:t>
      </w:r>
    </w:p>
    <w:p>
      <w:pPr>
        <w:pStyle w:val="34"/>
        <w:tabs>
          <w:tab w:val="left" w:pos="790"/>
        </w:tabs>
        <w:spacing w:line="440" w:lineRule="exact"/>
        <w:ind w:left="0" w:firstLine="422" w:firstLineChars="200"/>
        <w:jc w:val="left"/>
        <w:rPr>
          <w:b/>
          <w:szCs w:val="21"/>
          <w:lang w:val="en-US" w:bidi="ar-SA"/>
        </w:rPr>
      </w:pPr>
      <w:bookmarkStart w:id="96" w:name="_bookmark64"/>
      <w:bookmarkEnd w:id="96"/>
      <w:r>
        <w:rPr>
          <w:rFonts w:hint="eastAsia"/>
          <w:b/>
          <w:szCs w:val="21"/>
          <w:lang w:val="en-US" w:bidi="ar-SA"/>
        </w:rPr>
        <w:t>5.2开标程序</w:t>
      </w:r>
    </w:p>
    <w:p>
      <w:pPr>
        <w:pStyle w:val="10"/>
        <w:spacing w:line="440" w:lineRule="exact"/>
        <w:ind w:firstLine="420" w:firstLineChars="200"/>
        <w:jc w:val="left"/>
        <w:rPr>
          <w:rFonts w:ascii="宋体" w:hAnsi="宋体" w:cs="宋体"/>
          <w:szCs w:val="21"/>
        </w:rPr>
      </w:pPr>
      <w:r>
        <w:rPr>
          <w:rFonts w:hint="eastAsia" w:ascii="宋体" w:hAnsi="宋体" w:cs="宋体"/>
          <w:szCs w:val="21"/>
        </w:rPr>
        <w:t>5.2.1 主持人按下列程序进行开标：</w:t>
      </w:r>
    </w:p>
    <w:p>
      <w:pPr>
        <w:pStyle w:val="34"/>
        <w:tabs>
          <w:tab w:val="left" w:pos="1331"/>
        </w:tabs>
        <w:spacing w:line="440" w:lineRule="exact"/>
        <w:ind w:left="0" w:firstLine="420" w:firstLineChars="200"/>
        <w:jc w:val="left"/>
        <w:rPr>
          <w:szCs w:val="21"/>
        </w:rPr>
      </w:pPr>
      <w:r>
        <w:rPr>
          <w:rFonts w:hint="eastAsia"/>
          <w:szCs w:val="21"/>
        </w:rPr>
        <w:t>（</w:t>
      </w:r>
      <w:r>
        <w:rPr>
          <w:rFonts w:hint="eastAsia"/>
          <w:szCs w:val="21"/>
          <w:lang w:val="en-US"/>
        </w:rPr>
        <w:t>1</w:t>
      </w:r>
      <w:r>
        <w:rPr>
          <w:rFonts w:hint="eastAsia"/>
          <w:szCs w:val="21"/>
        </w:rPr>
        <w:t>）宣布开标纪律；</w:t>
      </w:r>
    </w:p>
    <w:p>
      <w:pPr>
        <w:pStyle w:val="34"/>
        <w:tabs>
          <w:tab w:val="left" w:pos="1331"/>
        </w:tabs>
        <w:spacing w:line="440" w:lineRule="exact"/>
        <w:ind w:left="0" w:firstLine="420" w:firstLineChars="200"/>
        <w:jc w:val="left"/>
        <w:rPr>
          <w:szCs w:val="21"/>
        </w:rPr>
      </w:pPr>
      <w:r>
        <w:rPr>
          <w:rFonts w:hint="eastAsia"/>
          <w:szCs w:val="21"/>
        </w:rPr>
        <w:t>（</w:t>
      </w:r>
      <w:r>
        <w:rPr>
          <w:rFonts w:hint="eastAsia"/>
          <w:szCs w:val="21"/>
          <w:lang w:val="en-US"/>
        </w:rPr>
        <w:t>2</w:t>
      </w:r>
      <w:r>
        <w:rPr>
          <w:rFonts w:hint="eastAsia"/>
          <w:szCs w:val="21"/>
        </w:rPr>
        <w:t>）公布在投标截止时间前递交</w:t>
      </w:r>
      <w:r>
        <w:rPr>
          <w:rFonts w:hint="eastAsia"/>
          <w:szCs w:val="21"/>
          <w:lang w:eastAsia="zh-CN"/>
        </w:rPr>
        <w:t>交易响应文件</w:t>
      </w:r>
      <w:r>
        <w:rPr>
          <w:rFonts w:hint="eastAsia"/>
          <w:szCs w:val="21"/>
        </w:rPr>
        <w:t>的</w:t>
      </w:r>
      <w:r>
        <w:rPr>
          <w:rFonts w:hint="eastAsia"/>
          <w:szCs w:val="21"/>
          <w:lang w:eastAsia="zh-CN"/>
        </w:rPr>
        <w:t>交易响应单位</w:t>
      </w:r>
      <w:r>
        <w:rPr>
          <w:rFonts w:hint="eastAsia"/>
          <w:szCs w:val="21"/>
        </w:rPr>
        <w:t>数量；</w:t>
      </w:r>
    </w:p>
    <w:p>
      <w:pPr>
        <w:pStyle w:val="34"/>
        <w:tabs>
          <w:tab w:val="left" w:pos="1331"/>
        </w:tabs>
        <w:spacing w:line="440" w:lineRule="exact"/>
        <w:ind w:left="0" w:firstLine="420" w:firstLineChars="200"/>
        <w:jc w:val="left"/>
        <w:rPr>
          <w:szCs w:val="21"/>
        </w:rPr>
      </w:pPr>
      <w:r>
        <w:rPr>
          <w:rFonts w:hint="eastAsia"/>
          <w:szCs w:val="21"/>
        </w:rPr>
        <w:t>（</w:t>
      </w:r>
      <w:r>
        <w:rPr>
          <w:rFonts w:hint="eastAsia"/>
          <w:szCs w:val="21"/>
          <w:lang w:val="en-US"/>
        </w:rPr>
        <w:t>3</w:t>
      </w:r>
      <w:r>
        <w:rPr>
          <w:rFonts w:hint="eastAsia"/>
          <w:szCs w:val="21"/>
        </w:rPr>
        <w:t>）宣布开标人、唱标人、记录人等有关人员姓名；</w:t>
      </w:r>
    </w:p>
    <w:p>
      <w:pPr>
        <w:pStyle w:val="34"/>
        <w:tabs>
          <w:tab w:val="left" w:pos="1331"/>
        </w:tabs>
        <w:spacing w:line="440" w:lineRule="exact"/>
        <w:ind w:left="0" w:firstLine="420" w:firstLineChars="200"/>
        <w:jc w:val="left"/>
        <w:rPr>
          <w:szCs w:val="21"/>
        </w:rPr>
      </w:pPr>
      <w:r>
        <w:rPr>
          <w:rFonts w:hint="eastAsia"/>
          <w:szCs w:val="21"/>
        </w:rPr>
        <w:t>（</w:t>
      </w:r>
      <w:r>
        <w:rPr>
          <w:rFonts w:hint="eastAsia"/>
          <w:szCs w:val="21"/>
          <w:lang w:val="en-US"/>
        </w:rPr>
        <w:t>4</w:t>
      </w:r>
      <w:r>
        <w:rPr>
          <w:rFonts w:hint="eastAsia"/>
          <w:szCs w:val="21"/>
        </w:rPr>
        <w:t>）按照</w:t>
      </w:r>
      <w:r>
        <w:rPr>
          <w:rFonts w:hint="eastAsia"/>
          <w:szCs w:val="21"/>
          <w:lang w:eastAsia="zh-CN"/>
        </w:rPr>
        <w:t>交易须知</w:t>
      </w:r>
      <w:r>
        <w:rPr>
          <w:rFonts w:hint="eastAsia"/>
          <w:szCs w:val="21"/>
        </w:rPr>
        <w:t>前附表规定由</w:t>
      </w:r>
      <w:r>
        <w:rPr>
          <w:rFonts w:hint="eastAsia"/>
          <w:szCs w:val="21"/>
          <w:lang w:eastAsia="zh-CN"/>
        </w:rPr>
        <w:t>交易响应单位</w:t>
      </w:r>
      <w:r>
        <w:rPr>
          <w:rFonts w:hint="eastAsia"/>
          <w:szCs w:val="21"/>
        </w:rPr>
        <w:t>推选的代表检查</w:t>
      </w:r>
      <w:r>
        <w:rPr>
          <w:rFonts w:hint="eastAsia"/>
          <w:szCs w:val="21"/>
          <w:lang w:eastAsia="zh-CN"/>
        </w:rPr>
        <w:t>交易响应文件</w:t>
      </w:r>
      <w:r>
        <w:rPr>
          <w:rFonts w:hint="eastAsia"/>
          <w:szCs w:val="21"/>
        </w:rPr>
        <w:t>的密封情况；</w:t>
      </w:r>
    </w:p>
    <w:p>
      <w:pPr>
        <w:pStyle w:val="10"/>
        <w:spacing w:line="440" w:lineRule="exact"/>
        <w:ind w:firstLine="404" w:firstLineChars="200"/>
        <w:jc w:val="left"/>
        <w:rPr>
          <w:rFonts w:ascii="宋体" w:hAnsi="宋体" w:cs="宋体"/>
          <w:szCs w:val="21"/>
        </w:rPr>
      </w:pPr>
      <w:r>
        <w:rPr>
          <w:rFonts w:hint="eastAsia" w:ascii="宋体" w:hAnsi="宋体" w:cs="宋体"/>
          <w:spacing w:val="-4"/>
          <w:szCs w:val="21"/>
        </w:rPr>
        <w:t>（5）按照</w:t>
      </w:r>
      <w:r>
        <w:rPr>
          <w:rFonts w:hint="eastAsia" w:ascii="宋体" w:hAnsi="宋体" w:cs="宋体"/>
          <w:spacing w:val="-4"/>
          <w:szCs w:val="21"/>
          <w:lang w:eastAsia="zh-CN"/>
        </w:rPr>
        <w:t>交易须知</w:t>
      </w:r>
      <w:r>
        <w:rPr>
          <w:rFonts w:hint="eastAsia" w:ascii="宋体" w:hAnsi="宋体" w:cs="宋体"/>
          <w:spacing w:val="-4"/>
          <w:szCs w:val="21"/>
        </w:rPr>
        <w:t>前附表规定的开标顺序当众开标，公布标段名称、</w:t>
      </w:r>
      <w:r>
        <w:rPr>
          <w:rFonts w:hint="eastAsia" w:ascii="宋体" w:hAnsi="宋体" w:cs="宋体"/>
          <w:spacing w:val="-4"/>
          <w:szCs w:val="21"/>
          <w:lang w:eastAsia="zh-CN"/>
        </w:rPr>
        <w:t>交易响应单位</w:t>
      </w:r>
      <w:r>
        <w:rPr>
          <w:rFonts w:hint="eastAsia" w:ascii="宋体" w:hAnsi="宋体" w:cs="宋体"/>
          <w:spacing w:val="-4"/>
          <w:szCs w:val="21"/>
        </w:rPr>
        <w:t>名</w:t>
      </w:r>
      <w:r>
        <w:rPr>
          <w:rFonts w:hint="eastAsia" w:ascii="宋体" w:hAnsi="宋体" w:cs="宋体"/>
          <w:szCs w:val="21"/>
        </w:rPr>
        <w:t>称、</w:t>
      </w:r>
      <w:r>
        <w:rPr>
          <w:rFonts w:hint="eastAsia" w:ascii="宋体" w:hAnsi="宋体" w:cs="宋体"/>
          <w:szCs w:val="21"/>
          <w:lang w:eastAsia="zh-CN"/>
        </w:rPr>
        <w:t>交易保证金</w:t>
      </w:r>
      <w:r>
        <w:rPr>
          <w:rFonts w:hint="eastAsia" w:ascii="宋体" w:hAnsi="宋体" w:cs="宋体"/>
          <w:szCs w:val="21"/>
        </w:rPr>
        <w:t>的递交情况、投标报价、工期及其他内容，并记录在案；</w:t>
      </w:r>
    </w:p>
    <w:p>
      <w:pPr>
        <w:pStyle w:val="34"/>
        <w:tabs>
          <w:tab w:val="left" w:pos="1331"/>
        </w:tabs>
        <w:spacing w:line="440" w:lineRule="exact"/>
        <w:ind w:left="0" w:firstLine="420" w:firstLineChars="200"/>
        <w:jc w:val="left"/>
        <w:rPr>
          <w:szCs w:val="21"/>
        </w:rPr>
      </w:pPr>
      <w:r>
        <w:rPr>
          <w:rFonts w:hint="eastAsia"/>
          <w:szCs w:val="21"/>
        </w:rPr>
        <w:t>（</w:t>
      </w:r>
      <w:r>
        <w:rPr>
          <w:rFonts w:hint="eastAsia"/>
          <w:szCs w:val="21"/>
          <w:lang w:val="en-US"/>
        </w:rPr>
        <w:t>6</w:t>
      </w:r>
      <w:r>
        <w:rPr>
          <w:rFonts w:hint="eastAsia"/>
          <w:szCs w:val="21"/>
        </w:rPr>
        <w:t>）计算并宣布评标基准价；</w:t>
      </w:r>
    </w:p>
    <w:p>
      <w:pPr>
        <w:pStyle w:val="34"/>
        <w:tabs>
          <w:tab w:val="left" w:pos="1331"/>
        </w:tabs>
        <w:spacing w:line="440" w:lineRule="exact"/>
        <w:ind w:left="0" w:firstLine="420" w:firstLineChars="200"/>
        <w:jc w:val="left"/>
        <w:rPr>
          <w:szCs w:val="21"/>
        </w:rPr>
      </w:pPr>
      <w:r>
        <w:rPr>
          <w:rFonts w:hint="eastAsia"/>
          <w:szCs w:val="21"/>
        </w:rPr>
        <w:t>（</w:t>
      </w:r>
      <w:r>
        <w:rPr>
          <w:rFonts w:hint="eastAsia"/>
          <w:szCs w:val="21"/>
          <w:lang w:val="en-US"/>
        </w:rPr>
        <w:t>7</w:t>
      </w:r>
      <w:r>
        <w:rPr>
          <w:rFonts w:hint="eastAsia"/>
          <w:szCs w:val="21"/>
        </w:rPr>
        <w:t>）</w:t>
      </w:r>
      <w:r>
        <w:rPr>
          <w:rFonts w:hint="eastAsia"/>
          <w:szCs w:val="21"/>
          <w:lang w:eastAsia="zh-CN"/>
        </w:rPr>
        <w:t>交易响应单位</w:t>
      </w:r>
      <w:r>
        <w:rPr>
          <w:rFonts w:hint="eastAsia"/>
          <w:szCs w:val="21"/>
        </w:rPr>
        <w:t>代表、招标人代表、记录人等有关人员在开标记录上签字确认；</w:t>
      </w:r>
    </w:p>
    <w:p>
      <w:pPr>
        <w:pStyle w:val="34"/>
        <w:tabs>
          <w:tab w:val="left" w:pos="1331"/>
        </w:tabs>
        <w:spacing w:line="440" w:lineRule="exact"/>
        <w:ind w:left="0" w:firstLine="420" w:firstLineChars="200"/>
        <w:jc w:val="left"/>
        <w:rPr>
          <w:szCs w:val="21"/>
        </w:rPr>
      </w:pPr>
      <w:r>
        <w:rPr>
          <w:rFonts w:hint="eastAsia"/>
          <w:szCs w:val="21"/>
        </w:rPr>
        <w:t>（</w:t>
      </w:r>
      <w:r>
        <w:rPr>
          <w:rFonts w:hint="eastAsia"/>
          <w:szCs w:val="21"/>
          <w:lang w:val="en-US"/>
        </w:rPr>
        <w:t>8</w:t>
      </w:r>
      <w:r>
        <w:rPr>
          <w:rFonts w:hint="eastAsia"/>
          <w:szCs w:val="21"/>
        </w:rPr>
        <w:t>）开标结束。</w:t>
      </w:r>
    </w:p>
    <w:p>
      <w:pPr>
        <w:pStyle w:val="34"/>
        <w:tabs>
          <w:tab w:val="left" w:pos="1450"/>
        </w:tabs>
        <w:spacing w:line="440" w:lineRule="exact"/>
        <w:ind w:left="0" w:firstLine="420" w:firstLineChars="200"/>
        <w:jc w:val="left"/>
        <w:rPr>
          <w:szCs w:val="21"/>
        </w:rPr>
      </w:pPr>
      <w:r>
        <w:rPr>
          <w:rFonts w:hint="eastAsia"/>
          <w:szCs w:val="21"/>
          <w:lang w:val="en-US"/>
        </w:rPr>
        <w:t>5.2.2</w:t>
      </w:r>
      <w:r>
        <w:rPr>
          <w:rFonts w:hint="eastAsia"/>
          <w:szCs w:val="21"/>
        </w:rPr>
        <w:t>若采用合理低价法或综合评分法，在开标现场，招标人将按第三章“评标</w:t>
      </w:r>
      <w:r>
        <w:rPr>
          <w:rFonts w:hint="eastAsia"/>
          <w:spacing w:val="-16"/>
          <w:szCs w:val="21"/>
        </w:rPr>
        <w:t>办法”规定的原则计算并宣布评标基准价。若招标人发现</w:t>
      </w:r>
      <w:r>
        <w:rPr>
          <w:rFonts w:hint="eastAsia"/>
          <w:spacing w:val="-16"/>
          <w:szCs w:val="21"/>
          <w:lang w:eastAsia="zh-CN"/>
        </w:rPr>
        <w:t>交易响应文件</w:t>
      </w:r>
      <w:r>
        <w:rPr>
          <w:rFonts w:hint="eastAsia"/>
          <w:spacing w:val="-16"/>
          <w:szCs w:val="21"/>
        </w:rPr>
        <w:t xml:space="preserve">出现以下任一情况， </w:t>
      </w:r>
      <w:r>
        <w:rPr>
          <w:rFonts w:hint="eastAsia"/>
          <w:szCs w:val="21"/>
        </w:rPr>
        <w:t>其投标报价将不再参加评标基准价的计算：</w:t>
      </w:r>
    </w:p>
    <w:p>
      <w:pPr>
        <w:pStyle w:val="34"/>
        <w:tabs>
          <w:tab w:val="left" w:pos="1331"/>
        </w:tabs>
        <w:spacing w:line="440" w:lineRule="exact"/>
        <w:ind w:left="420" w:leftChars="200" w:firstLine="0"/>
        <w:jc w:val="left"/>
        <w:rPr>
          <w:szCs w:val="21"/>
        </w:rPr>
      </w:pPr>
      <w:r>
        <w:rPr>
          <w:rFonts w:hint="eastAsia"/>
          <w:szCs w:val="21"/>
        </w:rPr>
        <w:t>（</w:t>
      </w:r>
      <w:r>
        <w:rPr>
          <w:rFonts w:hint="eastAsia"/>
          <w:szCs w:val="21"/>
          <w:lang w:val="en-US"/>
        </w:rPr>
        <w:t>1</w:t>
      </w:r>
      <w:r>
        <w:rPr>
          <w:rFonts w:hint="eastAsia"/>
          <w:szCs w:val="21"/>
        </w:rPr>
        <w:t>）未在投标函上填写投标总价；</w:t>
      </w:r>
    </w:p>
    <w:p>
      <w:pPr>
        <w:pStyle w:val="34"/>
        <w:tabs>
          <w:tab w:val="left" w:pos="1331"/>
        </w:tabs>
        <w:spacing w:line="440" w:lineRule="exact"/>
        <w:ind w:left="420" w:leftChars="200" w:firstLine="0"/>
        <w:jc w:val="left"/>
        <w:rPr>
          <w:szCs w:val="21"/>
        </w:rPr>
      </w:pPr>
      <w:r>
        <w:rPr>
          <w:rFonts w:hint="eastAsia"/>
          <w:szCs w:val="21"/>
        </w:rPr>
        <w:t>（</w:t>
      </w:r>
      <w:r>
        <w:rPr>
          <w:rFonts w:hint="eastAsia"/>
          <w:szCs w:val="21"/>
          <w:lang w:val="en-US"/>
        </w:rPr>
        <w:t>2</w:t>
      </w:r>
      <w:r>
        <w:rPr>
          <w:rFonts w:hint="eastAsia"/>
          <w:szCs w:val="21"/>
        </w:rPr>
        <w:t>）投标报价或调价函中的报价超出招标人公布的最高投标限价（如有</w:t>
      </w:r>
      <w:r>
        <w:rPr>
          <w:rFonts w:hint="eastAsia"/>
          <w:spacing w:val="-120"/>
          <w:szCs w:val="21"/>
        </w:rPr>
        <w:t>）</w:t>
      </w:r>
      <w:r>
        <w:rPr>
          <w:rFonts w:hint="eastAsia"/>
          <w:szCs w:val="21"/>
        </w:rPr>
        <w:t>；</w:t>
      </w:r>
    </w:p>
    <w:p>
      <w:pPr>
        <w:pStyle w:val="34"/>
        <w:tabs>
          <w:tab w:val="left" w:pos="1331"/>
        </w:tabs>
        <w:spacing w:line="440" w:lineRule="exact"/>
        <w:ind w:left="420" w:leftChars="200" w:firstLine="0"/>
        <w:jc w:val="left"/>
        <w:rPr>
          <w:szCs w:val="21"/>
        </w:rPr>
      </w:pPr>
      <w:r>
        <w:rPr>
          <w:rFonts w:hint="eastAsia"/>
          <w:szCs w:val="21"/>
        </w:rPr>
        <w:t>（</w:t>
      </w:r>
      <w:r>
        <w:rPr>
          <w:rFonts w:hint="eastAsia"/>
          <w:szCs w:val="21"/>
          <w:lang w:val="en-US"/>
        </w:rPr>
        <w:t>3</w:t>
      </w:r>
      <w:r>
        <w:rPr>
          <w:rFonts w:hint="eastAsia"/>
          <w:szCs w:val="21"/>
        </w:rPr>
        <w:t>）投标报价或调价函中报价的大写金额无法确定具体数值；</w:t>
      </w:r>
    </w:p>
    <w:p>
      <w:pPr>
        <w:pStyle w:val="34"/>
        <w:tabs>
          <w:tab w:val="left" w:pos="1331"/>
        </w:tabs>
        <w:spacing w:line="440" w:lineRule="exact"/>
        <w:ind w:left="420" w:leftChars="200" w:firstLine="0"/>
        <w:jc w:val="left"/>
        <w:rPr>
          <w:szCs w:val="21"/>
        </w:rPr>
      </w:pPr>
      <w:r>
        <w:rPr>
          <w:rFonts w:hint="eastAsia"/>
          <w:szCs w:val="21"/>
        </w:rPr>
        <w:t>（</w:t>
      </w:r>
      <w:r>
        <w:rPr>
          <w:rFonts w:hint="eastAsia"/>
          <w:szCs w:val="21"/>
          <w:lang w:val="en-US"/>
        </w:rPr>
        <w:t>4</w:t>
      </w:r>
      <w:r>
        <w:rPr>
          <w:rFonts w:hint="eastAsia"/>
          <w:szCs w:val="21"/>
        </w:rPr>
        <w:t>）投标函上填写的标段号与</w:t>
      </w:r>
      <w:r>
        <w:rPr>
          <w:rFonts w:hint="eastAsia"/>
          <w:szCs w:val="21"/>
          <w:lang w:eastAsia="zh-CN"/>
        </w:rPr>
        <w:t>交易响应文件</w:t>
      </w:r>
      <w:r>
        <w:rPr>
          <w:rFonts w:hint="eastAsia"/>
          <w:szCs w:val="21"/>
        </w:rPr>
        <w:t>封套上标记的标段号不一致。</w:t>
      </w:r>
    </w:p>
    <w:p>
      <w:pPr>
        <w:pStyle w:val="10"/>
        <w:spacing w:line="440" w:lineRule="exact"/>
        <w:ind w:firstLine="396" w:firstLineChars="200"/>
        <w:jc w:val="left"/>
        <w:rPr>
          <w:rFonts w:ascii="宋体" w:hAnsi="宋体" w:cs="宋体"/>
          <w:szCs w:val="21"/>
        </w:rPr>
      </w:pPr>
      <w:r>
        <w:rPr>
          <w:rFonts w:hint="eastAsia" w:ascii="宋体" w:hAnsi="宋体" w:cs="宋体"/>
          <w:spacing w:val="-6"/>
          <w:szCs w:val="21"/>
        </w:rPr>
        <w:t>如果</w:t>
      </w:r>
      <w:r>
        <w:rPr>
          <w:rFonts w:hint="eastAsia" w:ascii="宋体" w:hAnsi="宋体" w:cs="宋体"/>
          <w:spacing w:val="-6"/>
          <w:szCs w:val="21"/>
          <w:lang w:eastAsia="zh-CN"/>
        </w:rPr>
        <w:t>交易响应单位</w:t>
      </w:r>
      <w:r>
        <w:rPr>
          <w:rFonts w:hint="eastAsia" w:ascii="宋体" w:hAnsi="宋体" w:cs="宋体"/>
          <w:spacing w:val="-6"/>
          <w:szCs w:val="21"/>
        </w:rPr>
        <w:t>认为某一标段的评标基准价计算有误，有权在开标现场提出，经招标</w:t>
      </w:r>
      <w:r>
        <w:rPr>
          <w:rFonts w:hint="eastAsia" w:ascii="宋体" w:hAnsi="宋体" w:cs="宋体"/>
          <w:spacing w:val="-8"/>
          <w:szCs w:val="21"/>
        </w:rPr>
        <w:t>人当场核实确认之后，可重新宣布评标基准价。开标现场宣布的评标基准价除计算有</w:t>
      </w:r>
      <w:r>
        <w:rPr>
          <w:rFonts w:hint="eastAsia" w:ascii="宋体" w:hAnsi="宋体" w:cs="宋体"/>
          <w:szCs w:val="21"/>
        </w:rPr>
        <w:t>误经评标委员会修正外，在整个评标期间保持不变，不随任何因素发生变化。</w:t>
      </w:r>
    </w:p>
    <w:p>
      <w:pPr>
        <w:pStyle w:val="34"/>
        <w:tabs>
          <w:tab w:val="left" w:pos="1450"/>
        </w:tabs>
        <w:spacing w:line="440" w:lineRule="exact"/>
        <w:ind w:left="0" w:firstLine="416" w:firstLineChars="200"/>
        <w:jc w:val="left"/>
        <w:rPr>
          <w:szCs w:val="21"/>
        </w:rPr>
      </w:pPr>
      <w:r>
        <w:rPr>
          <w:rFonts w:hint="eastAsia"/>
          <w:spacing w:val="-1"/>
          <w:szCs w:val="21"/>
          <w:lang w:val="en-US"/>
        </w:rPr>
        <w:t>5.2.3</w:t>
      </w:r>
      <w:r>
        <w:rPr>
          <w:rFonts w:hint="eastAsia"/>
          <w:spacing w:val="-1"/>
          <w:szCs w:val="21"/>
        </w:rPr>
        <w:t>若招标人宣读的内容与</w:t>
      </w:r>
      <w:r>
        <w:rPr>
          <w:rFonts w:hint="eastAsia"/>
          <w:spacing w:val="-1"/>
          <w:szCs w:val="21"/>
          <w:lang w:eastAsia="zh-CN"/>
        </w:rPr>
        <w:t>交易响应文件</w:t>
      </w:r>
      <w:r>
        <w:rPr>
          <w:rFonts w:hint="eastAsia"/>
          <w:spacing w:val="-1"/>
          <w:szCs w:val="21"/>
        </w:rPr>
        <w:t>不符，</w:t>
      </w:r>
      <w:r>
        <w:rPr>
          <w:rFonts w:hint="eastAsia"/>
          <w:spacing w:val="-1"/>
          <w:szCs w:val="21"/>
          <w:lang w:eastAsia="zh-CN"/>
        </w:rPr>
        <w:t>交易响应单位</w:t>
      </w:r>
      <w:r>
        <w:rPr>
          <w:rFonts w:hint="eastAsia"/>
          <w:spacing w:val="-1"/>
          <w:szCs w:val="21"/>
        </w:rPr>
        <w:t xml:space="preserve">有权在开标现场提出疑问， </w:t>
      </w:r>
      <w:r>
        <w:rPr>
          <w:rFonts w:hint="eastAsia"/>
          <w:spacing w:val="-7"/>
          <w:szCs w:val="21"/>
        </w:rPr>
        <w:t>经招标人当场核查确认之后，可重新宣读其</w:t>
      </w:r>
      <w:r>
        <w:rPr>
          <w:rFonts w:hint="eastAsia"/>
          <w:spacing w:val="-7"/>
          <w:szCs w:val="21"/>
          <w:lang w:eastAsia="zh-CN"/>
        </w:rPr>
        <w:t>交易响应文件</w:t>
      </w:r>
      <w:r>
        <w:rPr>
          <w:rFonts w:hint="eastAsia"/>
          <w:spacing w:val="-7"/>
          <w:szCs w:val="21"/>
        </w:rPr>
        <w:t>。若</w:t>
      </w:r>
      <w:r>
        <w:rPr>
          <w:rFonts w:hint="eastAsia"/>
          <w:spacing w:val="-7"/>
          <w:szCs w:val="21"/>
          <w:lang w:eastAsia="zh-CN"/>
        </w:rPr>
        <w:t>交易响应单位</w:t>
      </w:r>
      <w:r>
        <w:rPr>
          <w:rFonts w:hint="eastAsia"/>
          <w:spacing w:val="-7"/>
          <w:szCs w:val="21"/>
        </w:rPr>
        <w:t>现场未提出疑问，则</w:t>
      </w:r>
      <w:r>
        <w:rPr>
          <w:rFonts w:hint="eastAsia"/>
          <w:szCs w:val="21"/>
        </w:rPr>
        <w:t>认为</w:t>
      </w:r>
      <w:r>
        <w:rPr>
          <w:rFonts w:hint="eastAsia"/>
          <w:szCs w:val="21"/>
          <w:lang w:eastAsia="zh-CN"/>
        </w:rPr>
        <w:t>交易响应单位</w:t>
      </w:r>
      <w:r>
        <w:rPr>
          <w:rFonts w:hint="eastAsia"/>
          <w:szCs w:val="21"/>
        </w:rPr>
        <w:t>已确认招标人宣读的内容。</w:t>
      </w:r>
    </w:p>
    <w:p>
      <w:pPr>
        <w:pStyle w:val="34"/>
        <w:tabs>
          <w:tab w:val="left" w:pos="790"/>
        </w:tabs>
        <w:spacing w:line="440" w:lineRule="exact"/>
        <w:ind w:left="0" w:firstLine="422" w:firstLineChars="200"/>
        <w:jc w:val="left"/>
        <w:rPr>
          <w:szCs w:val="21"/>
        </w:rPr>
      </w:pPr>
      <w:bookmarkStart w:id="97" w:name="_bookmark65"/>
      <w:bookmarkEnd w:id="97"/>
      <w:r>
        <w:rPr>
          <w:rFonts w:hint="eastAsia"/>
          <w:b/>
          <w:szCs w:val="21"/>
          <w:lang w:val="en-US" w:bidi="ar-SA"/>
        </w:rPr>
        <w:t>5.3开标异议</w:t>
      </w:r>
    </w:p>
    <w:p>
      <w:pPr>
        <w:pStyle w:val="10"/>
        <w:spacing w:line="440" w:lineRule="exact"/>
        <w:ind w:firstLine="364" w:firstLineChars="200"/>
        <w:jc w:val="left"/>
        <w:rPr>
          <w:rFonts w:ascii="宋体" w:hAnsi="宋体" w:cs="宋体"/>
          <w:szCs w:val="21"/>
        </w:rPr>
      </w:pPr>
      <w:r>
        <w:rPr>
          <w:rFonts w:hint="eastAsia" w:ascii="宋体" w:hAnsi="宋体" w:cs="宋体"/>
          <w:spacing w:val="-14"/>
          <w:szCs w:val="21"/>
          <w:lang w:eastAsia="zh-CN"/>
        </w:rPr>
        <w:t>交易响应单位</w:t>
      </w:r>
      <w:r>
        <w:rPr>
          <w:rFonts w:hint="eastAsia" w:ascii="宋体" w:hAnsi="宋体" w:cs="宋体"/>
          <w:spacing w:val="-14"/>
          <w:szCs w:val="21"/>
        </w:rPr>
        <w:t xml:space="preserve">对开标有异议的，应在开标现场提出，招标人当场作出答复，并制作记录， </w:t>
      </w:r>
      <w:r>
        <w:rPr>
          <w:rFonts w:hint="eastAsia" w:ascii="宋体" w:hAnsi="宋体" w:cs="宋体"/>
          <w:szCs w:val="21"/>
        </w:rPr>
        <w:t>有异议的</w:t>
      </w:r>
      <w:r>
        <w:rPr>
          <w:rFonts w:hint="eastAsia" w:ascii="宋体" w:hAnsi="宋体" w:cs="宋体"/>
          <w:szCs w:val="21"/>
          <w:lang w:eastAsia="zh-CN"/>
        </w:rPr>
        <w:t>交易响应单位</w:t>
      </w:r>
      <w:r>
        <w:rPr>
          <w:rFonts w:hint="eastAsia" w:ascii="宋体" w:hAnsi="宋体" w:cs="宋体"/>
          <w:szCs w:val="21"/>
        </w:rPr>
        <w:t>代表、招标人代表、记录人等有关人员在记录上签字确认。</w:t>
      </w:r>
    </w:p>
    <w:p>
      <w:pPr>
        <w:pStyle w:val="4"/>
        <w:spacing w:line="440" w:lineRule="exact"/>
        <w:ind w:firstLine="422" w:firstLineChars="200"/>
        <w:jc w:val="left"/>
        <w:rPr>
          <w:rFonts w:ascii="宋体" w:hAnsi="宋体" w:cs="宋体"/>
          <w:sz w:val="21"/>
          <w:szCs w:val="21"/>
        </w:rPr>
      </w:pPr>
      <w:r>
        <w:rPr>
          <w:rFonts w:hint="eastAsia" w:ascii="宋体" w:hAnsi="宋体" w:cs="宋体"/>
          <w:sz w:val="21"/>
          <w:szCs w:val="21"/>
        </w:rPr>
        <w:t>6. 评标</w:t>
      </w:r>
    </w:p>
    <w:p>
      <w:pPr>
        <w:pStyle w:val="34"/>
        <w:tabs>
          <w:tab w:val="left" w:pos="790"/>
        </w:tabs>
        <w:spacing w:line="440" w:lineRule="exact"/>
        <w:ind w:left="0" w:firstLine="422" w:firstLineChars="200"/>
        <w:jc w:val="left"/>
        <w:rPr>
          <w:szCs w:val="21"/>
        </w:rPr>
      </w:pPr>
      <w:bookmarkStart w:id="98" w:name="_bookmark67"/>
      <w:bookmarkEnd w:id="98"/>
      <w:r>
        <w:rPr>
          <w:rFonts w:hint="eastAsia"/>
          <w:b/>
          <w:szCs w:val="21"/>
          <w:lang w:val="en-US" w:bidi="ar-SA"/>
        </w:rPr>
        <w:t>6.1评标委员会</w:t>
      </w:r>
    </w:p>
    <w:p>
      <w:pPr>
        <w:pStyle w:val="34"/>
        <w:tabs>
          <w:tab w:val="left" w:pos="1450"/>
        </w:tabs>
        <w:spacing w:line="440" w:lineRule="exact"/>
        <w:ind w:left="0" w:firstLine="420" w:firstLineChars="200"/>
        <w:jc w:val="left"/>
        <w:rPr>
          <w:szCs w:val="21"/>
        </w:rPr>
      </w:pPr>
      <w:r>
        <w:rPr>
          <w:rFonts w:hint="eastAsia"/>
          <w:szCs w:val="21"/>
          <w:lang w:val="en-US"/>
        </w:rPr>
        <w:t>6.1.1</w:t>
      </w:r>
      <w:r>
        <w:rPr>
          <w:rFonts w:hint="eastAsia"/>
          <w:szCs w:val="21"/>
        </w:rPr>
        <w:t>评标委员会成员有下列情形之一的，应主动提出回避：</w:t>
      </w:r>
    </w:p>
    <w:p>
      <w:pPr>
        <w:pStyle w:val="34"/>
        <w:tabs>
          <w:tab w:val="left" w:pos="1331"/>
        </w:tabs>
        <w:spacing w:line="440" w:lineRule="exact"/>
        <w:ind w:left="420" w:leftChars="200" w:firstLine="0"/>
        <w:jc w:val="left"/>
        <w:rPr>
          <w:szCs w:val="21"/>
        </w:rPr>
      </w:pPr>
      <w:r>
        <w:rPr>
          <w:rFonts w:hint="eastAsia"/>
          <w:szCs w:val="21"/>
        </w:rPr>
        <w:t>（</w:t>
      </w:r>
      <w:r>
        <w:rPr>
          <w:rFonts w:hint="eastAsia"/>
          <w:szCs w:val="21"/>
          <w:lang w:val="en-US"/>
        </w:rPr>
        <w:t>1</w:t>
      </w:r>
      <w:r>
        <w:rPr>
          <w:rFonts w:hint="eastAsia"/>
          <w:szCs w:val="21"/>
        </w:rPr>
        <w:t>）为负责招标项目监督管理的交通运输主管部门的工作人员；</w:t>
      </w:r>
    </w:p>
    <w:p>
      <w:pPr>
        <w:pStyle w:val="34"/>
        <w:tabs>
          <w:tab w:val="left" w:pos="1331"/>
        </w:tabs>
        <w:spacing w:line="440" w:lineRule="exact"/>
        <w:ind w:left="420" w:leftChars="200" w:firstLine="0"/>
        <w:jc w:val="left"/>
        <w:rPr>
          <w:szCs w:val="21"/>
        </w:rPr>
      </w:pPr>
      <w:r>
        <w:rPr>
          <w:rFonts w:hint="eastAsia"/>
          <w:szCs w:val="21"/>
        </w:rPr>
        <w:t>（</w:t>
      </w:r>
      <w:r>
        <w:rPr>
          <w:rFonts w:hint="eastAsia"/>
          <w:szCs w:val="21"/>
          <w:lang w:val="en-US"/>
        </w:rPr>
        <w:t>2</w:t>
      </w:r>
      <w:r>
        <w:rPr>
          <w:rFonts w:hint="eastAsia"/>
          <w:szCs w:val="21"/>
        </w:rPr>
        <w:t>）与</w:t>
      </w:r>
      <w:r>
        <w:rPr>
          <w:rFonts w:hint="eastAsia"/>
          <w:szCs w:val="21"/>
          <w:lang w:eastAsia="zh-CN"/>
        </w:rPr>
        <w:t>交易响应单位</w:t>
      </w:r>
      <w:r>
        <w:rPr>
          <w:rFonts w:hint="eastAsia"/>
          <w:szCs w:val="21"/>
        </w:rPr>
        <w:t>法定代表人或其委托代理人有近亲属关系；</w:t>
      </w:r>
    </w:p>
    <w:p>
      <w:pPr>
        <w:pStyle w:val="34"/>
        <w:tabs>
          <w:tab w:val="left" w:pos="1331"/>
        </w:tabs>
        <w:spacing w:line="440" w:lineRule="exact"/>
        <w:ind w:left="420" w:leftChars="200" w:firstLine="0"/>
        <w:jc w:val="left"/>
        <w:rPr>
          <w:szCs w:val="21"/>
        </w:rPr>
      </w:pPr>
      <w:r>
        <w:rPr>
          <w:rFonts w:hint="eastAsia"/>
          <w:szCs w:val="21"/>
        </w:rPr>
        <w:t>（</w:t>
      </w:r>
      <w:r>
        <w:rPr>
          <w:rFonts w:hint="eastAsia"/>
          <w:szCs w:val="21"/>
          <w:lang w:val="en-US"/>
        </w:rPr>
        <w:t>3</w:t>
      </w:r>
      <w:r>
        <w:rPr>
          <w:rFonts w:hint="eastAsia"/>
          <w:szCs w:val="21"/>
        </w:rPr>
        <w:t>）为</w:t>
      </w:r>
      <w:r>
        <w:rPr>
          <w:rFonts w:hint="eastAsia"/>
          <w:szCs w:val="21"/>
          <w:lang w:eastAsia="zh-CN"/>
        </w:rPr>
        <w:t>交易响应单位</w:t>
      </w:r>
      <w:r>
        <w:rPr>
          <w:rFonts w:hint="eastAsia"/>
          <w:szCs w:val="21"/>
        </w:rPr>
        <w:t>的工作人员或退休人员；</w:t>
      </w:r>
    </w:p>
    <w:p>
      <w:pPr>
        <w:pStyle w:val="34"/>
        <w:tabs>
          <w:tab w:val="left" w:pos="1331"/>
        </w:tabs>
        <w:spacing w:line="440" w:lineRule="exact"/>
        <w:ind w:left="420" w:leftChars="200" w:firstLine="0"/>
        <w:jc w:val="left"/>
        <w:rPr>
          <w:szCs w:val="21"/>
        </w:rPr>
      </w:pPr>
      <w:r>
        <w:rPr>
          <w:rFonts w:hint="eastAsia"/>
          <w:szCs w:val="21"/>
        </w:rPr>
        <w:t>（</w:t>
      </w:r>
      <w:r>
        <w:rPr>
          <w:rFonts w:hint="eastAsia"/>
          <w:szCs w:val="21"/>
          <w:lang w:val="en-US"/>
        </w:rPr>
        <w:t>4</w:t>
      </w:r>
      <w:r>
        <w:rPr>
          <w:rFonts w:hint="eastAsia"/>
          <w:szCs w:val="21"/>
        </w:rPr>
        <w:t>）与</w:t>
      </w:r>
      <w:r>
        <w:rPr>
          <w:rFonts w:hint="eastAsia"/>
          <w:szCs w:val="21"/>
          <w:lang w:eastAsia="zh-CN"/>
        </w:rPr>
        <w:t>交易响应单位</w:t>
      </w:r>
      <w:r>
        <w:rPr>
          <w:rFonts w:hint="eastAsia"/>
          <w:szCs w:val="21"/>
        </w:rPr>
        <w:t>有其他利害关系，可能影响评标活动公正性；</w:t>
      </w:r>
    </w:p>
    <w:p>
      <w:pPr>
        <w:pStyle w:val="34"/>
        <w:tabs>
          <w:tab w:val="left" w:pos="1331"/>
        </w:tabs>
        <w:spacing w:line="440" w:lineRule="exact"/>
        <w:ind w:left="420" w:leftChars="200" w:firstLine="0"/>
        <w:jc w:val="left"/>
        <w:rPr>
          <w:spacing w:val="-6"/>
          <w:szCs w:val="21"/>
        </w:rPr>
      </w:pPr>
      <w:r>
        <w:rPr>
          <w:rFonts w:hint="eastAsia"/>
          <w:spacing w:val="-6"/>
          <w:szCs w:val="21"/>
        </w:rPr>
        <w:t>（</w:t>
      </w:r>
      <w:r>
        <w:rPr>
          <w:rFonts w:hint="eastAsia"/>
          <w:spacing w:val="-6"/>
          <w:szCs w:val="21"/>
          <w:lang w:val="en-US"/>
        </w:rPr>
        <w:t>5</w:t>
      </w:r>
      <w:r>
        <w:rPr>
          <w:rFonts w:hint="eastAsia"/>
          <w:spacing w:val="-6"/>
          <w:szCs w:val="21"/>
        </w:rPr>
        <w:t>）在与招标投标有关的活动中有过违法违规行为、曾受过行政处罚或刑事处罚</w:t>
      </w:r>
    </w:p>
    <w:p>
      <w:pPr>
        <w:pStyle w:val="34"/>
        <w:tabs>
          <w:tab w:val="left" w:pos="1450"/>
        </w:tabs>
        <w:spacing w:line="440" w:lineRule="exact"/>
        <w:ind w:left="0" w:firstLine="416" w:firstLineChars="200"/>
        <w:jc w:val="left"/>
        <w:rPr>
          <w:szCs w:val="21"/>
        </w:rPr>
      </w:pPr>
      <w:r>
        <w:rPr>
          <w:rFonts w:hint="eastAsia"/>
          <w:spacing w:val="-1"/>
          <w:szCs w:val="21"/>
          <w:lang w:val="en-US"/>
        </w:rPr>
        <w:t>6.1.2</w:t>
      </w:r>
      <w:r>
        <w:rPr>
          <w:rFonts w:hint="eastAsia"/>
          <w:spacing w:val="-1"/>
          <w:szCs w:val="21"/>
        </w:rPr>
        <w:t>评标过程中，评标委员会成员有回避事由、擅离职守或因健康等原因不能</w:t>
      </w:r>
      <w:r>
        <w:rPr>
          <w:rFonts w:hint="eastAsia"/>
          <w:spacing w:val="-10"/>
          <w:szCs w:val="21"/>
        </w:rPr>
        <w:t>继续评标的，招标人有权更换。被更换的评标委员会成员作出的评审结论无效，由更</w:t>
      </w:r>
      <w:r>
        <w:rPr>
          <w:rFonts w:hint="eastAsia"/>
          <w:szCs w:val="21"/>
        </w:rPr>
        <w:t>换后的评标委员会成员重新进行评审。</w:t>
      </w:r>
    </w:p>
    <w:p>
      <w:pPr>
        <w:pStyle w:val="34"/>
        <w:tabs>
          <w:tab w:val="left" w:pos="790"/>
        </w:tabs>
        <w:spacing w:line="440" w:lineRule="exact"/>
        <w:ind w:left="0" w:firstLine="422" w:firstLineChars="200"/>
        <w:jc w:val="left"/>
        <w:rPr>
          <w:szCs w:val="21"/>
        </w:rPr>
      </w:pPr>
      <w:bookmarkStart w:id="99" w:name="_bookmark68"/>
      <w:bookmarkEnd w:id="99"/>
      <w:r>
        <w:rPr>
          <w:rFonts w:hint="eastAsia"/>
          <w:b/>
          <w:szCs w:val="21"/>
          <w:lang w:val="en-US" w:bidi="ar-SA"/>
        </w:rPr>
        <w:t>6.2评标原则</w:t>
      </w:r>
    </w:p>
    <w:p>
      <w:pPr>
        <w:pStyle w:val="34"/>
        <w:tabs>
          <w:tab w:val="left" w:pos="790"/>
        </w:tabs>
        <w:spacing w:line="440" w:lineRule="exact"/>
        <w:ind w:left="0" w:firstLine="422" w:firstLineChars="200"/>
        <w:jc w:val="left"/>
        <w:rPr>
          <w:szCs w:val="21"/>
        </w:rPr>
      </w:pPr>
      <w:bookmarkStart w:id="100" w:name="_bookmark69"/>
      <w:bookmarkEnd w:id="100"/>
      <w:r>
        <w:rPr>
          <w:rFonts w:hint="eastAsia"/>
          <w:b/>
          <w:szCs w:val="21"/>
          <w:lang w:val="en-US" w:bidi="ar-SA"/>
        </w:rPr>
        <w:t>6.3评标</w:t>
      </w:r>
    </w:p>
    <w:p>
      <w:pPr>
        <w:pStyle w:val="34"/>
        <w:tabs>
          <w:tab w:val="left" w:pos="1452"/>
        </w:tabs>
        <w:spacing w:line="440" w:lineRule="exact"/>
        <w:ind w:left="0" w:firstLine="420" w:firstLineChars="200"/>
        <w:jc w:val="left"/>
        <w:rPr>
          <w:szCs w:val="21"/>
        </w:rPr>
      </w:pPr>
      <w:r>
        <w:rPr>
          <w:rFonts w:hint="eastAsia"/>
          <w:szCs w:val="21"/>
          <w:lang w:val="en-US"/>
        </w:rPr>
        <w:t>6.3.1</w:t>
      </w:r>
      <w:r>
        <w:rPr>
          <w:rFonts w:hint="eastAsia"/>
          <w:szCs w:val="21"/>
        </w:rPr>
        <w:t>评标委员会按照第三章“评标办法”</w:t>
      </w:r>
      <w:r>
        <w:rPr>
          <w:rFonts w:hint="eastAsia"/>
          <w:spacing w:val="-1"/>
          <w:szCs w:val="21"/>
        </w:rPr>
        <w:t>规定的方法、评审因素、标准和程序对</w:t>
      </w:r>
      <w:r>
        <w:rPr>
          <w:rFonts w:hint="eastAsia"/>
          <w:spacing w:val="-3"/>
          <w:szCs w:val="21"/>
          <w:lang w:eastAsia="zh-CN"/>
        </w:rPr>
        <w:t>交易响应文件</w:t>
      </w:r>
      <w:r>
        <w:rPr>
          <w:rFonts w:hint="eastAsia"/>
          <w:spacing w:val="-3"/>
          <w:szCs w:val="21"/>
        </w:rPr>
        <w:t>进行评审。第三章</w:t>
      </w:r>
      <w:r>
        <w:rPr>
          <w:rFonts w:hint="eastAsia"/>
          <w:szCs w:val="21"/>
        </w:rPr>
        <w:t>“评标办法”</w:t>
      </w:r>
      <w:r>
        <w:rPr>
          <w:rFonts w:hint="eastAsia"/>
          <w:spacing w:val="-6"/>
          <w:szCs w:val="21"/>
        </w:rPr>
        <w:t>没有规定的方法、评审因素和标准，不作为评</w:t>
      </w:r>
      <w:r>
        <w:rPr>
          <w:rFonts w:hint="eastAsia"/>
          <w:szCs w:val="21"/>
        </w:rPr>
        <w:t>标依据。</w:t>
      </w:r>
    </w:p>
    <w:p>
      <w:pPr>
        <w:spacing w:line="440" w:lineRule="exact"/>
        <w:ind w:firstLine="376" w:firstLineChars="200"/>
        <w:jc w:val="left"/>
        <w:rPr>
          <w:rFonts w:ascii="宋体" w:hAnsi="宋体" w:cs="宋体"/>
          <w:szCs w:val="21"/>
        </w:rPr>
      </w:pPr>
      <w:r>
        <w:rPr>
          <w:rFonts w:hint="eastAsia" w:ascii="宋体" w:hAnsi="宋体" w:cs="宋体"/>
          <w:spacing w:val="-11"/>
          <w:szCs w:val="21"/>
        </w:rPr>
        <w:t>6.3.2评标完成后，评标委员会应向招标人提交书面评标报告和中标候选人名单。</w:t>
      </w:r>
      <w:r>
        <w:rPr>
          <w:rFonts w:hint="eastAsia" w:ascii="宋体" w:hAnsi="宋体" w:cs="宋体"/>
          <w:szCs w:val="21"/>
        </w:rPr>
        <w:t>评标委员会推荐中标候选人的人数见</w:t>
      </w:r>
      <w:r>
        <w:rPr>
          <w:rFonts w:hint="eastAsia" w:ascii="宋体" w:hAnsi="宋体" w:cs="宋体"/>
          <w:szCs w:val="21"/>
          <w:lang w:eastAsia="zh-CN"/>
        </w:rPr>
        <w:t>交易须知</w:t>
      </w:r>
      <w:r>
        <w:rPr>
          <w:rFonts w:hint="eastAsia" w:ascii="宋体" w:hAnsi="宋体" w:cs="宋体"/>
          <w:szCs w:val="21"/>
        </w:rPr>
        <w:t>前附表。</w:t>
      </w:r>
    </w:p>
    <w:p>
      <w:pPr>
        <w:pStyle w:val="4"/>
        <w:spacing w:line="440" w:lineRule="exact"/>
        <w:ind w:firstLine="422" w:firstLineChars="200"/>
        <w:jc w:val="left"/>
        <w:rPr>
          <w:rFonts w:ascii="宋体" w:hAnsi="宋体" w:cs="宋体"/>
          <w:sz w:val="21"/>
          <w:szCs w:val="21"/>
        </w:rPr>
      </w:pPr>
      <w:bookmarkStart w:id="101" w:name="_Toc3073"/>
      <w:bookmarkStart w:id="102" w:name="_Toc369608035"/>
      <w:bookmarkStart w:id="103" w:name="_Toc432367737"/>
      <w:r>
        <w:rPr>
          <w:rFonts w:hint="eastAsia" w:ascii="宋体" w:hAnsi="宋体" w:cs="宋体"/>
          <w:sz w:val="21"/>
          <w:szCs w:val="21"/>
        </w:rPr>
        <w:t>7. 合同授予</w:t>
      </w:r>
      <w:bookmarkEnd w:id="101"/>
      <w:bookmarkEnd w:id="102"/>
      <w:bookmarkEnd w:id="103"/>
    </w:p>
    <w:p>
      <w:pPr>
        <w:pStyle w:val="4"/>
        <w:spacing w:line="440" w:lineRule="exact"/>
        <w:ind w:firstLine="422" w:firstLineChars="200"/>
        <w:jc w:val="left"/>
        <w:rPr>
          <w:rFonts w:ascii="宋体" w:hAnsi="宋体" w:cs="宋体"/>
          <w:sz w:val="21"/>
          <w:szCs w:val="21"/>
        </w:rPr>
      </w:pPr>
      <w:bookmarkStart w:id="104" w:name="_bookmark71"/>
      <w:bookmarkEnd w:id="104"/>
      <w:r>
        <w:rPr>
          <w:rFonts w:hint="eastAsia" w:ascii="宋体" w:hAnsi="宋体" w:cs="宋体"/>
          <w:sz w:val="21"/>
          <w:szCs w:val="21"/>
        </w:rPr>
        <w:t>7.1中标候选人公示</w:t>
      </w:r>
    </w:p>
    <w:p>
      <w:pPr>
        <w:pStyle w:val="10"/>
        <w:spacing w:line="440" w:lineRule="exact"/>
        <w:ind w:firstLine="420" w:firstLineChars="200"/>
        <w:jc w:val="left"/>
        <w:rPr>
          <w:rFonts w:ascii="宋体" w:hAnsi="宋体" w:cs="宋体"/>
          <w:szCs w:val="21"/>
        </w:rPr>
      </w:pPr>
      <w:r>
        <w:rPr>
          <w:rFonts w:hint="eastAsia" w:ascii="宋体" w:hAnsi="宋体" w:cs="宋体"/>
          <w:szCs w:val="21"/>
        </w:rPr>
        <w:t>招标人在收到评标报告之日起 3 日内，按照</w:t>
      </w:r>
      <w:r>
        <w:rPr>
          <w:rFonts w:hint="eastAsia" w:ascii="宋体" w:hAnsi="宋体" w:cs="宋体"/>
          <w:szCs w:val="21"/>
          <w:lang w:eastAsia="zh-CN"/>
        </w:rPr>
        <w:t>交易须知</w:t>
      </w:r>
      <w:r>
        <w:rPr>
          <w:rFonts w:hint="eastAsia" w:ascii="宋体" w:hAnsi="宋体" w:cs="宋体"/>
          <w:szCs w:val="21"/>
        </w:rPr>
        <w:t>前附表规定的公示媒介和</w:t>
      </w:r>
    </w:p>
    <w:p>
      <w:pPr>
        <w:pStyle w:val="10"/>
        <w:spacing w:line="440" w:lineRule="exact"/>
        <w:ind w:firstLine="420" w:firstLineChars="200"/>
        <w:jc w:val="left"/>
        <w:rPr>
          <w:rFonts w:ascii="宋体" w:hAnsi="宋体" w:cs="宋体"/>
          <w:szCs w:val="21"/>
        </w:rPr>
      </w:pPr>
      <w:r>
        <w:rPr>
          <w:rFonts w:hint="eastAsia" w:ascii="宋体" w:hAnsi="宋体" w:cs="宋体"/>
          <w:szCs w:val="21"/>
        </w:rPr>
        <w:t>期限公示中标候选人，公示期不得少于 3 日，公示内容包括：</w:t>
      </w:r>
    </w:p>
    <w:p>
      <w:pPr>
        <w:pStyle w:val="34"/>
        <w:tabs>
          <w:tab w:val="left" w:pos="1331"/>
        </w:tabs>
        <w:spacing w:line="440" w:lineRule="exact"/>
        <w:ind w:left="420" w:leftChars="200" w:firstLine="0"/>
        <w:jc w:val="left"/>
        <w:rPr>
          <w:szCs w:val="21"/>
        </w:rPr>
      </w:pPr>
      <w:r>
        <w:rPr>
          <w:rFonts w:hint="eastAsia"/>
          <w:spacing w:val="-8"/>
          <w:szCs w:val="21"/>
        </w:rPr>
        <w:t>（</w:t>
      </w:r>
      <w:r>
        <w:rPr>
          <w:rFonts w:hint="eastAsia"/>
          <w:spacing w:val="-8"/>
          <w:szCs w:val="21"/>
          <w:lang w:val="en-US"/>
        </w:rPr>
        <w:t>1</w:t>
      </w:r>
      <w:r>
        <w:rPr>
          <w:rFonts w:hint="eastAsia"/>
          <w:spacing w:val="-8"/>
          <w:szCs w:val="21"/>
        </w:rPr>
        <w:t>）中标候选人排序、名称、投标报价，对工程质量要求、安全目标和工期的响</w:t>
      </w:r>
      <w:r>
        <w:rPr>
          <w:rFonts w:hint="eastAsia"/>
          <w:szCs w:val="21"/>
        </w:rPr>
        <w:t>应情况；</w:t>
      </w:r>
    </w:p>
    <w:p>
      <w:pPr>
        <w:pStyle w:val="34"/>
        <w:tabs>
          <w:tab w:val="left" w:pos="1331"/>
        </w:tabs>
        <w:spacing w:line="440" w:lineRule="exact"/>
        <w:ind w:left="420" w:leftChars="200" w:firstLine="0"/>
        <w:jc w:val="left"/>
        <w:rPr>
          <w:szCs w:val="21"/>
        </w:rPr>
      </w:pPr>
      <w:r>
        <w:rPr>
          <w:rFonts w:hint="eastAsia"/>
          <w:spacing w:val="-3"/>
          <w:szCs w:val="21"/>
        </w:rPr>
        <w:t>（</w:t>
      </w:r>
      <w:r>
        <w:rPr>
          <w:rFonts w:hint="eastAsia"/>
          <w:spacing w:val="-3"/>
          <w:szCs w:val="21"/>
          <w:lang w:val="en-US"/>
        </w:rPr>
        <w:t>2</w:t>
      </w:r>
      <w:r>
        <w:rPr>
          <w:rFonts w:hint="eastAsia"/>
          <w:spacing w:val="-3"/>
          <w:szCs w:val="21"/>
        </w:rPr>
        <w:t>）中标候选人在</w:t>
      </w:r>
      <w:r>
        <w:rPr>
          <w:rFonts w:hint="eastAsia"/>
          <w:spacing w:val="-3"/>
          <w:szCs w:val="21"/>
          <w:lang w:eastAsia="zh-CN"/>
        </w:rPr>
        <w:t>交易响应文件</w:t>
      </w:r>
      <w:r>
        <w:rPr>
          <w:rFonts w:hint="eastAsia"/>
          <w:spacing w:val="-3"/>
          <w:szCs w:val="21"/>
        </w:rPr>
        <w:t>中承诺的项目经理和</w:t>
      </w:r>
      <w:r>
        <w:rPr>
          <w:rFonts w:hint="eastAsia"/>
          <w:spacing w:val="-3"/>
          <w:szCs w:val="21"/>
          <w:lang w:eastAsia="zh-CN"/>
        </w:rPr>
        <w:t>项目总工程师</w:t>
      </w:r>
      <w:r>
        <w:rPr>
          <w:rFonts w:hint="eastAsia"/>
          <w:spacing w:val="-3"/>
          <w:szCs w:val="21"/>
        </w:rPr>
        <w:t>姓名、个人业绩、相</w:t>
      </w:r>
      <w:r>
        <w:rPr>
          <w:rFonts w:hint="eastAsia"/>
          <w:spacing w:val="-4"/>
          <w:szCs w:val="21"/>
        </w:rPr>
        <w:t>关证书名称和编号；</w:t>
      </w:r>
    </w:p>
    <w:p>
      <w:pPr>
        <w:pStyle w:val="34"/>
        <w:tabs>
          <w:tab w:val="left" w:pos="1331"/>
        </w:tabs>
        <w:spacing w:line="440" w:lineRule="exact"/>
        <w:ind w:left="420" w:leftChars="200" w:firstLine="0"/>
        <w:jc w:val="left"/>
        <w:rPr>
          <w:szCs w:val="21"/>
        </w:rPr>
      </w:pPr>
      <w:r>
        <w:rPr>
          <w:rFonts w:hint="eastAsia"/>
          <w:szCs w:val="21"/>
        </w:rPr>
        <w:t>（</w:t>
      </w:r>
      <w:r>
        <w:rPr>
          <w:rFonts w:hint="eastAsia"/>
          <w:szCs w:val="21"/>
          <w:lang w:val="en-US"/>
        </w:rPr>
        <w:t>3</w:t>
      </w:r>
      <w:r>
        <w:rPr>
          <w:rFonts w:hint="eastAsia"/>
          <w:szCs w:val="21"/>
        </w:rPr>
        <w:t>）中标候选人在</w:t>
      </w:r>
      <w:r>
        <w:rPr>
          <w:rFonts w:hint="eastAsia"/>
          <w:szCs w:val="21"/>
          <w:lang w:eastAsia="zh-CN"/>
        </w:rPr>
        <w:t>交易响应文件</w:t>
      </w:r>
      <w:r>
        <w:rPr>
          <w:rFonts w:hint="eastAsia"/>
          <w:szCs w:val="21"/>
        </w:rPr>
        <w:t>中填报的项目业绩；</w:t>
      </w:r>
    </w:p>
    <w:p>
      <w:pPr>
        <w:pStyle w:val="34"/>
        <w:tabs>
          <w:tab w:val="left" w:pos="1331"/>
        </w:tabs>
        <w:spacing w:line="440" w:lineRule="exact"/>
        <w:ind w:left="420" w:leftChars="200" w:firstLine="0"/>
        <w:jc w:val="left"/>
        <w:rPr>
          <w:szCs w:val="21"/>
        </w:rPr>
      </w:pPr>
      <w:r>
        <w:rPr>
          <w:rFonts w:hint="eastAsia"/>
          <w:szCs w:val="21"/>
        </w:rPr>
        <w:t>（</w:t>
      </w:r>
      <w:r>
        <w:rPr>
          <w:rFonts w:hint="eastAsia"/>
          <w:szCs w:val="21"/>
          <w:lang w:val="en-US"/>
        </w:rPr>
        <w:t>4</w:t>
      </w:r>
      <w:r>
        <w:rPr>
          <w:rFonts w:hint="eastAsia"/>
          <w:szCs w:val="21"/>
        </w:rPr>
        <w:t>）被否决投标的</w:t>
      </w:r>
      <w:r>
        <w:rPr>
          <w:rFonts w:hint="eastAsia"/>
          <w:szCs w:val="21"/>
          <w:lang w:eastAsia="zh-CN"/>
        </w:rPr>
        <w:t>交易响应单位</w:t>
      </w:r>
      <w:r>
        <w:rPr>
          <w:rFonts w:hint="eastAsia"/>
          <w:szCs w:val="21"/>
        </w:rPr>
        <w:t>名称、否决依据和原因；</w:t>
      </w:r>
    </w:p>
    <w:p>
      <w:pPr>
        <w:pStyle w:val="34"/>
        <w:tabs>
          <w:tab w:val="left" w:pos="1331"/>
        </w:tabs>
        <w:spacing w:line="440" w:lineRule="exact"/>
        <w:ind w:left="420" w:leftChars="200" w:firstLine="0"/>
        <w:jc w:val="left"/>
        <w:rPr>
          <w:szCs w:val="21"/>
        </w:rPr>
      </w:pPr>
      <w:r>
        <w:rPr>
          <w:rFonts w:hint="eastAsia"/>
          <w:szCs w:val="21"/>
        </w:rPr>
        <w:t>（</w:t>
      </w:r>
      <w:r>
        <w:rPr>
          <w:rFonts w:hint="eastAsia"/>
          <w:szCs w:val="21"/>
          <w:lang w:val="en-US"/>
        </w:rPr>
        <w:t>5</w:t>
      </w:r>
      <w:r>
        <w:rPr>
          <w:rFonts w:hint="eastAsia"/>
          <w:szCs w:val="21"/>
        </w:rPr>
        <w:t>）提出异议的渠道和方式；</w:t>
      </w:r>
    </w:p>
    <w:p>
      <w:pPr>
        <w:pStyle w:val="34"/>
        <w:tabs>
          <w:tab w:val="left" w:pos="1331"/>
        </w:tabs>
        <w:spacing w:line="440" w:lineRule="exact"/>
        <w:ind w:left="420" w:leftChars="200" w:firstLine="0"/>
        <w:jc w:val="left"/>
        <w:rPr>
          <w:szCs w:val="21"/>
        </w:rPr>
      </w:pPr>
      <w:r>
        <w:rPr>
          <w:rFonts w:hint="eastAsia"/>
          <w:szCs w:val="21"/>
        </w:rPr>
        <w:t>（</w:t>
      </w:r>
      <w:r>
        <w:rPr>
          <w:rFonts w:hint="eastAsia"/>
          <w:szCs w:val="21"/>
          <w:lang w:val="en-US"/>
        </w:rPr>
        <w:t>6</w:t>
      </w:r>
      <w:r>
        <w:rPr>
          <w:rFonts w:hint="eastAsia"/>
          <w:szCs w:val="21"/>
        </w:rPr>
        <w:t>）</w:t>
      </w:r>
      <w:r>
        <w:rPr>
          <w:rFonts w:hint="eastAsia"/>
          <w:szCs w:val="21"/>
          <w:lang w:eastAsia="zh-CN"/>
        </w:rPr>
        <w:t>交易须知</w:t>
      </w:r>
      <w:r>
        <w:rPr>
          <w:rFonts w:hint="eastAsia"/>
          <w:szCs w:val="21"/>
        </w:rPr>
        <w:t>前附表规定公示的其他内容。</w:t>
      </w:r>
    </w:p>
    <w:p>
      <w:pPr>
        <w:pStyle w:val="4"/>
        <w:spacing w:line="440" w:lineRule="exact"/>
        <w:ind w:firstLine="422" w:firstLineChars="200"/>
        <w:jc w:val="left"/>
        <w:rPr>
          <w:rFonts w:ascii="宋体" w:hAnsi="宋体" w:cs="宋体"/>
          <w:sz w:val="21"/>
          <w:szCs w:val="21"/>
        </w:rPr>
      </w:pPr>
      <w:bookmarkStart w:id="105" w:name="_bookmark72"/>
      <w:bookmarkEnd w:id="105"/>
      <w:r>
        <w:rPr>
          <w:rFonts w:hint="eastAsia" w:ascii="宋体" w:hAnsi="宋体" w:cs="宋体"/>
          <w:sz w:val="21"/>
          <w:szCs w:val="21"/>
        </w:rPr>
        <w:t>7.2评标结果异议</w:t>
      </w:r>
    </w:p>
    <w:p>
      <w:pPr>
        <w:pStyle w:val="10"/>
        <w:spacing w:line="440" w:lineRule="exact"/>
        <w:ind w:firstLine="408" w:firstLineChars="200"/>
        <w:jc w:val="left"/>
        <w:rPr>
          <w:rFonts w:ascii="宋体" w:hAnsi="宋体" w:cs="宋体"/>
          <w:szCs w:val="21"/>
        </w:rPr>
      </w:pPr>
      <w:r>
        <w:rPr>
          <w:rFonts w:hint="eastAsia" w:ascii="宋体" w:hAnsi="宋体" w:cs="宋体"/>
          <w:spacing w:val="-3"/>
          <w:szCs w:val="21"/>
          <w:lang w:eastAsia="zh-CN"/>
        </w:rPr>
        <w:t>交易响应单位</w:t>
      </w:r>
      <w:r>
        <w:rPr>
          <w:rFonts w:hint="eastAsia" w:ascii="宋体" w:hAnsi="宋体" w:cs="宋体"/>
          <w:spacing w:val="-3"/>
          <w:szCs w:val="21"/>
        </w:rPr>
        <w:t>或其他利害关系人对依法必须进行招标的项目的评标结果有异议的，应在</w:t>
      </w:r>
      <w:r>
        <w:rPr>
          <w:rFonts w:hint="eastAsia" w:ascii="宋体" w:hAnsi="宋体" w:cs="宋体"/>
          <w:spacing w:val="-14"/>
          <w:szCs w:val="21"/>
        </w:rPr>
        <w:t xml:space="preserve">中标候选人公示期间提出。招标人将在收到异议之日起 </w:t>
      </w:r>
      <w:r>
        <w:rPr>
          <w:rFonts w:hint="eastAsia" w:ascii="宋体" w:hAnsi="宋体" w:cs="宋体"/>
          <w:szCs w:val="21"/>
        </w:rPr>
        <w:t xml:space="preserve">3 </w:t>
      </w:r>
      <w:r>
        <w:rPr>
          <w:rFonts w:hint="eastAsia" w:ascii="宋体" w:hAnsi="宋体" w:cs="宋体"/>
          <w:spacing w:val="-12"/>
          <w:szCs w:val="21"/>
        </w:rPr>
        <w:t xml:space="preserve">日内作出答复；作出答复前， </w:t>
      </w:r>
      <w:r>
        <w:rPr>
          <w:rFonts w:hint="eastAsia" w:ascii="宋体" w:hAnsi="宋体" w:cs="宋体"/>
          <w:szCs w:val="21"/>
        </w:rPr>
        <w:t>将暂停招标投标活动。</w:t>
      </w:r>
    </w:p>
    <w:p>
      <w:pPr>
        <w:pStyle w:val="4"/>
        <w:spacing w:line="440" w:lineRule="exact"/>
        <w:ind w:firstLine="422" w:firstLineChars="200"/>
        <w:jc w:val="left"/>
        <w:rPr>
          <w:rFonts w:ascii="宋体" w:hAnsi="宋体" w:cs="宋体"/>
          <w:sz w:val="21"/>
          <w:szCs w:val="21"/>
        </w:rPr>
      </w:pPr>
      <w:bookmarkStart w:id="106" w:name="_bookmark73"/>
      <w:bookmarkEnd w:id="106"/>
      <w:r>
        <w:rPr>
          <w:rFonts w:hint="eastAsia" w:ascii="宋体" w:hAnsi="宋体" w:cs="宋体"/>
          <w:sz w:val="21"/>
          <w:szCs w:val="21"/>
        </w:rPr>
        <w:t>7.3中标候选人履约能力审查</w:t>
      </w:r>
    </w:p>
    <w:p>
      <w:pPr>
        <w:pStyle w:val="10"/>
        <w:spacing w:line="440" w:lineRule="exact"/>
        <w:ind w:firstLine="420" w:firstLineChars="200"/>
        <w:jc w:val="left"/>
        <w:rPr>
          <w:rFonts w:ascii="宋体" w:hAnsi="宋体" w:cs="宋体"/>
          <w:szCs w:val="21"/>
        </w:rPr>
      </w:pPr>
      <w:r>
        <w:rPr>
          <w:rFonts w:hint="eastAsia" w:ascii="宋体" w:hAnsi="宋体" w:cs="宋体"/>
          <w:szCs w:val="21"/>
        </w:rPr>
        <w:t>中标候选人的经营、财务状况发生较大变化或存在违法行为，招标人认为可能影</w:t>
      </w:r>
      <w:r>
        <w:rPr>
          <w:rFonts w:hint="eastAsia" w:ascii="宋体" w:hAnsi="宋体" w:cs="宋体"/>
          <w:spacing w:val="-11"/>
          <w:szCs w:val="21"/>
        </w:rPr>
        <w:t>响其履约能力的，将在发出中标通知书前提请原评标委员会按照</w:t>
      </w:r>
      <w:r>
        <w:rPr>
          <w:rFonts w:hint="eastAsia" w:ascii="宋体" w:hAnsi="宋体" w:cs="宋体"/>
          <w:spacing w:val="-11"/>
          <w:szCs w:val="21"/>
          <w:lang w:eastAsia="zh-CN"/>
        </w:rPr>
        <w:t>交易文件</w:t>
      </w:r>
      <w:r>
        <w:rPr>
          <w:rFonts w:hint="eastAsia" w:ascii="宋体" w:hAnsi="宋体" w:cs="宋体"/>
          <w:spacing w:val="-11"/>
          <w:szCs w:val="21"/>
        </w:rPr>
        <w:t>规定的标准</w:t>
      </w:r>
      <w:r>
        <w:rPr>
          <w:rFonts w:hint="eastAsia" w:ascii="宋体" w:hAnsi="宋体" w:cs="宋体"/>
          <w:szCs w:val="21"/>
        </w:rPr>
        <w:t>和方法进行审查确认。</w:t>
      </w:r>
    </w:p>
    <w:p>
      <w:pPr>
        <w:pStyle w:val="4"/>
        <w:spacing w:line="440" w:lineRule="exact"/>
        <w:ind w:firstLine="422" w:firstLineChars="200"/>
        <w:jc w:val="left"/>
        <w:rPr>
          <w:rFonts w:ascii="宋体" w:hAnsi="宋体" w:cs="宋体"/>
          <w:sz w:val="21"/>
          <w:szCs w:val="21"/>
        </w:rPr>
      </w:pPr>
      <w:bookmarkStart w:id="107" w:name="_bookmark74"/>
      <w:bookmarkEnd w:id="107"/>
      <w:r>
        <w:rPr>
          <w:rFonts w:hint="eastAsia" w:ascii="宋体" w:hAnsi="宋体" w:cs="宋体"/>
          <w:sz w:val="21"/>
          <w:szCs w:val="21"/>
        </w:rPr>
        <w:t>7.4定标</w:t>
      </w:r>
    </w:p>
    <w:p>
      <w:pPr>
        <w:pStyle w:val="10"/>
        <w:spacing w:line="440" w:lineRule="exact"/>
        <w:ind w:firstLine="388" w:firstLineChars="200"/>
        <w:jc w:val="left"/>
        <w:rPr>
          <w:rFonts w:ascii="宋体" w:hAnsi="宋体" w:cs="宋体"/>
          <w:szCs w:val="21"/>
        </w:rPr>
      </w:pPr>
      <w:r>
        <w:rPr>
          <w:rFonts w:hint="eastAsia" w:ascii="宋体" w:hAnsi="宋体" w:cs="宋体"/>
          <w:spacing w:val="-8"/>
          <w:szCs w:val="21"/>
        </w:rPr>
        <w:t>按照</w:t>
      </w:r>
      <w:r>
        <w:rPr>
          <w:rFonts w:hint="eastAsia" w:ascii="宋体" w:hAnsi="宋体" w:cs="宋体"/>
          <w:spacing w:val="-8"/>
          <w:szCs w:val="21"/>
          <w:lang w:eastAsia="zh-CN"/>
        </w:rPr>
        <w:t>交易须知</w:t>
      </w:r>
      <w:r>
        <w:rPr>
          <w:rFonts w:hint="eastAsia" w:ascii="宋体" w:hAnsi="宋体" w:cs="宋体"/>
          <w:spacing w:val="-8"/>
          <w:szCs w:val="21"/>
        </w:rPr>
        <w:t>前附表的规定，招标人或招标人授权的评标委员会依法确定中标</w:t>
      </w:r>
      <w:r>
        <w:rPr>
          <w:rFonts w:hint="eastAsia" w:ascii="宋体" w:hAnsi="宋体" w:cs="宋体"/>
          <w:szCs w:val="21"/>
        </w:rPr>
        <w:t>人。</w:t>
      </w:r>
    </w:p>
    <w:p>
      <w:pPr>
        <w:pStyle w:val="4"/>
        <w:spacing w:line="440" w:lineRule="exact"/>
        <w:ind w:firstLine="422" w:firstLineChars="200"/>
        <w:jc w:val="left"/>
        <w:rPr>
          <w:rFonts w:ascii="宋体" w:hAnsi="宋体" w:cs="宋体"/>
          <w:sz w:val="21"/>
          <w:szCs w:val="21"/>
        </w:rPr>
      </w:pPr>
      <w:bookmarkStart w:id="108" w:name="_bookmark75"/>
      <w:bookmarkEnd w:id="108"/>
      <w:r>
        <w:rPr>
          <w:rFonts w:hint="eastAsia" w:ascii="宋体" w:hAnsi="宋体" w:cs="宋体"/>
          <w:sz w:val="21"/>
          <w:szCs w:val="21"/>
        </w:rPr>
        <w:t>7.5中标通知</w:t>
      </w:r>
    </w:p>
    <w:p>
      <w:pPr>
        <w:pStyle w:val="10"/>
        <w:spacing w:line="440" w:lineRule="exact"/>
        <w:ind w:firstLine="372" w:firstLineChars="200"/>
        <w:jc w:val="left"/>
        <w:rPr>
          <w:rFonts w:ascii="宋体" w:hAnsi="宋体" w:cs="宋体"/>
          <w:szCs w:val="21"/>
        </w:rPr>
      </w:pPr>
      <w:r>
        <w:rPr>
          <w:rFonts w:hint="eastAsia" w:ascii="宋体" w:hAnsi="宋体" w:cs="宋体"/>
          <w:spacing w:val="-12"/>
          <w:szCs w:val="21"/>
        </w:rPr>
        <w:t xml:space="preserve">在本章第 </w:t>
      </w:r>
      <w:r>
        <w:rPr>
          <w:rFonts w:hint="eastAsia" w:ascii="宋体" w:hAnsi="宋体" w:cs="宋体"/>
          <w:szCs w:val="21"/>
        </w:rPr>
        <w:t xml:space="preserve">3.3 </w:t>
      </w:r>
      <w:r>
        <w:rPr>
          <w:rFonts w:hint="eastAsia" w:ascii="宋体" w:hAnsi="宋体" w:cs="宋体"/>
          <w:spacing w:val="-4"/>
          <w:szCs w:val="21"/>
        </w:rPr>
        <w:t>款规定的投标有效期内，招标人以</w:t>
      </w:r>
      <w:r>
        <w:rPr>
          <w:rFonts w:hint="eastAsia" w:ascii="宋体" w:hAnsi="宋体" w:cs="宋体"/>
          <w:spacing w:val="-4"/>
          <w:szCs w:val="21"/>
          <w:lang w:eastAsia="zh-CN"/>
        </w:rPr>
        <w:t>交易须知</w:t>
      </w:r>
      <w:r>
        <w:rPr>
          <w:rFonts w:hint="eastAsia" w:ascii="宋体" w:hAnsi="宋体" w:cs="宋体"/>
          <w:spacing w:val="-4"/>
          <w:szCs w:val="21"/>
        </w:rPr>
        <w:t>前附表规定的形式向</w:t>
      </w:r>
      <w:r>
        <w:rPr>
          <w:rFonts w:hint="eastAsia" w:ascii="宋体" w:hAnsi="宋体" w:cs="宋体"/>
          <w:szCs w:val="21"/>
        </w:rPr>
        <w:t>中标人发出中标通知书，同时将中标结果通知未中标的</w:t>
      </w:r>
      <w:r>
        <w:rPr>
          <w:rFonts w:hint="eastAsia" w:ascii="宋体" w:hAnsi="宋体" w:cs="宋体"/>
          <w:szCs w:val="21"/>
          <w:lang w:eastAsia="zh-CN"/>
        </w:rPr>
        <w:t>交易响应单位</w:t>
      </w:r>
      <w:r>
        <w:rPr>
          <w:rFonts w:hint="eastAsia" w:ascii="宋体" w:hAnsi="宋体" w:cs="宋体"/>
          <w:szCs w:val="21"/>
        </w:rPr>
        <w:t>。</w:t>
      </w:r>
    </w:p>
    <w:p>
      <w:pPr>
        <w:pStyle w:val="4"/>
        <w:spacing w:line="440" w:lineRule="exact"/>
        <w:ind w:firstLine="422" w:firstLineChars="200"/>
        <w:jc w:val="left"/>
        <w:rPr>
          <w:rFonts w:ascii="宋体" w:hAnsi="宋体" w:cs="宋体"/>
          <w:sz w:val="21"/>
          <w:szCs w:val="21"/>
        </w:rPr>
      </w:pPr>
      <w:bookmarkStart w:id="109" w:name="_bookmark76"/>
      <w:bookmarkEnd w:id="109"/>
      <w:r>
        <w:rPr>
          <w:rFonts w:hint="eastAsia" w:ascii="宋体" w:hAnsi="宋体" w:cs="宋体"/>
          <w:sz w:val="21"/>
          <w:szCs w:val="21"/>
        </w:rPr>
        <w:t>7.6中标结果公告</w:t>
      </w:r>
    </w:p>
    <w:p>
      <w:pPr>
        <w:pStyle w:val="10"/>
        <w:spacing w:line="440" w:lineRule="exact"/>
        <w:ind w:firstLine="420" w:firstLineChars="200"/>
        <w:jc w:val="left"/>
        <w:rPr>
          <w:rFonts w:ascii="宋体" w:hAnsi="宋体" w:cs="宋体"/>
          <w:szCs w:val="21"/>
        </w:rPr>
      </w:pPr>
      <w:r>
        <w:rPr>
          <w:rFonts w:hint="eastAsia" w:ascii="宋体" w:hAnsi="宋体" w:cs="宋体"/>
          <w:szCs w:val="21"/>
        </w:rPr>
        <w:t>招标人在确定中标人之日起 3 日内，按照</w:t>
      </w:r>
      <w:r>
        <w:rPr>
          <w:rFonts w:hint="eastAsia" w:ascii="宋体" w:hAnsi="宋体" w:cs="宋体"/>
          <w:szCs w:val="21"/>
          <w:lang w:eastAsia="zh-CN"/>
        </w:rPr>
        <w:t>交易须知</w:t>
      </w:r>
      <w:r>
        <w:rPr>
          <w:rFonts w:hint="eastAsia" w:ascii="宋体" w:hAnsi="宋体" w:cs="宋体"/>
          <w:szCs w:val="21"/>
        </w:rPr>
        <w:t>前附表规定的公告媒介和期</w:t>
      </w:r>
    </w:p>
    <w:p>
      <w:pPr>
        <w:pStyle w:val="10"/>
        <w:spacing w:line="440" w:lineRule="exact"/>
        <w:ind w:firstLine="420" w:firstLineChars="200"/>
        <w:jc w:val="left"/>
        <w:rPr>
          <w:rFonts w:ascii="宋体" w:hAnsi="宋体" w:cs="宋体"/>
          <w:szCs w:val="21"/>
        </w:rPr>
      </w:pPr>
      <w:r>
        <w:rPr>
          <w:rFonts w:hint="eastAsia" w:ascii="宋体" w:hAnsi="宋体" w:cs="宋体"/>
          <w:szCs w:val="21"/>
        </w:rPr>
        <w:t>限公告中标结果，公告期不得少于 3 日。公告内容包括中标人名称、中标价。</w:t>
      </w:r>
    </w:p>
    <w:p>
      <w:pPr>
        <w:pStyle w:val="4"/>
        <w:spacing w:line="440" w:lineRule="exact"/>
        <w:ind w:firstLine="422" w:firstLineChars="200"/>
        <w:jc w:val="left"/>
        <w:rPr>
          <w:rFonts w:ascii="宋体" w:hAnsi="宋体" w:cs="宋体"/>
          <w:sz w:val="21"/>
          <w:szCs w:val="21"/>
        </w:rPr>
      </w:pPr>
      <w:bookmarkStart w:id="110" w:name="_bookmark77"/>
      <w:bookmarkEnd w:id="110"/>
      <w:r>
        <w:rPr>
          <w:rFonts w:hint="eastAsia" w:ascii="宋体" w:hAnsi="宋体" w:cs="宋体"/>
          <w:sz w:val="21"/>
          <w:szCs w:val="21"/>
        </w:rPr>
        <w:t>7.7履约保证金</w:t>
      </w:r>
    </w:p>
    <w:p>
      <w:pPr>
        <w:pStyle w:val="34"/>
        <w:tabs>
          <w:tab w:val="left" w:pos="1450"/>
        </w:tabs>
        <w:spacing w:line="440" w:lineRule="exact"/>
        <w:ind w:left="0" w:firstLine="420" w:firstLineChars="200"/>
        <w:jc w:val="left"/>
        <w:rPr>
          <w:szCs w:val="21"/>
        </w:rPr>
      </w:pPr>
      <w:r>
        <w:rPr>
          <w:rFonts w:hint="eastAsia"/>
          <w:szCs w:val="21"/>
          <w:lang w:val="en-US"/>
        </w:rPr>
        <w:t>7.7.1</w:t>
      </w:r>
      <w:r>
        <w:rPr>
          <w:rFonts w:hint="eastAsia"/>
          <w:szCs w:val="21"/>
        </w:rPr>
        <w:t>在签订合同前，中标人应按</w:t>
      </w:r>
      <w:r>
        <w:rPr>
          <w:rFonts w:hint="eastAsia"/>
          <w:szCs w:val="21"/>
          <w:lang w:eastAsia="zh-CN"/>
        </w:rPr>
        <w:t>交易须知</w:t>
      </w:r>
      <w:r>
        <w:rPr>
          <w:rFonts w:hint="eastAsia"/>
          <w:szCs w:val="21"/>
        </w:rPr>
        <w:t>前附表规定的形式、金额和</w:t>
      </w:r>
      <w:r>
        <w:rPr>
          <w:rFonts w:hint="eastAsia"/>
          <w:szCs w:val="21"/>
          <w:lang w:eastAsia="zh-CN"/>
        </w:rPr>
        <w:t>交易文件</w:t>
      </w:r>
      <w:r>
        <w:rPr>
          <w:rFonts w:hint="eastAsia"/>
          <w:spacing w:val="4"/>
          <w:szCs w:val="21"/>
        </w:rPr>
        <w:t>第四章</w:t>
      </w:r>
      <w:r>
        <w:rPr>
          <w:rFonts w:hint="eastAsia"/>
          <w:spacing w:val="3"/>
          <w:szCs w:val="21"/>
        </w:rPr>
        <w:t>“</w:t>
      </w:r>
      <w:r>
        <w:rPr>
          <w:rFonts w:hint="eastAsia"/>
          <w:spacing w:val="4"/>
          <w:szCs w:val="21"/>
        </w:rPr>
        <w:t>合同条款及格式</w:t>
      </w:r>
      <w:r>
        <w:rPr>
          <w:rFonts w:hint="eastAsia"/>
          <w:spacing w:val="3"/>
          <w:szCs w:val="21"/>
        </w:rPr>
        <w:t>”规定的或事先经过招标人书面认可的履约保证金格式向</w:t>
      </w:r>
      <w:r>
        <w:rPr>
          <w:rFonts w:hint="eastAsia"/>
          <w:spacing w:val="-4"/>
          <w:szCs w:val="21"/>
        </w:rPr>
        <w:t>招标人提交履约保证金。除</w:t>
      </w:r>
      <w:r>
        <w:rPr>
          <w:rFonts w:hint="eastAsia"/>
          <w:spacing w:val="-4"/>
          <w:szCs w:val="21"/>
          <w:lang w:eastAsia="zh-CN"/>
        </w:rPr>
        <w:t>交易须知</w:t>
      </w:r>
      <w:r>
        <w:rPr>
          <w:rFonts w:hint="eastAsia"/>
          <w:spacing w:val="-4"/>
          <w:szCs w:val="21"/>
        </w:rPr>
        <w:t>前附表另有规定外，履约保证金为签约合同价</w:t>
      </w:r>
      <w:r>
        <w:rPr>
          <w:rFonts w:hint="eastAsia"/>
          <w:spacing w:val="-33"/>
          <w:szCs w:val="21"/>
        </w:rPr>
        <w:t xml:space="preserve">的 </w:t>
      </w:r>
      <w:r>
        <w:rPr>
          <w:rFonts w:hint="eastAsia"/>
          <w:szCs w:val="21"/>
        </w:rPr>
        <w:t>10%</w:t>
      </w:r>
      <w:r>
        <w:rPr>
          <w:rFonts w:hint="eastAsia"/>
          <w:spacing w:val="-1"/>
          <w:szCs w:val="21"/>
        </w:rPr>
        <w:t>。联合体中标的，其履约保证金以联合体各方或联合体中牵头人的名义提交。</w:t>
      </w:r>
    </w:p>
    <w:p>
      <w:pPr>
        <w:pStyle w:val="10"/>
        <w:spacing w:line="440" w:lineRule="exact"/>
        <w:ind w:firstLine="384" w:firstLineChars="200"/>
        <w:jc w:val="left"/>
        <w:rPr>
          <w:rFonts w:ascii="宋体" w:hAnsi="宋体" w:cs="宋体"/>
          <w:szCs w:val="21"/>
        </w:rPr>
      </w:pPr>
      <w:r>
        <w:rPr>
          <w:rFonts w:hint="eastAsia" w:ascii="宋体" w:hAnsi="宋体" w:cs="宋体"/>
          <w:spacing w:val="-9"/>
          <w:szCs w:val="21"/>
        </w:rPr>
        <w:t>采用银行保函时，应由符合</w:t>
      </w:r>
      <w:r>
        <w:rPr>
          <w:rFonts w:hint="eastAsia" w:ascii="宋体" w:hAnsi="宋体" w:cs="宋体"/>
          <w:spacing w:val="-9"/>
          <w:szCs w:val="21"/>
          <w:lang w:eastAsia="zh-CN"/>
        </w:rPr>
        <w:t>交易须知</w:t>
      </w:r>
      <w:r>
        <w:rPr>
          <w:rFonts w:hint="eastAsia" w:ascii="宋体" w:hAnsi="宋体" w:cs="宋体"/>
          <w:spacing w:val="-9"/>
          <w:szCs w:val="21"/>
        </w:rPr>
        <w:t>前附表规定级别的银行开具，所需的费用</w:t>
      </w:r>
      <w:r>
        <w:rPr>
          <w:rFonts w:hint="eastAsia" w:ascii="宋体" w:hAnsi="宋体" w:cs="宋体"/>
          <w:szCs w:val="21"/>
        </w:rPr>
        <w:t>由中标人承担，中标人应保证银行保函有效。</w:t>
      </w:r>
    </w:p>
    <w:p>
      <w:pPr>
        <w:pStyle w:val="34"/>
        <w:tabs>
          <w:tab w:val="left" w:pos="1450"/>
        </w:tabs>
        <w:spacing w:line="440" w:lineRule="exact"/>
        <w:ind w:left="0" w:firstLine="396" w:firstLineChars="200"/>
        <w:jc w:val="left"/>
        <w:rPr>
          <w:szCs w:val="21"/>
        </w:rPr>
      </w:pPr>
      <w:r>
        <w:rPr>
          <w:rFonts w:hint="eastAsia"/>
          <w:spacing w:val="-6"/>
          <w:szCs w:val="21"/>
          <w:lang w:val="en-US"/>
        </w:rPr>
        <w:t>7.7.2</w:t>
      </w:r>
      <w:r>
        <w:rPr>
          <w:rFonts w:hint="eastAsia"/>
          <w:spacing w:val="-6"/>
          <w:szCs w:val="21"/>
        </w:rPr>
        <w:t xml:space="preserve">中标人不能按本章第 </w:t>
      </w:r>
      <w:r>
        <w:rPr>
          <w:rFonts w:hint="eastAsia"/>
          <w:szCs w:val="21"/>
        </w:rPr>
        <w:t xml:space="preserve">7.7.1 </w:t>
      </w:r>
      <w:r>
        <w:rPr>
          <w:rFonts w:hint="eastAsia"/>
          <w:spacing w:val="-8"/>
          <w:szCs w:val="21"/>
        </w:rPr>
        <w:t>项要求提交履约保证金的，视为放弃中标，其</w:t>
      </w:r>
      <w:r>
        <w:rPr>
          <w:rFonts w:hint="eastAsia"/>
          <w:spacing w:val="-8"/>
          <w:szCs w:val="21"/>
          <w:lang w:eastAsia="zh-CN"/>
        </w:rPr>
        <w:t>交易保证金</w:t>
      </w:r>
      <w:r>
        <w:rPr>
          <w:rFonts w:hint="eastAsia"/>
          <w:spacing w:val="-9"/>
          <w:szCs w:val="21"/>
        </w:rPr>
        <w:t>不予退还，给招标人造成的损失超过</w:t>
      </w:r>
      <w:r>
        <w:rPr>
          <w:rFonts w:hint="eastAsia"/>
          <w:spacing w:val="-9"/>
          <w:szCs w:val="21"/>
          <w:lang w:eastAsia="zh-CN"/>
        </w:rPr>
        <w:t>交易保证金</w:t>
      </w:r>
      <w:r>
        <w:rPr>
          <w:rFonts w:hint="eastAsia"/>
          <w:spacing w:val="-9"/>
          <w:szCs w:val="21"/>
        </w:rPr>
        <w:t>数额的，中标人还应对超过</w:t>
      </w:r>
      <w:r>
        <w:rPr>
          <w:rFonts w:hint="eastAsia"/>
          <w:szCs w:val="21"/>
        </w:rPr>
        <w:t>部分予以赔偿。</w:t>
      </w:r>
    </w:p>
    <w:p>
      <w:pPr>
        <w:pStyle w:val="4"/>
        <w:spacing w:line="440" w:lineRule="exact"/>
        <w:ind w:firstLine="422" w:firstLineChars="200"/>
        <w:jc w:val="left"/>
        <w:rPr>
          <w:rFonts w:ascii="宋体" w:hAnsi="宋体" w:cs="宋体"/>
          <w:sz w:val="21"/>
          <w:szCs w:val="21"/>
        </w:rPr>
      </w:pPr>
      <w:bookmarkStart w:id="111" w:name="_bookmark78"/>
      <w:bookmarkEnd w:id="111"/>
      <w:r>
        <w:rPr>
          <w:rFonts w:hint="eastAsia" w:ascii="宋体" w:hAnsi="宋体" w:cs="宋体"/>
          <w:sz w:val="21"/>
          <w:szCs w:val="21"/>
        </w:rPr>
        <w:t>7.8签订合同</w:t>
      </w:r>
    </w:p>
    <w:p>
      <w:pPr>
        <w:pStyle w:val="10"/>
        <w:spacing w:line="440" w:lineRule="exact"/>
        <w:ind w:firstLine="396" w:firstLineChars="200"/>
        <w:jc w:val="left"/>
        <w:rPr>
          <w:rFonts w:ascii="宋体" w:hAnsi="宋体" w:cs="宋体"/>
          <w:spacing w:val="-6"/>
          <w:szCs w:val="21"/>
        </w:rPr>
      </w:pPr>
      <w:r>
        <w:rPr>
          <w:rFonts w:hint="eastAsia" w:ascii="宋体" w:hAnsi="宋体" w:cs="宋体"/>
          <w:spacing w:val="-6"/>
          <w:szCs w:val="21"/>
        </w:rPr>
        <w:t>7.8.1招标人和中标人应在中标通知书发出之日起 30 日内，根据</w:t>
      </w:r>
      <w:r>
        <w:rPr>
          <w:rFonts w:hint="eastAsia" w:ascii="宋体" w:hAnsi="宋体" w:cs="宋体"/>
          <w:spacing w:val="-6"/>
          <w:szCs w:val="21"/>
          <w:lang w:eastAsia="zh-CN"/>
        </w:rPr>
        <w:t>交易文件</w:t>
      </w:r>
      <w:r>
        <w:rPr>
          <w:rFonts w:hint="eastAsia" w:ascii="宋体" w:hAnsi="宋体" w:cs="宋体"/>
          <w:spacing w:val="-6"/>
          <w:szCs w:val="21"/>
        </w:rPr>
        <w:t>和中标人的</w:t>
      </w:r>
      <w:r>
        <w:rPr>
          <w:rFonts w:hint="eastAsia" w:ascii="宋体" w:hAnsi="宋体" w:cs="宋体"/>
          <w:spacing w:val="-6"/>
          <w:szCs w:val="21"/>
          <w:lang w:eastAsia="zh-CN"/>
        </w:rPr>
        <w:t>交易响应文件</w:t>
      </w:r>
      <w:r>
        <w:rPr>
          <w:rFonts w:hint="eastAsia" w:ascii="宋体" w:hAnsi="宋体" w:cs="宋体"/>
          <w:spacing w:val="-6"/>
          <w:szCs w:val="21"/>
        </w:rPr>
        <w:t>订立书面合同。中标人无正当理由拒签合同，在签订合同时向招标人提出附加条件，或不按照</w:t>
      </w:r>
      <w:r>
        <w:rPr>
          <w:rFonts w:hint="eastAsia" w:ascii="宋体" w:hAnsi="宋体" w:cs="宋体"/>
          <w:spacing w:val="-6"/>
          <w:szCs w:val="21"/>
          <w:lang w:eastAsia="zh-CN"/>
        </w:rPr>
        <w:t>交易文件</w:t>
      </w:r>
      <w:r>
        <w:rPr>
          <w:rFonts w:hint="eastAsia" w:ascii="宋体" w:hAnsi="宋体" w:cs="宋体"/>
          <w:spacing w:val="-6"/>
          <w:szCs w:val="21"/>
        </w:rPr>
        <w:t>要求提交履约保证金的，招标人取消其中标资格，其</w:t>
      </w:r>
      <w:r>
        <w:rPr>
          <w:rFonts w:hint="eastAsia" w:ascii="宋体" w:hAnsi="宋体" w:cs="宋体"/>
          <w:spacing w:val="-6"/>
          <w:szCs w:val="21"/>
          <w:lang w:eastAsia="zh-CN"/>
        </w:rPr>
        <w:t>交易保证金</w:t>
      </w:r>
      <w:r>
        <w:rPr>
          <w:rFonts w:hint="eastAsia" w:ascii="宋体" w:hAnsi="宋体" w:cs="宋体"/>
          <w:spacing w:val="-6"/>
          <w:szCs w:val="21"/>
        </w:rPr>
        <w:t>不予退还；给招标人造成的损失超过</w:t>
      </w:r>
      <w:r>
        <w:rPr>
          <w:rFonts w:hint="eastAsia" w:ascii="宋体" w:hAnsi="宋体" w:cs="宋体"/>
          <w:spacing w:val="-6"/>
          <w:szCs w:val="21"/>
          <w:lang w:eastAsia="zh-CN"/>
        </w:rPr>
        <w:t>交易保证金</w:t>
      </w:r>
      <w:r>
        <w:rPr>
          <w:rFonts w:hint="eastAsia" w:ascii="宋体" w:hAnsi="宋体" w:cs="宋体"/>
          <w:spacing w:val="-6"/>
          <w:szCs w:val="21"/>
        </w:rPr>
        <w:t>数额的，中标人还应对超过部分予以赔偿。</w:t>
      </w:r>
    </w:p>
    <w:p>
      <w:pPr>
        <w:pStyle w:val="10"/>
        <w:spacing w:line="440" w:lineRule="exact"/>
        <w:ind w:firstLine="396" w:firstLineChars="200"/>
        <w:jc w:val="left"/>
        <w:rPr>
          <w:rFonts w:ascii="宋体" w:hAnsi="宋体" w:cs="宋体"/>
          <w:spacing w:val="-6"/>
          <w:szCs w:val="21"/>
        </w:rPr>
      </w:pPr>
      <w:r>
        <w:rPr>
          <w:rFonts w:hint="eastAsia" w:ascii="宋体" w:hAnsi="宋体" w:cs="宋体"/>
          <w:spacing w:val="-6"/>
          <w:szCs w:val="21"/>
        </w:rPr>
        <w:t>7.8.2发出中标通知书后，招标人无正当理由拒签合同，或在签订合同时向中标人提出附加条件的，招标人向中标人退还</w:t>
      </w:r>
      <w:r>
        <w:rPr>
          <w:rFonts w:hint="eastAsia" w:ascii="宋体" w:hAnsi="宋体" w:cs="宋体"/>
          <w:spacing w:val="-6"/>
          <w:szCs w:val="21"/>
          <w:lang w:eastAsia="zh-CN"/>
        </w:rPr>
        <w:t>交易保证金</w:t>
      </w:r>
      <w:r>
        <w:rPr>
          <w:rFonts w:hint="eastAsia" w:ascii="宋体" w:hAnsi="宋体" w:cs="宋体"/>
          <w:spacing w:val="-6"/>
          <w:szCs w:val="21"/>
        </w:rPr>
        <w:t>；给中标人造成损失的，还应赔偿损失。</w:t>
      </w:r>
    </w:p>
    <w:p>
      <w:pPr>
        <w:pStyle w:val="10"/>
        <w:spacing w:line="440" w:lineRule="exact"/>
        <w:ind w:firstLine="396" w:firstLineChars="200"/>
        <w:jc w:val="left"/>
        <w:rPr>
          <w:rFonts w:ascii="宋体" w:hAnsi="宋体" w:cs="宋体"/>
          <w:spacing w:val="-6"/>
          <w:szCs w:val="21"/>
        </w:rPr>
      </w:pPr>
      <w:r>
        <w:rPr>
          <w:rFonts w:hint="eastAsia" w:ascii="宋体" w:hAnsi="宋体" w:cs="宋体"/>
          <w:spacing w:val="-6"/>
          <w:szCs w:val="21"/>
        </w:rPr>
        <w:t>7.8.3签约合同价的确定原则如下：</w:t>
      </w:r>
    </w:p>
    <w:p>
      <w:pPr>
        <w:pStyle w:val="10"/>
        <w:spacing w:line="440" w:lineRule="exact"/>
        <w:ind w:firstLine="396" w:firstLineChars="200"/>
        <w:jc w:val="left"/>
        <w:rPr>
          <w:rFonts w:ascii="宋体" w:hAnsi="宋体" w:cs="宋体"/>
          <w:spacing w:val="-6"/>
          <w:szCs w:val="21"/>
        </w:rPr>
      </w:pPr>
      <w:r>
        <w:rPr>
          <w:rFonts w:hint="eastAsia" w:ascii="宋体" w:hAnsi="宋体" w:cs="宋体"/>
          <w:spacing w:val="-6"/>
          <w:szCs w:val="21"/>
        </w:rPr>
        <w:t>（1）按照评标办法规定对投标报价进行修正后，若修正后的最终投标报价小于开标时的投标函大写金额报价，则签订合同时以修正后的最终投标报价为准；</w:t>
      </w:r>
    </w:p>
    <w:p>
      <w:pPr>
        <w:pStyle w:val="10"/>
        <w:spacing w:line="440" w:lineRule="exact"/>
        <w:ind w:firstLine="396" w:firstLineChars="200"/>
        <w:jc w:val="left"/>
        <w:rPr>
          <w:rFonts w:ascii="宋体" w:hAnsi="宋体" w:cs="宋体"/>
          <w:spacing w:val="-6"/>
          <w:szCs w:val="21"/>
        </w:rPr>
      </w:pPr>
      <w:r>
        <w:rPr>
          <w:rFonts w:hint="eastAsia" w:ascii="宋体" w:hAnsi="宋体" w:cs="宋体"/>
          <w:spacing w:val="-6"/>
          <w:szCs w:val="21"/>
        </w:rPr>
        <w:t>（2）按照评标办法规定对投标报价进行修正后，若修正后的最终投标报价大于开标时的投标函大写金额报价，则签订合同时以开标时的投标函大写金额报价为准， 同时按比例修正相应子目的单价或合价。</w:t>
      </w:r>
    </w:p>
    <w:p>
      <w:pPr>
        <w:pStyle w:val="10"/>
        <w:spacing w:line="440" w:lineRule="exact"/>
        <w:ind w:firstLine="396" w:firstLineChars="200"/>
        <w:jc w:val="left"/>
        <w:rPr>
          <w:rFonts w:ascii="宋体" w:hAnsi="宋体" w:cs="宋体"/>
          <w:spacing w:val="-6"/>
          <w:szCs w:val="21"/>
        </w:rPr>
      </w:pPr>
      <w:r>
        <w:rPr>
          <w:rFonts w:hint="eastAsia" w:ascii="宋体" w:hAnsi="宋体" w:cs="宋体"/>
          <w:spacing w:val="-6"/>
          <w:szCs w:val="21"/>
        </w:rPr>
        <w:t>7.8.4联合体中标的，联合体各方应共同与招标人签订合同，就中标项目向招标人承担连带责任。</w:t>
      </w:r>
    </w:p>
    <w:p>
      <w:pPr>
        <w:pStyle w:val="10"/>
        <w:spacing w:line="440" w:lineRule="exact"/>
        <w:ind w:firstLine="396" w:firstLineChars="200"/>
        <w:jc w:val="left"/>
        <w:rPr>
          <w:rFonts w:ascii="宋体" w:hAnsi="宋体" w:cs="宋体"/>
          <w:spacing w:val="-6"/>
          <w:szCs w:val="21"/>
        </w:rPr>
      </w:pPr>
      <w:r>
        <w:rPr>
          <w:rFonts w:hint="eastAsia" w:ascii="宋体" w:hAnsi="宋体" w:cs="宋体"/>
          <w:spacing w:val="-6"/>
          <w:szCs w:val="21"/>
        </w:rPr>
        <w:t>7.8.5招标人和中标人在签订合同协议书的同时，须按照本</w:t>
      </w:r>
      <w:r>
        <w:rPr>
          <w:rFonts w:hint="eastAsia" w:ascii="宋体" w:hAnsi="宋体" w:cs="宋体"/>
          <w:spacing w:val="-6"/>
          <w:szCs w:val="21"/>
          <w:lang w:eastAsia="zh-CN"/>
        </w:rPr>
        <w:t>交易文件</w:t>
      </w:r>
      <w:r>
        <w:rPr>
          <w:rFonts w:hint="eastAsia" w:ascii="宋体" w:hAnsi="宋体" w:cs="宋体"/>
          <w:spacing w:val="-6"/>
          <w:szCs w:val="21"/>
        </w:rPr>
        <w:t>规定的格式和要求签订廉政合同及安全生产合同，明确双方在廉政建设和安全生产方面的权利和义务以及应承担的违约责任。</w:t>
      </w:r>
    </w:p>
    <w:p>
      <w:pPr>
        <w:tabs>
          <w:tab w:val="left" w:pos="790"/>
        </w:tabs>
        <w:spacing w:line="440" w:lineRule="exact"/>
        <w:ind w:firstLine="422" w:firstLineChars="200"/>
        <w:jc w:val="left"/>
        <w:rPr>
          <w:rFonts w:ascii="宋体" w:hAnsi="宋体" w:cs="宋体"/>
          <w:b/>
          <w:szCs w:val="21"/>
        </w:rPr>
      </w:pPr>
      <w:r>
        <w:rPr>
          <w:rFonts w:hint="eastAsia" w:ascii="宋体" w:hAnsi="宋体" w:cs="宋体"/>
          <w:b/>
          <w:szCs w:val="21"/>
        </w:rPr>
        <w:t>8.纪律和监督</w:t>
      </w:r>
    </w:p>
    <w:p>
      <w:pPr>
        <w:pStyle w:val="34"/>
        <w:tabs>
          <w:tab w:val="left" w:pos="850"/>
        </w:tabs>
        <w:spacing w:line="440" w:lineRule="exact"/>
        <w:ind w:left="0" w:firstLine="422" w:firstLineChars="200"/>
        <w:jc w:val="left"/>
        <w:rPr>
          <w:szCs w:val="21"/>
        </w:rPr>
      </w:pPr>
      <w:bookmarkStart w:id="112" w:name="_bookmark80"/>
      <w:bookmarkEnd w:id="112"/>
      <w:r>
        <w:rPr>
          <w:rFonts w:hint="eastAsia"/>
          <w:b/>
          <w:szCs w:val="21"/>
          <w:lang w:val="en-US" w:bidi="ar-SA"/>
        </w:rPr>
        <w:t>8.1对招标人的纪律要求</w:t>
      </w:r>
    </w:p>
    <w:p>
      <w:pPr>
        <w:pStyle w:val="10"/>
        <w:spacing w:line="440" w:lineRule="exact"/>
        <w:ind w:firstLine="400" w:firstLineChars="200"/>
        <w:jc w:val="left"/>
        <w:rPr>
          <w:rFonts w:ascii="宋体" w:hAnsi="宋体" w:cs="宋体"/>
          <w:szCs w:val="21"/>
        </w:rPr>
      </w:pPr>
      <w:r>
        <w:rPr>
          <w:rFonts w:hint="eastAsia" w:ascii="宋体" w:hAnsi="宋体" w:cs="宋体"/>
          <w:spacing w:val="-5"/>
          <w:szCs w:val="21"/>
        </w:rPr>
        <w:t>招标人不得泄露招标投标活动中应保密的情况和资料，不得与</w:t>
      </w:r>
      <w:r>
        <w:rPr>
          <w:rFonts w:hint="eastAsia" w:ascii="宋体" w:hAnsi="宋体" w:cs="宋体"/>
          <w:spacing w:val="-5"/>
          <w:szCs w:val="21"/>
          <w:lang w:eastAsia="zh-CN"/>
        </w:rPr>
        <w:t>交易响应单位</w:t>
      </w:r>
      <w:r>
        <w:rPr>
          <w:rFonts w:hint="eastAsia" w:ascii="宋体" w:hAnsi="宋体" w:cs="宋体"/>
          <w:spacing w:val="-5"/>
          <w:szCs w:val="21"/>
        </w:rPr>
        <w:t>串通损害国</w:t>
      </w:r>
      <w:r>
        <w:rPr>
          <w:rFonts w:hint="eastAsia" w:ascii="宋体" w:hAnsi="宋体" w:cs="宋体"/>
          <w:szCs w:val="21"/>
        </w:rPr>
        <w:t>家利益、社会公共利益或他人合法权益。</w:t>
      </w:r>
    </w:p>
    <w:p>
      <w:pPr>
        <w:pStyle w:val="34"/>
        <w:tabs>
          <w:tab w:val="left" w:pos="850"/>
        </w:tabs>
        <w:spacing w:line="440" w:lineRule="exact"/>
        <w:ind w:left="0" w:firstLine="422" w:firstLineChars="200"/>
        <w:jc w:val="left"/>
        <w:rPr>
          <w:szCs w:val="21"/>
        </w:rPr>
      </w:pPr>
      <w:bookmarkStart w:id="113" w:name="_bookmark81"/>
      <w:bookmarkEnd w:id="113"/>
      <w:r>
        <w:rPr>
          <w:rFonts w:hint="eastAsia"/>
          <w:b/>
          <w:szCs w:val="21"/>
          <w:lang w:val="en-US" w:bidi="ar-SA"/>
        </w:rPr>
        <w:t>8.2对</w:t>
      </w:r>
      <w:r>
        <w:rPr>
          <w:rFonts w:hint="eastAsia"/>
          <w:b/>
          <w:szCs w:val="21"/>
          <w:lang w:val="en-US" w:eastAsia="zh-CN" w:bidi="ar-SA"/>
        </w:rPr>
        <w:t>交易响应单位</w:t>
      </w:r>
      <w:r>
        <w:rPr>
          <w:rFonts w:hint="eastAsia"/>
          <w:b/>
          <w:szCs w:val="21"/>
          <w:lang w:val="en-US" w:bidi="ar-SA"/>
        </w:rPr>
        <w:t>的纪律要求</w:t>
      </w:r>
    </w:p>
    <w:p>
      <w:pPr>
        <w:pStyle w:val="10"/>
        <w:spacing w:line="440" w:lineRule="exact"/>
        <w:ind w:firstLine="396" w:firstLineChars="200"/>
        <w:jc w:val="left"/>
        <w:rPr>
          <w:rFonts w:ascii="宋体" w:hAnsi="宋体" w:cs="宋体"/>
          <w:szCs w:val="21"/>
        </w:rPr>
      </w:pPr>
      <w:r>
        <w:rPr>
          <w:rFonts w:hint="eastAsia" w:ascii="宋体" w:hAnsi="宋体" w:cs="宋体"/>
          <w:spacing w:val="-6"/>
          <w:szCs w:val="21"/>
          <w:lang w:eastAsia="zh-CN"/>
        </w:rPr>
        <w:t>交易响应单位</w:t>
      </w:r>
      <w:r>
        <w:rPr>
          <w:rFonts w:hint="eastAsia" w:ascii="宋体" w:hAnsi="宋体" w:cs="宋体"/>
          <w:spacing w:val="-6"/>
          <w:szCs w:val="21"/>
        </w:rPr>
        <w:t>不得相互串通投标或与招标人串通投标，不得向招标人或评标委员会成员</w:t>
      </w:r>
      <w:r>
        <w:rPr>
          <w:rFonts w:hint="eastAsia" w:ascii="宋体" w:hAnsi="宋体" w:cs="宋体"/>
          <w:spacing w:val="-10"/>
          <w:szCs w:val="21"/>
        </w:rPr>
        <w:t>行贿谋取中标，不得以他人名义投标或以其他方式弄虚作假骗取中标；</w:t>
      </w:r>
      <w:r>
        <w:rPr>
          <w:rFonts w:hint="eastAsia" w:ascii="宋体" w:hAnsi="宋体" w:cs="宋体"/>
          <w:spacing w:val="-10"/>
          <w:szCs w:val="21"/>
          <w:lang w:eastAsia="zh-CN"/>
        </w:rPr>
        <w:t>交易响应单位</w:t>
      </w:r>
      <w:r>
        <w:rPr>
          <w:rFonts w:hint="eastAsia" w:ascii="宋体" w:hAnsi="宋体" w:cs="宋体"/>
          <w:spacing w:val="-10"/>
          <w:szCs w:val="21"/>
        </w:rPr>
        <w:t>不得以</w:t>
      </w:r>
      <w:r>
        <w:rPr>
          <w:rFonts w:hint="eastAsia" w:ascii="宋体" w:hAnsi="宋体" w:cs="宋体"/>
          <w:szCs w:val="21"/>
        </w:rPr>
        <w:t>任何方式干扰、影响评标工作。</w:t>
      </w:r>
    </w:p>
    <w:p>
      <w:pPr>
        <w:pStyle w:val="34"/>
        <w:tabs>
          <w:tab w:val="left" w:pos="850"/>
        </w:tabs>
        <w:spacing w:line="440" w:lineRule="exact"/>
        <w:ind w:left="0" w:firstLine="422" w:firstLineChars="200"/>
        <w:jc w:val="left"/>
        <w:rPr>
          <w:szCs w:val="21"/>
        </w:rPr>
      </w:pPr>
      <w:bookmarkStart w:id="114" w:name="_bookmark82"/>
      <w:bookmarkEnd w:id="114"/>
      <w:r>
        <w:rPr>
          <w:rFonts w:hint="eastAsia"/>
          <w:b/>
          <w:szCs w:val="21"/>
          <w:lang w:val="en-US" w:bidi="ar-SA"/>
        </w:rPr>
        <w:t>8.3对评标委员会成员的纪律要求</w:t>
      </w:r>
    </w:p>
    <w:p>
      <w:pPr>
        <w:pStyle w:val="10"/>
        <w:spacing w:line="440" w:lineRule="exact"/>
        <w:ind w:firstLine="396" w:firstLineChars="200"/>
        <w:jc w:val="left"/>
        <w:rPr>
          <w:rFonts w:ascii="宋体" w:hAnsi="宋体" w:cs="宋体"/>
          <w:szCs w:val="21"/>
        </w:rPr>
      </w:pPr>
      <w:r>
        <w:rPr>
          <w:rFonts w:hint="eastAsia" w:ascii="宋体" w:hAnsi="宋体" w:cs="宋体"/>
          <w:spacing w:val="-6"/>
          <w:szCs w:val="21"/>
        </w:rPr>
        <w:t>评标委员会成员不得收受他人的财物或其他好处，不得向他人透露对</w:t>
      </w:r>
      <w:r>
        <w:rPr>
          <w:rFonts w:hint="eastAsia" w:ascii="宋体" w:hAnsi="宋体" w:cs="宋体"/>
          <w:spacing w:val="-6"/>
          <w:szCs w:val="21"/>
          <w:lang w:eastAsia="zh-CN"/>
        </w:rPr>
        <w:t>交易响应文件</w:t>
      </w:r>
      <w:r>
        <w:rPr>
          <w:rFonts w:hint="eastAsia" w:ascii="宋体" w:hAnsi="宋体" w:cs="宋体"/>
          <w:spacing w:val="-6"/>
          <w:szCs w:val="21"/>
        </w:rPr>
        <w:t>的</w:t>
      </w:r>
      <w:r>
        <w:rPr>
          <w:rFonts w:hint="eastAsia" w:ascii="宋体" w:hAnsi="宋体" w:cs="宋体"/>
          <w:spacing w:val="-9"/>
          <w:szCs w:val="21"/>
        </w:rPr>
        <w:t>评审和比较、中标候选人的推荐情况以及评标有关的其他情况。在评标活动中，评标</w:t>
      </w:r>
      <w:r>
        <w:rPr>
          <w:rFonts w:hint="eastAsia" w:ascii="宋体" w:hAnsi="宋体" w:cs="宋体"/>
          <w:spacing w:val="-8"/>
          <w:szCs w:val="21"/>
        </w:rPr>
        <w:t>委员会成员应客观、公正地履行职责，遵守职业道德，不得擅离职守，影响评标程序</w:t>
      </w:r>
      <w:r>
        <w:rPr>
          <w:rFonts w:hint="eastAsia" w:ascii="宋体" w:hAnsi="宋体" w:cs="宋体"/>
          <w:szCs w:val="21"/>
        </w:rPr>
        <w:t>正常进行，不得使用第三章“评标办法”没有规定的评审因素和标准进行评标。</w:t>
      </w:r>
    </w:p>
    <w:p>
      <w:pPr>
        <w:pStyle w:val="34"/>
        <w:tabs>
          <w:tab w:val="left" w:pos="850"/>
        </w:tabs>
        <w:spacing w:line="440" w:lineRule="exact"/>
        <w:ind w:left="0" w:firstLine="422" w:firstLineChars="200"/>
        <w:jc w:val="left"/>
        <w:rPr>
          <w:szCs w:val="21"/>
        </w:rPr>
      </w:pPr>
      <w:bookmarkStart w:id="115" w:name="_bookmark83"/>
      <w:bookmarkEnd w:id="115"/>
      <w:r>
        <w:rPr>
          <w:rFonts w:hint="eastAsia"/>
          <w:b/>
          <w:szCs w:val="21"/>
          <w:lang w:val="en-US" w:bidi="ar-SA"/>
        </w:rPr>
        <w:t>8.4对与评标活动有关的工作人员的纪律要求</w:t>
      </w:r>
    </w:p>
    <w:p>
      <w:pPr>
        <w:pStyle w:val="10"/>
        <w:spacing w:line="440" w:lineRule="exact"/>
        <w:ind w:firstLine="420" w:firstLineChars="200"/>
        <w:jc w:val="left"/>
        <w:rPr>
          <w:rFonts w:ascii="宋体" w:hAnsi="宋体" w:cs="宋体"/>
          <w:szCs w:val="21"/>
        </w:rPr>
      </w:pPr>
      <w:r>
        <w:rPr>
          <w:rFonts w:hint="eastAsia" w:ascii="宋体" w:hAnsi="宋体" w:cs="宋体"/>
          <w:szCs w:val="21"/>
        </w:rPr>
        <w:t>与评标活动有关的工作人员不得收受他人的财物或其他好处，不得向他人透露对</w:t>
      </w:r>
      <w:r>
        <w:rPr>
          <w:rFonts w:hint="eastAsia" w:ascii="宋体" w:hAnsi="宋体" w:cs="宋体"/>
          <w:spacing w:val="-8"/>
          <w:szCs w:val="21"/>
          <w:lang w:eastAsia="zh-CN"/>
        </w:rPr>
        <w:t>交易响应文件</w:t>
      </w:r>
      <w:r>
        <w:rPr>
          <w:rFonts w:hint="eastAsia" w:ascii="宋体" w:hAnsi="宋体" w:cs="宋体"/>
          <w:spacing w:val="-8"/>
          <w:szCs w:val="21"/>
        </w:rPr>
        <w:t>的评审和比较、中标候选人的推荐情况以及评标有关的其他情况。在评标活</w:t>
      </w:r>
      <w:r>
        <w:rPr>
          <w:rFonts w:hint="eastAsia" w:ascii="宋体" w:hAnsi="宋体" w:cs="宋体"/>
          <w:szCs w:val="21"/>
        </w:rPr>
        <w:t>动中，与评标活动有关的工作人员不得擅离职守，影响评标程序正常进行。</w:t>
      </w:r>
    </w:p>
    <w:p>
      <w:pPr>
        <w:pStyle w:val="34"/>
        <w:tabs>
          <w:tab w:val="left" w:pos="850"/>
        </w:tabs>
        <w:spacing w:line="440" w:lineRule="exact"/>
        <w:ind w:left="0" w:firstLine="422" w:firstLineChars="200"/>
        <w:jc w:val="left"/>
        <w:rPr>
          <w:b/>
          <w:szCs w:val="21"/>
          <w:lang w:val="en-US" w:bidi="ar-SA"/>
        </w:rPr>
      </w:pPr>
      <w:bookmarkStart w:id="116" w:name="_bookmark84"/>
      <w:bookmarkEnd w:id="116"/>
      <w:r>
        <w:rPr>
          <w:rFonts w:hint="eastAsia"/>
          <w:b/>
          <w:szCs w:val="21"/>
          <w:lang w:val="en-US" w:bidi="ar-SA"/>
        </w:rPr>
        <w:t>8.5投诉</w:t>
      </w:r>
    </w:p>
    <w:p>
      <w:pPr>
        <w:pStyle w:val="10"/>
        <w:spacing w:line="440" w:lineRule="exact"/>
        <w:ind w:firstLine="396" w:firstLineChars="200"/>
        <w:jc w:val="left"/>
        <w:rPr>
          <w:rFonts w:ascii="宋体" w:hAnsi="宋体" w:cs="宋体"/>
          <w:spacing w:val="-6"/>
          <w:szCs w:val="21"/>
        </w:rPr>
      </w:pPr>
      <w:r>
        <w:rPr>
          <w:rFonts w:hint="eastAsia" w:ascii="宋体" w:hAnsi="宋体" w:cs="宋体"/>
          <w:spacing w:val="-6"/>
          <w:szCs w:val="21"/>
        </w:rPr>
        <w:t>8.5.1</w:t>
      </w:r>
      <w:r>
        <w:rPr>
          <w:rFonts w:hint="eastAsia" w:ascii="宋体" w:hAnsi="宋体" w:cs="宋体"/>
          <w:spacing w:val="-6"/>
          <w:szCs w:val="21"/>
          <w:lang w:eastAsia="zh-CN"/>
        </w:rPr>
        <w:t>交易响应单位</w:t>
      </w:r>
      <w:r>
        <w:rPr>
          <w:rFonts w:hint="eastAsia" w:ascii="宋体" w:hAnsi="宋体" w:cs="宋体"/>
          <w:spacing w:val="-6"/>
          <w:szCs w:val="21"/>
        </w:rPr>
        <w:t>或其他利害关系人认为招标投标活动不符合法律、行政法规规定的， 可以自知道或应当知道之日起 10 日内向有关行政监督部门投诉。投诉应有明确的请求和必要的证明材料。</w:t>
      </w:r>
    </w:p>
    <w:p>
      <w:pPr>
        <w:pStyle w:val="10"/>
        <w:spacing w:line="440" w:lineRule="exact"/>
        <w:ind w:firstLine="396" w:firstLineChars="200"/>
        <w:jc w:val="left"/>
        <w:rPr>
          <w:rFonts w:ascii="宋体" w:hAnsi="宋体" w:cs="宋体"/>
          <w:spacing w:val="-6"/>
          <w:szCs w:val="21"/>
        </w:rPr>
      </w:pPr>
      <w:r>
        <w:rPr>
          <w:rFonts w:hint="eastAsia" w:ascii="宋体" w:hAnsi="宋体" w:cs="宋体"/>
          <w:spacing w:val="-6"/>
          <w:szCs w:val="21"/>
        </w:rPr>
        <w:t>监督部门的联系方式见</w:t>
      </w:r>
      <w:r>
        <w:rPr>
          <w:rFonts w:hint="eastAsia" w:ascii="宋体" w:hAnsi="宋体" w:cs="宋体"/>
          <w:spacing w:val="-6"/>
          <w:szCs w:val="21"/>
          <w:lang w:eastAsia="zh-CN"/>
        </w:rPr>
        <w:t>交易须知</w:t>
      </w:r>
      <w:r>
        <w:rPr>
          <w:rFonts w:hint="eastAsia" w:ascii="宋体" w:hAnsi="宋体" w:cs="宋体"/>
          <w:spacing w:val="-6"/>
          <w:szCs w:val="21"/>
        </w:rPr>
        <w:t>前附表。</w:t>
      </w:r>
    </w:p>
    <w:p>
      <w:pPr>
        <w:pStyle w:val="10"/>
        <w:spacing w:line="440" w:lineRule="exact"/>
        <w:ind w:firstLine="396" w:firstLineChars="200"/>
        <w:jc w:val="left"/>
        <w:rPr>
          <w:rFonts w:ascii="宋体" w:hAnsi="宋体" w:cs="宋体"/>
          <w:spacing w:val="-6"/>
          <w:szCs w:val="21"/>
        </w:rPr>
      </w:pPr>
      <w:r>
        <w:rPr>
          <w:rFonts w:hint="eastAsia" w:ascii="宋体" w:hAnsi="宋体" w:cs="宋体"/>
          <w:spacing w:val="-6"/>
          <w:szCs w:val="21"/>
        </w:rPr>
        <w:t>8.5.2</w:t>
      </w:r>
      <w:r>
        <w:rPr>
          <w:rFonts w:hint="eastAsia" w:ascii="宋体" w:hAnsi="宋体" w:cs="宋体"/>
          <w:spacing w:val="-6"/>
          <w:szCs w:val="21"/>
          <w:lang w:eastAsia="zh-CN"/>
        </w:rPr>
        <w:t>交易响应单位</w:t>
      </w:r>
      <w:r>
        <w:rPr>
          <w:rFonts w:hint="eastAsia" w:ascii="宋体" w:hAnsi="宋体" w:cs="宋体"/>
          <w:spacing w:val="-6"/>
          <w:szCs w:val="21"/>
        </w:rPr>
        <w:t>或其他利害关系人对</w:t>
      </w:r>
      <w:r>
        <w:rPr>
          <w:rFonts w:hint="eastAsia" w:ascii="宋体" w:hAnsi="宋体" w:cs="宋体"/>
          <w:spacing w:val="-6"/>
          <w:szCs w:val="21"/>
          <w:lang w:eastAsia="zh-CN"/>
        </w:rPr>
        <w:t>交易文件</w:t>
      </w:r>
      <w:r>
        <w:rPr>
          <w:rFonts w:hint="eastAsia" w:ascii="宋体" w:hAnsi="宋体" w:cs="宋体"/>
          <w:spacing w:val="-6"/>
          <w:szCs w:val="21"/>
        </w:rPr>
        <w:t>、开标和评标结果提出投诉的，应按照本章第 2.4 款、第 5.3 款和第 7.2 款的规定先向招标人提出异议。异议答复期间不计算在第 8.5.1 项规定的期限内。</w:t>
      </w:r>
    </w:p>
    <w:p>
      <w:pPr>
        <w:tabs>
          <w:tab w:val="left" w:pos="790"/>
        </w:tabs>
        <w:spacing w:line="440" w:lineRule="exact"/>
        <w:ind w:firstLine="422" w:firstLineChars="200"/>
        <w:jc w:val="left"/>
        <w:rPr>
          <w:rFonts w:ascii="宋体" w:hAnsi="宋体" w:cs="宋体"/>
          <w:szCs w:val="21"/>
        </w:rPr>
      </w:pPr>
      <w:r>
        <w:rPr>
          <w:rFonts w:hint="eastAsia" w:ascii="宋体" w:hAnsi="宋体" w:cs="宋体"/>
          <w:b/>
          <w:szCs w:val="21"/>
        </w:rPr>
        <w:t>9.是否采用电子招标投标</w:t>
      </w:r>
    </w:p>
    <w:p>
      <w:pPr>
        <w:pStyle w:val="10"/>
        <w:spacing w:line="440" w:lineRule="exact"/>
        <w:ind w:firstLine="420" w:firstLineChars="200"/>
        <w:jc w:val="left"/>
        <w:rPr>
          <w:rFonts w:ascii="宋体" w:hAnsi="宋体" w:cs="宋体"/>
          <w:szCs w:val="21"/>
        </w:rPr>
      </w:pPr>
      <w:r>
        <w:rPr>
          <w:rFonts w:hint="eastAsia" w:ascii="宋体" w:hAnsi="宋体" w:cs="宋体"/>
          <w:szCs w:val="21"/>
        </w:rPr>
        <w:t>本招标项目是否采用电子招标投标方式，见</w:t>
      </w:r>
      <w:r>
        <w:rPr>
          <w:rFonts w:hint="eastAsia" w:ascii="宋体" w:hAnsi="宋体" w:cs="宋体"/>
          <w:szCs w:val="21"/>
          <w:lang w:eastAsia="zh-CN"/>
        </w:rPr>
        <w:t>交易须知</w:t>
      </w:r>
      <w:r>
        <w:rPr>
          <w:rFonts w:hint="eastAsia" w:ascii="宋体" w:hAnsi="宋体" w:cs="宋体"/>
          <w:szCs w:val="21"/>
        </w:rPr>
        <w:t>前附表。</w:t>
      </w:r>
    </w:p>
    <w:p>
      <w:pPr>
        <w:pStyle w:val="4"/>
        <w:spacing w:line="440" w:lineRule="exact"/>
        <w:ind w:firstLine="422" w:firstLineChars="200"/>
        <w:jc w:val="left"/>
        <w:rPr>
          <w:rFonts w:ascii="宋体" w:hAnsi="宋体" w:cs="宋体"/>
          <w:sz w:val="21"/>
          <w:szCs w:val="21"/>
        </w:rPr>
      </w:pPr>
      <w:bookmarkStart w:id="117" w:name="_Toc6030"/>
      <w:bookmarkStart w:id="118" w:name="_Toc369608049"/>
      <w:bookmarkStart w:id="119" w:name="_Toc432367751"/>
      <w:r>
        <w:rPr>
          <w:rFonts w:hint="eastAsia" w:ascii="宋体" w:hAnsi="宋体" w:cs="宋体"/>
          <w:sz w:val="21"/>
          <w:szCs w:val="21"/>
        </w:rPr>
        <w:t>10. 需要补充的其他内容</w:t>
      </w:r>
      <w:bookmarkEnd w:id="117"/>
      <w:bookmarkEnd w:id="118"/>
      <w:bookmarkEnd w:id="119"/>
    </w:p>
    <w:p>
      <w:pPr>
        <w:spacing w:line="440" w:lineRule="exact"/>
        <w:ind w:firstLine="420" w:firstLineChars="200"/>
        <w:jc w:val="left"/>
        <w:rPr>
          <w:rFonts w:ascii="宋体" w:hAnsi="宋体" w:cs="宋体"/>
          <w:szCs w:val="21"/>
        </w:rPr>
      </w:pPr>
      <w:r>
        <w:rPr>
          <w:rFonts w:hint="eastAsia" w:ascii="宋体" w:hAnsi="宋体" w:cs="宋体"/>
          <w:szCs w:val="21"/>
        </w:rPr>
        <w:t>10.1自购买</w:t>
      </w:r>
      <w:r>
        <w:rPr>
          <w:rFonts w:hint="eastAsia" w:ascii="宋体" w:hAnsi="宋体" w:cs="宋体"/>
          <w:szCs w:val="21"/>
          <w:lang w:eastAsia="zh-CN"/>
        </w:rPr>
        <w:t>交易文件</w:t>
      </w:r>
      <w:r>
        <w:rPr>
          <w:rFonts w:hint="eastAsia" w:ascii="宋体" w:hAnsi="宋体" w:cs="宋体"/>
          <w:szCs w:val="21"/>
        </w:rPr>
        <w:t>之日起，</w:t>
      </w:r>
      <w:r>
        <w:rPr>
          <w:rFonts w:hint="eastAsia" w:ascii="宋体" w:hAnsi="宋体" w:cs="宋体"/>
          <w:szCs w:val="21"/>
          <w:lang w:eastAsia="zh-CN"/>
        </w:rPr>
        <w:t>交易响应单位</w:t>
      </w:r>
      <w:r>
        <w:rPr>
          <w:rFonts w:hint="eastAsia" w:ascii="宋体" w:hAnsi="宋体" w:cs="宋体"/>
          <w:szCs w:val="21"/>
        </w:rPr>
        <w:t>应保证其提供的联系方式（电话、传真、电子邮件）一直有效，以保证往来函件（</w:t>
      </w:r>
      <w:r>
        <w:rPr>
          <w:rFonts w:hint="eastAsia" w:ascii="宋体" w:hAnsi="宋体" w:cs="宋体"/>
          <w:szCs w:val="21"/>
          <w:lang w:eastAsia="zh-CN"/>
        </w:rPr>
        <w:t>交易文件</w:t>
      </w:r>
      <w:r>
        <w:rPr>
          <w:rFonts w:hint="eastAsia" w:ascii="宋体" w:hAnsi="宋体" w:cs="宋体"/>
          <w:szCs w:val="21"/>
        </w:rPr>
        <w:t>的澄清、修改等）能及时通知</w:t>
      </w:r>
      <w:r>
        <w:rPr>
          <w:rFonts w:hint="eastAsia" w:ascii="宋体" w:hAnsi="宋体" w:cs="宋体"/>
          <w:szCs w:val="21"/>
          <w:lang w:eastAsia="zh-CN"/>
        </w:rPr>
        <w:t>交易响应单位</w:t>
      </w:r>
      <w:r>
        <w:rPr>
          <w:rFonts w:hint="eastAsia" w:ascii="宋体" w:hAnsi="宋体" w:cs="宋体"/>
          <w:szCs w:val="21"/>
        </w:rPr>
        <w:t>，并能及时反馈信息，否则招标人不承担由此引起的一切后果。</w:t>
      </w:r>
    </w:p>
    <w:p>
      <w:pPr>
        <w:pStyle w:val="34"/>
        <w:tabs>
          <w:tab w:val="left" w:pos="1450"/>
        </w:tabs>
        <w:spacing w:line="440" w:lineRule="exact"/>
        <w:ind w:left="0" w:firstLine="420" w:firstLineChars="200"/>
        <w:jc w:val="left"/>
        <w:rPr>
          <w:szCs w:val="21"/>
          <w:lang w:val="en-US" w:bidi="ar-SA"/>
        </w:rPr>
        <w:sectPr>
          <w:pgSz w:w="11910" w:h="16850"/>
          <w:pgMar w:top="1480" w:right="1200" w:bottom="1080" w:left="1220" w:header="883" w:footer="884" w:gutter="0"/>
          <w:pgBorders>
            <w:top w:val="none" w:sz="0" w:space="0"/>
            <w:left w:val="none" w:sz="0" w:space="0"/>
            <w:bottom w:val="none" w:sz="0" w:space="0"/>
            <w:right w:val="none" w:sz="0" w:space="0"/>
          </w:pgBorders>
          <w:cols w:equalWidth="0" w:num="1">
            <w:col w:w="9490"/>
          </w:cols>
        </w:sectPr>
      </w:pPr>
      <w:r>
        <w:rPr>
          <w:rFonts w:hint="eastAsia"/>
          <w:szCs w:val="21"/>
        </w:rPr>
        <w:t>需要补充的其他内容：见</w:t>
      </w:r>
      <w:r>
        <w:rPr>
          <w:rFonts w:hint="eastAsia"/>
          <w:szCs w:val="21"/>
          <w:lang w:eastAsia="zh-CN"/>
        </w:rPr>
        <w:t>交易须知</w:t>
      </w:r>
      <w:r>
        <w:rPr>
          <w:rFonts w:hint="eastAsia"/>
          <w:szCs w:val="21"/>
        </w:rPr>
        <w:t>前附表。</w:t>
      </w:r>
    </w:p>
    <w:p>
      <w:pPr>
        <w:pStyle w:val="4"/>
        <w:spacing w:beforeLines="50" w:line="400" w:lineRule="exact"/>
        <w:rPr>
          <w:rFonts w:ascii="宋体" w:hAnsi="宋体" w:cs="宋体"/>
          <w:bCs/>
          <w:sz w:val="24"/>
          <w:szCs w:val="24"/>
          <w:vertAlign w:val="superscript"/>
        </w:rPr>
      </w:pPr>
      <w:r>
        <w:rPr>
          <w:rFonts w:hint="eastAsia" w:ascii="宋体" w:hAnsi="宋体" w:cs="宋体"/>
          <w:bCs/>
          <w:sz w:val="24"/>
          <w:szCs w:val="24"/>
        </w:rPr>
        <w:t>附表一：开标记录表</w:t>
      </w:r>
    </w:p>
    <w:p>
      <w:pPr>
        <w:rPr>
          <w:rFonts w:ascii="宋体" w:hAnsi="宋体" w:cs="宋体"/>
          <w:sz w:val="24"/>
        </w:rPr>
      </w:pPr>
    </w:p>
    <w:p>
      <w:pPr>
        <w:tabs>
          <w:tab w:val="left" w:pos="1609"/>
          <w:tab w:val="left" w:pos="3854"/>
        </w:tabs>
        <w:spacing w:before="70" w:line="292" w:lineRule="auto"/>
        <w:ind w:left="633" w:right="589"/>
        <w:jc w:val="center"/>
        <w:rPr>
          <w:rFonts w:ascii="黑体" w:eastAsia="黑体"/>
          <w:spacing w:val="-15"/>
          <w:sz w:val="28"/>
        </w:rPr>
      </w:pPr>
      <w:r>
        <w:rPr>
          <w:rFonts w:eastAsia="Times New Roman"/>
          <w:sz w:val="28"/>
          <w:u w:val="single"/>
        </w:rPr>
        <w:t xml:space="preserve"> </w:t>
      </w:r>
      <w:r>
        <w:rPr>
          <w:rFonts w:hint="eastAsia" w:ascii="黑体" w:eastAsia="黑体"/>
          <w:sz w:val="28"/>
        </w:rPr>
        <w:t>（项目名称）</w:t>
      </w:r>
      <w:r>
        <w:rPr>
          <w:rFonts w:hint="eastAsia" w:ascii="黑体" w:eastAsia="黑体"/>
          <w:sz w:val="28"/>
          <w:u w:val="single"/>
        </w:rPr>
        <w:t xml:space="preserve"> </w:t>
      </w:r>
      <w:r>
        <w:rPr>
          <w:rFonts w:hint="eastAsia" w:ascii="黑体" w:eastAsia="黑体"/>
          <w:sz w:val="28"/>
        </w:rPr>
        <w:t>标段施</w:t>
      </w:r>
      <w:r>
        <w:rPr>
          <w:rFonts w:hint="eastAsia" w:ascii="黑体" w:eastAsia="黑体"/>
          <w:spacing w:val="-3"/>
          <w:sz w:val="28"/>
        </w:rPr>
        <w:t>工第</w:t>
      </w:r>
      <w:r>
        <w:rPr>
          <w:rFonts w:hint="eastAsia" w:ascii="黑体" w:eastAsia="黑体"/>
          <w:sz w:val="28"/>
        </w:rPr>
        <w:t>一个信封（商</w:t>
      </w:r>
      <w:r>
        <w:rPr>
          <w:rFonts w:hint="eastAsia" w:ascii="黑体" w:eastAsia="黑体"/>
          <w:spacing w:val="-3"/>
          <w:sz w:val="28"/>
        </w:rPr>
        <w:t>务及</w:t>
      </w:r>
      <w:r>
        <w:rPr>
          <w:rFonts w:hint="eastAsia" w:ascii="黑体" w:eastAsia="黑体"/>
          <w:sz w:val="28"/>
        </w:rPr>
        <w:t>技术文</w:t>
      </w:r>
      <w:r>
        <w:rPr>
          <w:rFonts w:hint="eastAsia" w:ascii="黑体" w:eastAsia="黑体"/>
          <w:spacing w:val="-3"/>
          <w:sz w:val="28"/>
        </w:rPr>
        <w:t>件</w:t>
      </w:r>
      <w:r>
        <w:rPr>
          <w:rFonts w:hint="eastAsia" w:ascii="黑体" w:eastAsia="黑体"/>
          <w:spacing w:val="-15"/>
          <w:sz w:val="28"/>
        </w:rPr>
        <w:t xml:space="preserve">） </w:t>
      </w:r>
    </w:p>
    <w:p>
      <w:pPr>
        <w:tabs>
          <w:tab w:val="left" w:pos="1609"/>
          <w:tab w:val="left" w:pos="3854"/>
        </w:tabs>
        <w:spacing w:before="70" w:line="292" w:lineRule="auto"/>
        <w:ind w:left="633" w:right="589"/>
        <w:jc w:val="center"/>
        <w:rPr>
          <w:rFonts w:ascii="黑体" w:eastAsia="黑体"/>
          <w:sz w:val="28"/>
        </w:rPr>
      </w:pPr>
      <w:r>
        <w:rPr>
          <w:rFonts w:hint="eastAsia" w:ascii="黑体" w:eastAsia="黑体"/>
          <w:sz w:val="28"/>
        </w:rPr>
        <w:t>开标记</w:t>
      </w:r>
      <w:r>
        <w:rPr>
          <w:rFonts w:hint="eastAsia" w:ascii="黑体" w:eastAsia="黑体"/>
          <w:spacing w:val="-3"/>
          <w:sz w:val="28"/>
        </w:rPr>
        <w:t>录</w:t>
      </w:r>
      <w:r>
        <w:rPr>
          <w:rFonts w:hint="eastAsia" w:ascii="黑体" w:eastAsia="黑体"/>
          <w:sz w:val="28"/>
        </w:rPr>
        <w:t>表</w:t>
      </w:r>
    </w:p>
    <w:p>
      <w:pPr>
        <w:pStyle w:val="10"/>
        <w:tabs>
          <w:tab w:val="left" w:pos="6518"/>
          <w:tab w:val="left" w:pos="7118"/>
          <w:tab w:val="left" w:pos="7719"/>
          <w:tab w:val="left" w:pos="8319"/>
          <w:tab w:val="left" w:pos="8919"/>
        </w:tabs>
        <w:spacing w:before="45" w:after="20"/>
        <w:ind w:left="4958"/>
      </w:pPr>
      <w:r>
        <w:t>开标时间：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u w:val="single"/>
        </w:rPr>
        <w:t xml:space="preserve"> </w:t>
      </w:r>
      <w:r>
        <w:rPr>
          <w:u w:val="single"/>
        </w:rPr>
        <w:tab/>
      </w:r>
      <w:r>
        <w:t>时</w:t>
      </w:r>
      <w:r>
        <w:rPr>
          <w:u w:val="single"/>
        </w:rPr>
        <w:t xml:space="preserve"> </w:t>
      </w:r>
      <w:r>
        <w:rPr>
          <w:u w:val="single"/>
        </w:rPr>
        <w:tab/>
      </w:r>
      <w:r>
        <w:t>分</w:t>
      </w:r>
    </w:p>
    <w:tbl>
      <w:tblPr>
        <w:tblStyle w:val="16"/>
        <w:tblW w:w="89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1596"/>
        <w:gridCol w:w="1275"/>
        <w:gridCol w:w="1560"/>
        <w:gridCol w:w="1135"/>
        <w:gridCol w:w="849"/>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jc w:val="center"/>
        </w:trPr>
        <w:tc>
          <w:tcPr>
            <w:tcW w:w="696" w:type="dxa"/>
          </w:tcPr>
          <w:p>
            <w:pPr>
              <w:pStyle w:val="33"/>
              <w:rPr>
                <w:sz w:val="20"/>
              </w:rPr>
            </w:pPr>
          </w:p>
          <w:p>
            <w:pPr>
              <w:pStyle w:val="33"/>
              <w:spacing w:before="4"/>
              <w:rPr>
                <w:sz w:val="14"/>
              </w:rPr>
            </w:pPr>
          </w:p>
          <w:p>
            <w:pPr>
              <w:pStyle w:val="33"/>
              <w:ind w:left="136"/>
            </w:pPr>
            <w:r>
              <w:t>序号</w:t>
            </w:r>
          </w:p>
        </w:tc>
        <w:tc>
          <w:tcPr>
            <w:tcW w:w="1596" w:type="dxa"/>
          </w:tcPr>
          <w:p>
            <w:pPr>
              <w:pStyle w:val="33"/>
              <w:rPr>
                <w:sz w:val="20"/>
              </w:rPr>
            </w:pPr>
          </w:p>
          <w:p>
            <w:pPr>
              <w:pStyle w:val="33"/>
              <w:spacing w:before="4"/>
              <w:rPr>
                <w:sz w:val="14"/>
              </w:rPr>
            </w:pPr>
          </w:p>
          <w:p>
            <w:pPr>
              <w:pStyle w:val="33"/>
              <w:ind w:left="482"/>
              <w:rPr>
                <w:rFonts w:hint="eastAsia" w:eastAsia="宋体"/>
                <w:lang w:eastAsia="zh-CN"/>
              </w:rPr>
            </w:pPr>
            <w:r>
              <w:rPr>
                <w:rFonts w:hint="eastAsia"/>
                <w:lang w:eastAsia="zh-CN"/>
              </w:rPr>
              <w:t>交易响应单位</w:t>
            </w:r>
          </w:p>
        </w:tc>
        <w:tc>
          <w:tcPr>
            <w:tcW w:w="1275" w:type="dxa"/>
          </w:tcPr>
          <w:p>
            <w:pPr>
              <w:pStyle w:val="33"/>
              <w:rPr>
                <w:sz w:val="20"/>
              </w:rPr>
            </w:pPr>
          </w:p>
          <w:p>
            <w:pPr>
              <w:pStyle w:val="33"/>
              <w:spacing w:before="4"/>
              <w:rPr>
                <w:sz w:val="14"/>
              </w:rPr>
            </w:pPr>
          </w:p>
          <w:p>
            <w:pPr>
              <w:pStyle w:val="33"/>
              <w:ind w:left="216"/>
            </w:pPr>
            <w:r>
              <w:t>密封情况</w:t>
            </w:r>
          </w:p>
        </w:tc>
        <w:tc>
          <w:tcPr>
            <w:tcW w:w="1560" w:type="dxa"/>
          </w:tcPr>
          <w:p>
            <w:pPr>
              <w:pStyle w:val="33"/>
              <w:spacing w:before="11"/>
              <w:rPr>
                <w:sz w:val="14"/>
              </w:rPr>
            </w:pPr>
          </w:p>
          <w:p>
            <w:pPr>
              <w:pStyle w:val="33"/>
              <w:ind w:left="24" w:right="15"/>
              <w:jc w:val="center"/>
            </w:pPr>
            <w:r>
              <w:rPr>
                <w:rFonts w:hint="eastAsia"/>
                <w:lang w:eastAsia="zh-CN"/>
              </w:rPr>
              <w:t>交易保证金</w:t>
            </w:r>
            <w:r>
              <w:t>递交</w:t>
            </w:r>
          </w:p>
          <w:p>
            <w:pPr>
              <w:pStyle w:val="33"/>
              <w:spacing w:before="2"/>
              <w:rPr>
                <w:sz w:val="18"/>
              </w:rPr>
            </w:pPr>
          </w:p>
          <w:p>
            <w:pPr>
              <w:pStyle w:val="33"/>
              <w:ind w:left="24" w:right="15"/>
              <w:jc w:val="center"/>
            </w:pPr>
            <w:r>
              <w:t>情况</w:t>
            </w:r>
          </w:p>
        </w:tc>
        <w:tc>
          <w:tcPr>
            <w:tcW w:w="1135" w:type="dxa"/>
          </w:tcPr>
          <w:p>
            <w:pPr>
              <w:pStyle w:val="33"/>
              <w:rPr>
                <w:sz w:val="20"/>
              </w:rPr>
            </w:pPr>
          </w:p>
          <w:p>
            <w:pPr>
              <w:pStyle w:val="33"/>
              <w:spacing w:before="4"/>
              <w:rPr>
                <w:sz w:val="14"/>
              </w:rPr>
            </w:pPr>
          </w:p>
          <w:p>
            <w:pPr>
              <w:pStyle w:val="33"/>
              <w:ind w:left="355"/>
            </w:pPr>
            <w:r>
              <w:t>工期</w:t>
            </w:r>
          </w:p>
        </w:tc>
        <w:tc>
          <w:tcPr>
            <w:tcW w:w="849" w:type="dxa"/>
          </w:tcPr>
          <w:p>
            <w:pPr>
              <w:pStyle w:val="33"/>
              <w:rPr>
                <w:sz w:val="20"/>
              </w:rPr>
            </w:pPr>
          </w:p>
          <w:p>
            <w:pPr>
              <w:pStyle w:val="33"/>
              <w:spacing w:before="4"/>
              <w:rPr>
                <w:sz w:val="14"/>
              </w:rPr>
            </w:pPr>
          </w:p>
          <w:p>
            <w:pPr>
              <w:pStyle w:val="33"/>
              <w:ind w:left="211"/>
            </w:pPr>
            <w:r>
              <w:t>备注</w:t>
            </w:r>
          </w:p>
        </w:tc>
        <w:tc>
          <w:tcPr>
            <w:tcW w:w="1843" w:type="dxa"/>
          </w:tcPr>
          <w:p>
            <w:pPr>
              <w:pStyle w:val="33"/>
              <w:rPr>
                <w:sz w:val="20"/>
              </w:rPr>
            </w:pPr>
          </w:p>
          <w:p>
            <w:pPr>
              <w:pStyle w:val="33"/>
              <w:spacing w:before="4"/>
              <w:rPr>
                <w:sz w:val="14"/>
              </w:rPr>
            </w:pPr>
          </w:p>
          <w:p>
            <w:pPr>
              <w:pStyle w:val="33"/>
              <w:ind w:left="185"/>
            </w:pPr>
            <w:r>
              <w:rPr>
                <w:rFonts w:hint="eastAsia"/>
                <w:lang w:eastAsia="zh-CN"/>
              </w:rPr>
              <w:t>交易响应单位</w:t>
            </w:r>
            <w:r>
              <w:t>代表签名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696" w:type="dxa"/>
          </w:tcPr>
          <w:p>
            <w:pPr>
              <w:pStyle w:val="33"/>
              <w:rPr>
                <w:rFonts w:ascii="Times New Roman"/>
                <w:sz w:val="20"/>
              </w:rPr>
            </w:pPr>
          </w:p>
        </w:tc>
        <w:tc>
          <w:tcPr>
            <w:tcW w:w="1596" w:type="dxa"/>
          </w:tcPr>
          <w:p>
            <w:pPr>
              <w:pStyle w:val="33"/>
              <w:rPr>
                <w:rFonts w:ascii="Times New Roman"/>
                <w:sz w:val="20"/>
              </w:rPr>
            </w:pPr>
          </w:p>
        </w:tc>
        <w:tc>
          <w:tcPr>
            <w:tcW w:w="1275" w:type="dxa"/>
          </w:tcPr>
          <w:p>
            <w:pPr>
              <w:pStyle w:val="33"/>
              <w:rPr>
                <w:rFonts w:ascii="Times New Roman"/>
                <w:sz w:val="20"/>
              </w:rPr>
            </w:pPr>
          </w:p>
        </w:tc>
        <w:tc>
          <w:tcPr>
            <w:tcW w:w="1560" w:type="dxa"/>
          </w:tcPr>
          <w:p>
            <w:pPr>
              <w:pStyle w:val="33"/>
              <w:rPr>
                <w:rFonts w:ascii="Times New Roman"/>
                <w:sz w:val="20"/>
              </w:rPr>
            </w:pPr>
          </w:p>
        </w:tc>
        <w:tc>
          <w:tcPr>
            <w:tcW w:w="1135" w:type="dxa"/>
          </w:tcPr>
          <w:p>
            <w:pPr>
              <w:pStyle w:val="33"/>
              <w:rPr>
                <w:rFonts w:ascii="Times New Roman"/>
                <w:sz w:val="20"/>
              </w:rPr>
            </w:pPr>
          </w:p>
        </w:tc>
        <w:tc>
          <w:tcPr>
            <w:tcW w:w="849" w:type="dxa"/>
          </w:tcPr>
          <w:p>
            <w:pPr>
              <w:pStyle w:val="33"/>
              <w:rPr>
                <w:rFonts w:ascii="Times New Roman"/>
                <w:sz w:val="20"/>
              </w:rPr>
            </w:pPr>
          </w:p>
        </w:tc>
        <w:tc>
          <w:tcPr>
            <w:tcW w:w="1843"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696" w:type="dxa"/>
          </w:tcPr>
          <w:p>
            <w:pPr>
              <w:pStyle w:val="33"/>
              <w:rPr>
                <w:rFonts w:ascii="Times New Roman"/>
                <w:sz w:val="20"/>
              </w:rPr>
            </w:pPr>
          </w:p>
        </w:tc>
        <w:tc>
          <w:tcPr>
            <w:tcW w:w="1596" w:type="dxa"/>
          </w:tcPr>
          <w:p>
            <w:pPr>
              <w:pStyle w:val="33"/>
              <w:rPr>
                <w:rFonts w:ascii="Times New Roman"/>
                <w:sz w:val="20"/>
              </w:rPr>
            </w:pPr>
          </w:p>
        </w:tc>
        <w:tc>
          <w:tcPr>
            <w:tcW w:w="1275" w:type="dxa"/>
          </w:tcPr>
          <w:p>
            <w:pPr>
              <w:pStyle w:val="33"/>
              <w:rPr>
                <w:rFonts w:ascii="Times New Roman"/>
                <w:sz w:val="20"/>
              </w:rPr>
            </w:pPr>
          </w:p>
        </w:tc>
        <w:tc>
          <w:tcPr>
            <w:tcW w:w="1560" w:type="dxa"/>
          </w:tcPr>
          <w:p>
            <w:pPr>
              <w:pStyle w:val="33"/>
              <w:rPr>
                <w:rFonts w:ascii="Times New Roman"/>
                <w:sz w:val="20"/>
              </w:rPr>
            </w:pPr>
          </w:p>
        </w:tc>
        <w:tc>
          <w:tcPr>
            <w:tcW w:w="1135" w:type="dxa"/>
          </w:tcPr>
          <w:p>
            <w:pPr>
              <w:pStyle w:val="33"/>
              <w:rPr>
                <w:rFonts w:ascii="Times New Roman"/>
                <w:sz w:val="20"/>
              </w:rPr>
            </w:pPr>
          </w:p>
        </w:tc>
        <w:tc>
          <w:tcPr>
            <w:tcW w:w="849" w:type="dxa"/>
          </w:tcPr>
          <w:p>
            <w:pPr>
              <w:pStyle w:val="33"/>
              <w:rPr>
                <w:rFonts w:ascii="Times New Roman"/>
                <w:sz w:val="20"/>
              </w:rPr>
            </w:pPr>
          </w:p>
        </w:tc>
        <w:tc>
          <w:tcPr>
            <w:tcW w:w="1843"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96" w:type="dxa"/>
          </w:tcPr>
          <w:p>
            <w:pPr>
              <w:pStyle w:val="33"/>
              <w:rPr>
                <w:rFonts w:ascii="Times New Roman"/>
                <w:sz w:val="20"/>
              </w:rPr>
            </w:pPr>
          </w:p>
        </w:tc>
        <w:tc>
          <w:tcPr>
            <w:tcW w:w="1596" w:type="dxa"/>
          </w:tcPr>
          <w:p>
            <w:pPr>
              <w:pStyle w:val="33"/>
              <w:rPr>
                <w:rFonts w:ascii="Times New Roman"/>
                <w:sz w:val="20"/>
              </w:rPr>
            </w:pPr>
          </w:p>
        </w:tc>
        <w:tc>
          <w:tcPr>
            <w:tcW w:w="1275" w:type="dxa"/>
          </w:tcPr>
          <w:p>
            <w:pPr>
              <w:pStyle w:val="33"/>
              <w:rPr>
                <w:rFonts w:ascii="Times New Roman"/>
                <w:sz w:val="20"/>
              </w:rPr>
            </w:pPr>
          </w:p>
        </w:tc>
        <w:tc>
          <w:tcPr>
            <w:tcW w:w="1560" w:type="dxa"/>
          </w:tcPr>
          <w:p>
            <w:pPr>
              <w:pStyle w:val="33"/>
              <w:rPr>
                <w:rFonts w:ascii="Times New Roman"/>
                <w:sz w:val="20"/>
              </w:rPr>
            </w:pPr>
          </w:p>
        </w:tc>
        <w:tc>
          <w:tcPr>
            <w:tcW w:w="1135" w:type="dxa"/>
          </w:tcPr>
          <w:p>
            <w:pPr>
              <w:pStyle w:val="33"/>
              <w:rPr>
                <w:rFonts w:ascii="Times New Roman"/>
                <w:sz w:val="20"/>
              </w:rPr>
            </w:pPr>
          </w:p>
        </w:tc>
        <w:tc>
          <w:tcPr>
            <w:tcW w:w="849" w:type="dxa"/>
          </w:tcPr>
          <w:p>
            <w:pPr>
              <w:pStyle w:val="33"/>
              <w:rPr>
                <w:rFonts w:ascii="Times New Roman"/>
                <w:sz w:val="20"/>
              </w:rPr>
            </w:pPr>
          </w:p>
        </w:tc>
        <w:tc>
          <w:tcPr>
            <w:tcW w:w="1843"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696" w:type="dxa"/>
          </w:tcPr>
          <w:p>
            <w:pPr>
              <w:pStyle w:val="33"/>
              <w:rPr>
                <w:rFonts w:ascii="Times New Roman"/>
                <w:sz w:val="20"/>
              </w:rPr>
            </w:pPr>
          </w:p>
        </w:tc>
        <w:tc>
          <w:tcPr>
            <w:tcW w:w="1596" w:type="dxa"/>
          </w:tcPr>
          <w:p>
            <w:pPr>
              <w:pStyle w:val="33"/>
              <w:rPr>
                <w:rFonts w:ascii="Times New Roman"/>
                <w:sz w:val="20"/>
              </w:rPr>
            </w:pPr>
          </w:p>
        </w:tc>
        <w:tc>
          <w:tcPr>
            <w:tcW w:w="1275" w:type="dxa"/>
          </w:tcPr>
          <w:p>
            <w:pPr>
              <w:pStyle w:val="33"/>
              <w:rPr>
                <w:rFonts w:ascii="Times New Roman"/>
                <w:sz w:val="20"/>
              </w:rPr>
            </w:pPr>
          </w:p>
        </w:tc>
        <w:tc>
          <w:tcPr>
            <w:tcW w:w="1560" w:type="dxa"/>
          </w:tcPr>
          <w:p>
            <w:pPr>
              <w:pStyle w:val="33"/>
              <w:rPr>
                <w:rFonts w:ascii="Times New Roman"/>
                <w:sz w:val="20"/>
              </w:rPr>
            </w:pPr>
          </w:p>
        </w:tc>
        <w:tc>
          <w:tcPr>
            <w:tcW w:w="1135" w:type="dxa"/>
          </w:tcPr>
          <w:p>
            <w:pPr>
              <w:pStyle w:val="33"/>
              <w:rPr>
                <w:rFonts w:ascii="Times New Roman"/>
                <w:sz w:val="20"/>
              </w:rPr>
            </w:pPr>
          </w:p>
        </w:tc>
        <w:tc>
          <w:tcPr>
            <w:tcW w:w="849" w:type="dxa"/>
          </w:tcPr>
          <w:p>
            <w:pPr>
              <w:pStyle w:val="33"/>
              <w:rPr>
                <w:rFonts w:ascii="Times New Roman"/>
                <w:sz w:val="20"/>
              </w:rPr>
            </w:pPr>
          </w:p>
        </w:tc>
        <w:tc>
          <w:tcPr>
            <w:tcW w:w="1843"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96" w:type="dxa"/>
          </w:tcPr>
          <w:p>
            <w:pPr>
              <w:pStyle w:val="33"/>
              <w:rPr>
                <w:rFonts w:ascii="Times New Roman"/>
                <w:sz w:val="20"/>
              </w:rPr>
            </w:pPr>
          </w:p>
        </w:tc>
        <w:tc>
          <w:tcPr>
            <w:tcW w:w="1596" w:type="dxa"/>
          </w:tcPr>
          <w:p>
            <w:pPr>
              <w:pStyle w:val="33"/>
              <w:rPr>
                <w:rFonts w:ascii="Times New Roman"/>
                <w:sz w:val="20"/>
              </w:rPr>
            </w:pPr>
          </w:p>
        </w:tc>
        <w:tc>
          <w:tcPr>
            <w:tcW w:w="1275" w:type="dxa"/>
          </w:tcPr>
          <w:p>
            <w:pPr>
              <w:pStyle w:val="33"/>
              <w:rPr>
                <w:rFonts w:ascii="Times New Roman"/>
                <w:sz w:val="20"/>
              </w:rPr>
            </w:pPr>
          </w:p>
        </w:tc>
        <w:tc>
          <w:tcPr>
            <w:tcW w:w="1560" w:type="dxa"/>
          </w:tcPr>
          <w:p>
            <w:pPr>
              <w:pStyle w:val="33"/>
              <w:rPr>
                <w:rFonts w:ascii="Times New Roman"/>
                <w:sz w:val="20"/>
              </w:rPr>
            </w:pPr>
          </w:p>
        </w:tc>
        <w:tc>
          <w:tcPr>
            <w:tcW w:w="1135" w:type="dxa"/>
          </w:tcPr>
          <w:p>
            <w:pPr>
              <w:pStyle w:val="33"/>
              <w:rPr>
                <w:rFonts w:ascii="Times New Roman"/>
                <w:sz w:val="20"/>
              </w:rPr>
            </w:pPr>
          </w:p>
        </w:tc>
        <w:tc>
          <w:tcPr>
            <w:tcW w:w="849" w:type="dxa"/>
          </w:tcPr>
          <w:p>
            <w:pPr>
              <w:pStyle w:val="33"/>
              <w:rPr>
                <w:rFonts w:ascii="Times New Roman"/>
                <w:sz w:val="20"/>
              </w:rPr>
            </w:pPr>
          </w:p>
        </w:tc>
        <w:tc>
          <w:tcPr>
            <w:tcW w:w="1843"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96" w:type="dxa"/>
          </w:tcPr>
          <w:p>
            <w:pPr>
              <w:pStyle w:val="33"/>
              <w:rPr>
                <w:rFonts w:ascii="Times New Roman"/>
                <w:sz w:val="20"/>
              </w:rPr>
            </w:pPr>
          </w:p>
        </w:tc>
        <w:tc>
          <w:tcPr>
            <w:tcW w:w="1596" w:type="dxa"/>
          </w:tcPr>
          <w:p>
            <w:pPr>
              <w:pStyle w:val="33"/>
              <w:rPr>
                <w:rFonts w:ascii="Times New Roman"/>
                <w:sz w:val="20"/>
              </w:rPr>
            </w:pPr>
          </w:p>
        </w:tc>
        <w:tc>
          <w:tcPr>
            <w:tcW w:w="1275" w:type="dxa"/>
          </w:tcPr>
          <w:p>
            <w:pPr>
              <w:pStyle w:val="33"/>
              <w:rPr>
                <w:rFonts w:ascii="Times New Roman"/>
                <w:sz w:val="20"/>
              </w:rPr>
            </w:pPr>
          </w:p>
        </w:tc>
        <w:tc>
          <w:tcPr>
            <w:tcW w:w="1560" w:type="dxa"/>
          </w:tcPr>
          <w:p>
            <w:pPr>
              <w:pStyle w:val="33"/>
              <w:rPr>
                <w:rFonts w:ascii="Times New Roman"/>
                <w:sz w:val="20"/>
              </w:rPr>
            </w:pPr>
          </w:p>
        </w:tc>
        <w:tc>
          <w:tcPr>
            <w:tcW w:w="1135" w:type="dxa"/>
          </w:tcPr>
          <w:p>
            <w:pPr>
              <w:pStyle w:val="33"/>
              <w:rPr>
                <w:rFonts w:ascii="Times New Roman"/>
                <w:sz w:val="20"/>
              </w:rPr>
            </w:pPr>
          </w:p>
        </w:tc>
        <w:tc>
          <w:tcPr>
            <w:tcW w:w="849" w:type="dxa"/>
          </w:tcPr>
          <w:p>
            <w:pPr>
              <w:pStyle w:val="33"/>
              <w:rPr>
                <w:rFonts w:ascii="Times New Roman"/>
                <w:sz w:val="20"/>
              </w:rPr>
            </w:pPr>
          </w:p>
        </w:tc>
        <w:tc>
          <w:tcPr>
            <w:tcW w:w="1843"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696" w:type="dxa"/>
          </w:tcPr>
          <w:p>
            <w:pPr>
              <w:pStyle w:val="33"/>
              <w:rPr>
                <w:rFonts w:ascii="Times New Roman"/>
                <w:sz w:val="20"/>
              </w:rPr>
            </w:pPr>
          </w:p>
        </w:tc>
        <w:tc>
          <w:tcPr>
            <w:tcW w:w="1596" w:type="dxa"/>
          </w:tcPr>
          <w:p>
            <w:pPr>
              <w:pStyle w:val="33"/>
              <w:rPr>
                <w:rFonts w:ascii="Times New Roman"/>
                <w:sz w:val="20"/>
              </w:rPr>
            </w:pPr>
          </w:p>
        </w:tc>
        <w:tc>
          <w:tcPr>
            <w:tcW w:w="1275" w:type="dxa"/>
          </w:tcPr>
          <w:p>
            <w:pPr>
              <w:pStyle w:val="33"/>
              <w:rPr>
                <w:rFonts w:ascii="Times New Roman"/>
                <w:sz w:val="20"/>
              </w:rPr>
            </w:pPr>
          </w:p>
        </w:tc>
        <w:tc>
          <w:tcPr>
            <w:tcW w:w="1560" w:type="dxa"/>
          </w:tcPr>
          <w:p>
            <w:pPr>
              <w:pStyle w:val="33"/>
              <w:rPr>
                <w:rFonts w:ascii="Times New Roman"/>
                <w:sz w:val="20"/>
              </w:rPr>
            </w:pPr>
          </w:p>
        </w:tc>
        <w:tc>
          <w:tcPr>
            <w:tcW w:w="1135" w:type="dxa"/>
          </w:tcPr>
          <w:p>
            <w:pPr>
              <w:pStyle w:val="33"/>
              <w:rPr>
                <w:rFonts w:ascii="Times New Roman"/>
                <w:sz w:val="20"/>
              </w:rPr>
            </w:pPr>
          </w:p>
        </w:tc>
        <w:tc>
          <w:tcPr>
            <w:tcW w:w="849" w:type="dxa"/>
          </w:tcPr>
          <w:p>
            <w:pPr>
              <w:pStyle w:val="33"/>
              <w:rPr>
                <w:rFonts w:ascii="Times New Roman"/>
                <w:sz w:val="20"/>
              </w:rPr>
            </w:pPr>
          </w:p>
        </w:tc>
        <w:tc>
          <w:tcPr>
            <w:tcW w:w="1843"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96" w:type="dxa"/>
          </w:tcPr>
          <w:p>
            <w:pPr>
              <w:pStyle w:val="33"/>
              <w:rPr>
                <w:rFonts w:ascii="Times New Roman"/>
                <w:sz w:val="20"/>
              </w:rPr>
            </w:pPr>
          </w:p>
        </w:tc>
        <w:tc>
          <w:tcPr>
            <w:tcW w:w="1596" w:type="dxa"/>
          </w:tcPr>
          <w:p>
            <w:pPr>
              <w:pStyle w:val="33"/>
              <w:rPr>
                <w:rFonts w:ascii="Times New Roman"/>
                <w:sz w:val="20"/>
              </w:rPr>
            </w:pPr>
          </w:p>
        </w:tc>
        <w:tc>
          <w:tcPr>
            <w:tcW w:w="1275" w:type="dxa"/>
          </w:tcPr>
          <w:p>
            <w:pPr>
              <w:pStyle w:val="33"/>
              <w:rPr>
                <w:rFonts w:ascii="Times New Roman"/>
                <w:sz w:val="20"/>
              </w:rPr>
            </w:pPr>
          </w:p>
        </w:tc>
        <w:tc>
          <w:tcPr>
            <w:tcW w:w="1560" w:type="dxa"/>
          </w:tcPr>
          <w:p>
            <w:pPr>
              <w:pStyle w:val="33"/>
              <w:rPr>
                <w:rFonts w:ascii="Times New Roman"/>
                <w:sz w:val="20"/>
              </w:rPr>
            </w:pPr>
          </w:p>
        </w:tc>
        <w:tc>
          <w:tcPr>
            <w:tcW w:w="1135" w:type="dxa"/>
          </w:tcPr>
          <w:p>
            <w:pPr>
              <w:pStyle w:val="33"/>
              <w:rPr>
                <w:rFonts w:ascii="Times New Roman"/>
                <w:sz w:val="20"/>
              </w:rPr>
            </w:pPr>
          </w:p>
        </w:tc>
        <w:tc>
          <w:tcPr>
            <w:tcW w:w="849" w:type="dxa"/>
          </w:tcPr>
          <w:p>
            <w:pPr>
              <w:pStyle w:val="33"/>
              <w:rPr>
                <w:rFonts w:ascii="Times New Roman"/>
                <w:sz w:val="20"/>
              </w:rPr>
            </w:pPr>
          </w:p>
        </w:tc>
        <w:tc>
          <w:tcPr>
            <w:tcW w:w="1843"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696" w:type="dxa"/>
          </w:tcPr>
          <w:p>
            <w:pPr>
              <w:pStyle w:val="33"/>
              <w:rPr>
                <w:rFonts w:ascii="Times New Roman"/>
                <w:sz w:val="20"/>
              </w:rPr>
            </w:pPr>
          </w:p>
        </w:tc>
        <w:tc>
          <w:tcPr>
            <w:tcW w:w="1596" w:type="dxa"/>
          </w:tcPr>
          <w:p>
            <w:pPr>
              <w:pStyle w:val="33"/>
              <w:rPr>
                <w:rFonts w:ascii="Times New Roman"/>
                <w:sz w:val="20"/>
              </w:rPr>
            </w:pPr>
          </w:p>
        </w:tc>
        <w:tc>
          <w:tcPr>
            <w:tcW w:w="1275" w:type="dxa"/>
          </w:tcPr>
          <w:p>
            <w:pPr>
              <w:pStyle w:val="33"/>
              <w:rPr>
                <w:rFonts w:ascii="Times New Roman"/>
                <w:sz w:val="20"/>
              </w:rPr>
            </w:pPr>
          </w:p>
        </w:tc>
        <w:tc>
          <w:tcPr>
            <w:tcW w:w="1560" w:type="dxa"/>
          </w:tcPr>
          <w:p>
            <w:pPr>
              <w:pStyle w:val="33"/>
              <w:rPr>
                <w:rFonts w:ascii="Times New Roman"/>
                <w:sz w:val="20"/>
              </w:rPr>
            </w:pPr>
          </w:p>
        </w:tc>
        <w:tc>
          <w:tcPr>
            <w:tcW w:w="1135" w:type="dxa"/>
          </w:tcPr>
          <w:p>
            <w:pPr>
              <w:pStyle w:val="33"/>
              <w:rPr>
                <w:rFonts w:ascii="Times New Roman"/>
                <w:sz w:val="20"/>
              </w:rPr>
            </w:pPr>
          </w:p>
        </w:tc>
        <w:tc>
          <w:tcPr>
            <w:tcW w:w="849" w:type="dxa"/>
          </w:tcPr>
          <w:p>
            <w:pPr>
              <w:pStyle w:val="33"/>
              <w:rPr>
                <w:rFonts w:ascii="Times New Roman"/>
                <w:sz w:val="20"/>
              </w:rPr>
            </w:pPr>
          </w:p>
        </w:tc>
        <w:tc>
          <w:tcPr>
            <w:tcW w:w="1843"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96" w:type="dxa"/>
          </w:tcPr>
          <w:p>
            <w:pPr>
              <w:pStyle w:val="33"/>
              <w:rPr>
                <w:rFonts w:ascii="Times New Roman"/>
                <w:sz w:val="20"/>
              </w:rPr>
            </w:pPr>
          </w:p>
        </w:tc>
        <w:tc>
          <w:tcPr>
            <w:tcW w:w="1596" w:type="dxa"/>
          </w:tcPr>
          <w:p>
            <w:pPr>
              <w:pStyle w:val="33"/>
              <w:rPr>
                <w:rFonts w:ascii="Times New Roman"/>
                <w:sz w:val="20"/>
              </w:rPr>
            </w:pPr>
          </w:p>
        </w:tc>
        <w:tc>
          <w:tcPr>
            <w:tcW w:w="1275" w:type="dxa"/>
          </w:tcPr>
          <w:p>
            <w:pPr>
              <w:pStyle w:val="33"/>
              <w:rPr>
                <w:rFonts w:ascii="Times New Roman"/>
                <w:sz w:val="20"/>
              </w:rPr>
            </w:pPr>
          </w:p>
        </w:tc>
        <w:tc>
          <w:tcPr>
            <w:tcW w:w="1560" w:type="dxa"/>
          </w:tcPr>
          <w:p>
            <w:pPr>
              <w:pStyle w:val="33"/>
              <w:rPr>
                <w:rFonts w:ascii="Times New Roman"/>
                <w:sz w:val="20"/>
              </w:rPr>
            </w:pPr>
          </w:p>
        </w:tc>
        <w:tc>
          <w:tcPr>
            <w:tcW w:w="1135" w:type="dxa"/>
          </w:tcPr>
          <w:p>
            <w:pPr>
              <w:pStyle w:val="33"/>
              <w:rPr>
                <w:rFonts w:ascii="Times New Roman"/>
                <w:sz w:val="20"/>
              </w:rPr>
            </w:pPr>
          </w:p>
        </w:tc>
        <w:tc>
          <w:tcPr>
            <w:tcW w:w="849" w:type="dxa"/>
          </w:tcPr>
          <w:p>
            <w:pPr>
              <w:pStyle w:val="33"/>
              <w:rPr>
                <w:rFonts w:ascii="Times New Roman"/>
                <w:sz w:val="20"/>
              </w:rPr>
            </w:pPr>
          </w:p>
        </w:tc>
        <w:tc>
          <w:tcPr>
            <w:tcW w:w="1843"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696" w:type="dxa"/>
          </w:tcPr>
          <w:p>
            <w:pPr>
              <w:pStyle w:val="33"/>
              <w:rPr>
                <w:rFonts w:ascii="Times New Roman"/>
                <w:sz w:val="20"/>
              </w:rPr>
            </w:pPr>
          </w:p>
        </w:tc>
        <w:tc>
          <w:tcPr>
            <w:tcW w:w="1596" w:type="dxa"/>
          </w:tcPr>
          <w:p>
            <w:pPr>
              <w:pStyle w:val="33"/>
              <w:rPr>
                <w:rFonts w:ascii="Times New Roman"/>
                <w:sz w:val="20"/>
              </w:rPr>
            </w:pPr>
          </w:p>
        </w:tc>
        <w:tc>
          <w:tcPr>
            <w:tcW w:w="1275" w:type="dxa"/>
          </w:tcPr>
          <w:p>
            <w:pPr>
              <w:pStyle w:val="33"/>
              <w:rPr>
                <w:rFonts w:ascii="Times New Roman"/>
                <w:sz w:val="20"/>
              </w:rPr>
            </w:pPr>
          </w:p>
        </w:tc>
        <w:tc>
          <w:tcPr>
            <w:tcW w:w="1560" w:type="dxa"/>
          </w:tcPr>
          <w:p>
            <w:pPr>
              <w:pStyle w:val="33"/>
              <w:rPr>
                <w:rFonts w:ascii="Times New Roman"/>
                <w:sz w:val="20"/>
              </w:rPr>
            </w:pPr>
          </w:p>
        </w:tc>
        <w:tc>
          <w:tcPr>
            <w:tcW w:w="1135" w:type="dxa"/>
          </w:tcPr>
          <w:p>
            <w:pPr>
              <w:pStyle w:val="33"/>
              <w:rPr>
                <w:rFonts w:ascii="Times New Roman"/>
                <w:sz w:val="20"/>
              </w:rPr>
            </w:pPr>
          </w:p>
        </w:tc>
        <w:tc>
          <w:tcPr>
            <w:tcW w:w="849" w:type="dxa"/>
          </w:tcPr>
          <w:p>
            <w:pPr>
              <w:pStyle w:val="33"/>
              <w:rPr>
                <w:rFonts w:ascii="Times New Roman"/>
                <w:sz w:val="20"/>
              </w:rPr>
            </w:pPr>
          </w:p>
        </w:tc>
        <w:tc>
          <w:tcPr>
            <w:tcW w:w="1843" w:type="dxa"/>
          </w:tcPr>
          <w:p>
            <w:pPr>
              <w:pStyle w:val="33"/>
              <w:rPr>
                <w:rFonts w:ascii="Times New Roman"/>
                <w:sz w:val="20"/>
              </w:rPr>
            </w:pPr>
          </w:p>
        </w:tc>
      </w:tr>
    </w:tbl>
    <w:p>
      <w:pPr>
        <w:pStyle w:val="10"/>
        <w:rPr>
          <w:sz w:val="26"/>
        </w:rPr>
      </w:pPr>
    </w:p>
    <w:p>
      <w:pPr>
        <w:pStyle w:val="10"/>
        <w:spacing w:before="8"/>
        <w:rPr>
          <w:sz w:val="30"/>
        </w:rPr>
      </w:pPr>
    </w:p>
    <w:p>
      <w:pPr>
        <w:tabs>
          <w:tab w:val="left" w:pos="2763"/>
          <w:tab w:val="left" w:pos="6705"/>
          <w:tab w:val="left" w:pos="8928"/>
        </w:tabs>
        <w:ind w:left="90"/>
        <w:jc w:val="center"/>
        <w:rPr>
          <w:rFonts w:eastAsia="Times New Roman"/>
        </w:rPr>
      </w:pPr>
      <w:r>
        <w:t>招标</w:t>
      </w:r>
      <w:r>
        <w:rPr>
          <w:spacing w:val="-3"/>
        </w:rPr>
        <w:t>人</w:t>
      </w:r>
      <w:r>
        <w:t>代</w:t>
      </w:r>
      <w:r>
        <w:rPr>
          <w:spacing w:val="-3"/>
        </w:rPr>
        <w:t>表</w:t>
      </w:r>
      <w:r>
        <w:t>：</w:t>
      </w:r>
      <w:r>
        <w:rPr>
          <w:u w:val="single"/>
        </w:rPr>
        <w:t xml:space="preserve"> </w:t>
      </w:r>
      <w:r>
        <w:rPr>
          <w:u w:val="single"/>
        </w:rPr>
        <w:tab/>
      </w:r>
      <w:r>
        <w:tab/>
      </w:r>
      <w:r>
        <w:t>记</w:t>
      </w:r>
      <w:r>
        <w:rPr>
          <w:spacing w:val="-3"/>
        </w:rPr>
        <w:t>录人</w:t>
      </w:r>
      <w:r>
        <w:t>：</w:t>
      </w:r>
      <w:r>
        <w:rPr>
          <w:rFonts w:eastAsia="Times New Roman"/>
          <w:u w:val="single"/>
        </w:rPr>
        <w:t xml:space="preserve"> </w:t>
      </w:r>
      <w:r>
        <w:rPr>
          <w:rFonts w:eastAsia="Times New Roman"/>
          <w:u w:val="single"/>
        </w:rPr>
        <w:tab/>
      </w:r>
    </w:p>
    <w:p>
      <w:pPr>
        <w:pStyle w:val="10"/>
        <w:spacing w:before="8"/>
      </w:pPr>
    </w:p>
    <w:p>
      <w:pPr>
        <w:rPr>
          <w:rFonts w:ascii="宋体" w:hAnsi="宋体" w:cs="宋体"/>
          <w:sz w:val="24"/>
        </w:rPr>
      </w:pPr>
      <w:r>
        <w:rPr>
          <w:rFonts w:eastAsia="Times New Roman"/>
          <w:u w:val="single"/>
        </w:rPr>
        <w:t xml:space="preserve"> </w:t>
      </w:r>
      <w:r>
        <w:rPr>
          <w:rFonts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rPr>
          <w:rFonts w:ascii="宋体" w:hAnsi="宋体" w:cs="宋体"/>
          <w:szCs w:val="21"/>
        </w:rPr>
      </w:pPr>
    </w:p>
    <w:p>
      <w:pPr>
        <w:rPr>
          <w:rFonts w:ascii="宋体" w:hAnsi="宋体" w:cs="宋体"/>
          <w:sz w:val="24"/>
        </w:rPr>
      </w:pPr>
    </w:p>
    <w:p>
      <w:pPr>
        <w:rPr>
          <w:rFonts w:ascii="宋体" w:hAnsi="宋体" w:cs="宋体"/>
          <w:sz w:val="24"/>
        </w:rPr>
      </w:pPr>
    </w:p>
    <w:p>
      <w:pPr>
        <w:tabs>
          <w:tab w:val="left" w:pos="2029"/>
          <w:tab w:val="left" w:pos="4274"/>
        </w:tabs>
        <w:spacing w:before="70" w:line="292" w:lineRule="auto"/>
        <w:ind w:right="1009"/>
        <w:jc w:val="center"/>
        <w:rPr>
          <w:rFonts w:ascii="黑体" w:eastAsia="黑体"/>
          <w:sz w:val="28"/>
        </w:rPr>
      </w:pPr>
      <w:bookmarkStart w:id="120" w:name="_Toc18267"/>
      <w:bookmarkStart w:id="121" w:name="_Toc432367754"/>
      <w:bookmarkStart w:id="122" w:name="_Toc369608052"/>
      <w:r>
        <w:rPr>
          <w:rFonts w:hint="eastAsia" w:ascii="黑体" w:eastAsia="黑体"/>
          <w:sz w:val="28"/>
        </w:rPr>
        <w:br w:type="page"/>
      </w:r>
    </w:p>
    <w:p>
      <w:pPr>
        <w:tabs>
          <w:tab w:val="left" w:pos="2029"/>
          <w:tab w:val="left" w:pos="4274"/>
        </w:tabs>
        <w:spacing w:before="70" w:line="292" w:lineRule="auto"/>
        <w:ind w:right="1009"/>
        <w:jc w:val="center"/>
        <w:rPr>
          <w:rFonts w:ascii="黑体" w:eastAsia="黑体"/>
          <w:spacing w:val="-3"/>
          <w:sz w:val="28"/>
        </w:rPr>
      </w:pPr>
      <w:r>
        <w:rPr>
          <w:rFonts w:hint="eastAsia" w:ascii="黑体" w:eastAsia="黑体"/>
          <w:sz w:val="28"/>
        </w:rPr>
        <w:t>（项目名称）</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标段施工</w:t>
      </w:r>
      <w:r>
        <w:rPr>
          <w:rFonts w:hint="eastAsia" w:ascii="黑体" w:eastAsia="黑体"/>
          <w:spacing w:val="-3"/>
          <w:sz w:val="28"/>
        </w:rPr>
        <w:t>第</w:t>
      </w:r>
      <w:r>
        <w:rPr>
          <w:rFonts w:hint="eastAsia" w:ascii="黑体" w:eastAsia="黑体"/>
          <w:sz w:val="28"/>
        </w:rPr>
        <w:t>二个信</w:t>
      </w:r>
      <w:r>
        <w:rPr>
          <w:rFonts w:hint="eastAsia" w:ascii="黑体" w:eastAsia="黑体"/>
          <w:spacing w:val="-3"/>
          <w:sz w:val="28"/>
        </w:rPr>
        <w:t>封</w:t>
      </w:r>
    </w:p>
    <w:p>
      <w:pPr>
        <w:tabs>
          <w:tab w:val="left" w:pos="2029"/>
          <w:tab w:val="left" w:pos="4274"/>
        </w:tabs>
        <w:spacing w:before="70" w:line="292" w:lineRule="auto"/>
        <w:ind w:right="1009"/>
        <w:jc w:val="center"/>
        <w:rPr>
          <w:rFonts w:ascii="黑体" w:eastAsia="黑体"/>
          <w:sz w:val="28"/>
        </w:rPr>
      </w:pPr>
      <w:r>
        <w:rPr>
          <w:rFonts w:hint="eastAsia" w:ascii="黑体" w:eastAsia="黑体"/>
          <w:sz w:val="28"/>
        </w:rPr>
        <w:t>（报</w:t>
      </w:r>
      <w:r>
        <w:rPr>
          <w:rFonts w:hint="eastAsia" w:ascii="黑体" w:eastAsia="黑体"/>
          <w:spacing w:val="-3"/>
          <w:sz w:val="28"/>
        </w:rPr>
        <w:t>价文</w:t>
      </w:r>
      <w:r>
        <w:rPr>
          <w:rFonts w:hint="eastAsia" w:ascii="黑体" w:eastAsia="黑体"/>
          <w:sz w:val="28"/>
        </w:rPr>
        <w:t>件</w:t>
      </w:r>
      <w:r>
        <w:rPr>
          <w:rFonts w:hint="eastAsia" w:ascii="黑体" w:eastAsia="黑体"/>
          <w:spacing w:val="-15"/>
          <w:sz w:val="28"/>
        </w:rPr>
        <w:t xml:space="preserve">） </w:t>
      </w:r>
      <w:r>
        <w:rPr>
          <w:rFonts w:hint="eastAsia" w:ascii="黑体" w:eastAsia="黑体"/>
          <w:sz w:val="28"/>
        </w:rPr>
        <w:t>开标记</w:t>
      </w:r>
      <w:r>
        <w:rPr>
          <w:rFonts w:hint="eastAsia" w:ascii="黑体" w:eastAsia="黑体"/>
          <w:spacing w:val="-3"/>
          <w:sz w:val="28"/>
        </w:rPr>
        <w:t>录</w:t>
      </w:r>
      <w:r>
        <w:rPr>
          <w:rFonts w:hint="eastAsia" w:ascii="黑体" w:eastAsia="黑体"/>
          <w:sz w:val="28"/>
        </w:rPr>
        <w:t>表</w:t>
      </w:r>
    </w:p>
    <w:p>
      <w:pPr>
        <w:pStyle w:val="10"/>
        <w:tabs>
          <w:tab w:val="left" w:pos="6518"/>
          <w:tab w:val="left" w:pos="7118"/>
          <w:tab w:val="left" w:pos="7719"/>
          <w:tab w:val="left" w:pos="8319"/>
          <w:tab w:val="left" w:pos="8919"/>
        </w:tabs>
        <w:spacing w:before="43" w:after="22"/>
        <w:ind w:left="4958"/>
      </w:pPr>
      <w:r>
        <w:t>开标时间：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u w:val="single"/>
        </w:rPr>
        <w:t xml:space="preserve"> </w:t>
      </w:r>
      <w:r>
        <w:rPr>
          <w:u w:val="single"/>
        </w:rPr>
        <w:tab/>
      </w:r>
      <w:r>
        <w:t>时</w:t>
      </w:r>
      <w:r>
        <w:rPr>
          <w:u w:val="single"/>
        </w:rPr>
        <w:t xml:space="preserve"> </w:t>
      </w:r>
      <w:r>
        <w:rPr>
          <w:u w:val="single"/>
        </w:rPr>
        <w:tab/>
      </w:r>
      <w:r>
        <w:t>分</w:t>
      </w:r>
    </w:p>
    <w:tbl>
      <w:tblPr>
        <w:tblStyle w:val="16"/>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440"/>
        <w:gridCol w:w="1364"/>
        <w:gridCol w:w="1561"/>
        <w:gridCol w:w="1181"/>
        <w:gridCol w:w="1008"/>
        <w:gridCol w:w="1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jc w:val="center"/>
        </w:trPr>
        <w:tc>
          <w:tcPr>
            <w:tcW w:w="708" w:type="dxa"/>
          </w:tcPr>
          <w:p>
            <w:pPr>
              <w:pStyle w:val="33"/>
              <w:rPr>
                <w:sz w:val="20"/>
              </w:rPr>
            </w:pPr>
          </w:p>
          <w:p>
            <w:pPr>
              <w:pStyle w:val="33"/>
              <w:spacing w:before="4"/>
              <w:rPr>
                <w:sz w:val="14"/>
              </w:rPr>
            </w:pPr>
          </w:p>
          <w:p>
            <w:pPr>
              <w:pStyle w:val="33"/>
              <w:ind w:left="143"/>
            </w:pPr>
            <w:r>
              <w:t>序号</w:t>
            </w:r>
          </w:p>
        </w:tc>
        <w:tc>
          <w:tcPr>
            <w:tcW w:w="1440" w:type="dxa"/>
          </w:tcPr>
          <w:p>
            <w:pPr>
              <w:pStyle w:val="33"/>
              <w:rPr>
                <w:sz w:val="20"/>
              </w:rPr>
            </w:pPr>
          </w:p>
          <w:p>
            <w:pPr>
              <w:pStyle w:val="33"/>
              <w:spacing w:before="4"/>
              <w:rPr>
                <w:sz w:val="14"/>
              </w:rPr>
            </w:pPr>
          </w:p>
          <w:p>
            <w:pPr>
              <w:pStyle w:val="33"/>
              <w:ind w:left="402"/>
              <w:rPr>
                <w:rFonts w:hint="eastAsia" w:eastAsia="宋体"/>
                <w:lang w:eastAsia="zh-CN"/>
              </w:rPr>
            </w:pPr>
            <w:r>
              <w:rPr>
                <w:rFonts w:hint="eastAsia"/>
                <w:lang w:eastAsia="zh-CN"/>
              </w:rPr>
              <w:t>交易响应单位</w:t>
            </w:r>
          </w:p>
        </w:tc>
        <w:tc>
          <w:tcPr>
            <w:tcW w:w="1364" w:type="dxa"/>
          </w:tcPr>
          <w:p>
            <w:pPr>
              <w:pStyle w:val="33"/>
              <w:rPr>
                <w:sz w:val="20"/>
              </w:rPr>
            </w:pPr>
          </w:p>
          <w:p>
            <w:pPr>
              <w:pStyle w:val="33"/>
              <w:spacing w:before="4"/>
              <w:rPr>
                <w:sz w:val="14"/>
              </w:rPr>
            </w:pPr>
          </w:p>
          <w:p>
            <w:pPr>
              <w:pStyle w:val="33"/>
              <w:ind w:left="259"/>
            </w:pPr>
            <w:r>
              <w:t>密封情况</w:t>
            </w:r>
          </w:p>
        </w:tc>
        <w:tc>
          <w:tcPr>
            <w:tcW w:w="1561" w:type="dxa"/>
          </w:tcPr>
          <w:p>
            <w:pPr>
              <w:pStyle w:val="33"/>
              <w:rPr>
                <w:sz w:val="20"/>
              </w:rPr>
            </w:pPr>
          </w:p>
          <w:p>
            <w:pPr>
              <w:pStyle w:val="33"/>
              <w:spacing w:before="4"/>
              <w:rPr>
                <w:sz w:val="14"/>
              </w:rPr>
            </w:pPr>
          </w:p>
          <w:p>
            <w:pPr>
              <w:pStyle w:val="33"/>
              <w:ind w:left="40"/>
            </w:pPr>
            <w:r>
              <w:t>投标报价（元）</w:t>
            </w:r>
          </w:p>
        </w:tc>
        <w:tc>
          <w:tcPr>
            <w:tcW w:w="1181" w:type="dxa"/>
          </w:tcPr>
          <w:p>
            <w:pPr>
              <w:pStyle w:val="33"/>
              <w:spacing w:line="500" w:lineRule="exact"/>
              <w:ind w:left="61" w:right="54"/>
            </w:pPr>
            <w:r>
              <w:t>是否超过最高投标限价</w:t>
            </w:r>
          </w:p>
        </w:tc>
        <w:tc>
          <w:tcPr>
            <w:tcW w:w="1008" w:type="dxa"/>
          </w:tcPr>
          <w:p>
            <w:pPr>
              <w:pStyle w:val="33"/>
              <w:rPr>
                <w:sz w:val="20"/>
              </w:rPr>
            </w:pPr>
          </w:p>
          <w:p>
            <w:pPr>
              <w:pStyle w:val="33"/>
              <w:spacing w:before="4"/>
              <w:rPr>
                <w:sz w:val="14"/>
              </w:rPr>
            </w:pPr>
          </w:p>
          <w:p>
            <w:pPr>
              <w:pStyle w:val="33"/>
              <w:ind w:left="291"/>
            </w:pPr>
            <w:r>
              <w:t>备注</w:t>
            </w:r>
          </w:p>
        </w:tc>
        <w:tc>
          <w:tcPr>
            <w:tcW w:w="1738" w:type="dxa"/>
          </w:tcPr>
          <w:p>
            <w:pPr>
              <w:pStyle w:val="33"/>
              <w:rPr>
                <w:sz w:val="20"/>
              </w:rPr>
            </w:pPr>
          </w:p>
          <w:p>
            <w:pPr>
              <w:pStyle w:val="33"/>
              <w:spacing w:before="4"/>
              <w:rPr>
                <w:sz w:val="14"/>
              </w:rPr>
            </w:pPr>
          </w:p>
          <w:p>
            <w:pPr>
              <w:pStyle w:val="33"/>
              <w:ind w:left="131"/>
            </w:pPr>
            <w:r>
              <w:rPr>
                <w:rFonts w:hint="eastAsia"/>
                <w:lang w:eastAsia="zh-CN"/>
              </w:rPr>
              <w:t>交易响应单位</w:t>
            </w:r>
            <w:r>
              <w:t>代表签名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708" w:type="dxa"/>
          </w:tcPr>
          <w:p>
            <w:pPr>
              <w:pStyle w:val="33"/>
              <w:rPr>
                <w:rFonts w:ascii="Times New Roman"/>
                <w:sz w:val="22"/>
              </w:rPr>
            </w:pPr>
          </w:p>
        </w:tc>
        <w:tc>
          <w:tcPr>
            <w:tcW w:w="1440" w:type="dxa"/>
          </w:tcPr>
          <w:p>
            <w:pPr>
              <w:pStyle w:val="33"/>
              <w:rPr>
                <w:rFonts w:ascii="Times New Roman"/>
                <w:sz w:val="22"/>
              </w:rPr>
            </w:pPr>
          </w:p>
        </w:tc>
        <w:tc>
          <w:tcPr>
            <w:tcW w:w="1364" w:type="dxa"/>
          </w:tcPr>
          <w:p>
            <w:pPr>
              <w:pStyle w:val="33"/>
              <w:rPr>
                <w:rFonts w:ascii="Times New Roman"/>
                <w:sz w:val="22"/>
              </w:rPr>
            </w:pPr>
          </w:p>
        </w:tc>
        <w:tc>
          <w:tcPr>
            <w:tcW w:w="1561" w:type="dxa"/>
          </w:tcPr>
          <w:p>
            <w:pPr>
              <w:pStyle w:val="33"/>
              <w:rPr>
                <w:rFonts w:ascii="Times New Roman"/>
                <w:sz w:val="22"/>
              </w:rPr>
            </w:pPr>
          </w:p>
        </w:tc>
        <w:tc>
          <w:tcPr>
            <w:tcW w:w="1181" w:type="dxa"/>
          </w:tcPr>
          <w:p>
            <w:pPr>
              <w:pStyle w:val="33"/>
              <w:rPr>
                <w:rFonts w:ascii="Times New Roman"/>
                <w:sz w:val="22"/>
              </w:rPr>
            </w:pPr>
          </w:p>
        </w:tc>
        <w:tc>
          <w:tcPr>
            <w:tcW w:w="1008" w:type="dxa"/>
          </w:tcPr>
          <w:p>
            <w:pPr>
              <w:pStyle w:val="33"/>
              <w:rPr>
                <w:rFonts w:ascii="Times New Roman"/>
                <w:sz w:val="22"/>
              </w:rPr>
            </w:pPr>
          </w:p>
        </w:tc>
        <w:tc>
          <w:tcPr>
            <w:tcW w:w="1738" w:type="dxa"/>
          </w:tcPr>
          <w:p>
            <w:pPr>
              <w:pStyle w:val="3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708" w:type="dxa"/>
          </w:tcPr>
          <w:p>
            <w:pPr>
              <w:pStyle w:val="33"/>
              <w:rPr>
                <w:rFonts w:ascii="Times New Roman"/>
                <w:sz w:val="22"/>
              </w:rPr>
            </w:pPr>
          </w:p>
        </w:tc>
        <w:tc>
          <w:tcPr>
            <w:tcW w:w="1440" w:type="dxa"/>
          </w:tcPr>
          <w:p>
            <w:pPr>
              <w:pStyle w:val="33"/>
              <w:rPr>
                <w:rFonts w:ascii="Times New Roman"/>
                <w:sz w:val="22"/>
              </w:rPr>
            </w:pPr>
          </w:p>
        </w:tc>
        <w:tc>
          <w:tcPr>
            <w:tcW w:w="1364" w:type="dxa"/>
          </w:tcPr>
          <w:p>
            <w:pPr>
              <w:pStyle w:val="33"/>
              <w:rPr>
                <w:rFonts w:ascii="Times New Roman"/>
                <w:sz w:val="22"/>
              </w:rPr>
            </w:pPr>
          </w:p>
        </w:tc>
        <w:tc>
          <w:tcPr>
            <w:tcW w:w="1561" w:type="dxa"/>
          </w:tcPr>
          <w:p>
            <w:pPr>
              <w:pStyle w:val="33"/>
              <w:rPr>
                <w:rFonts w:ascii="Times New Roman"/>
                <w:sz w:val="22"/>
              </w:rPr>
            </w:pPr>
          </w:p>
        </w:tc>
        <w:tc>
          <w:tcPr>
            <w:tcW w:w="1181" w:type="dxa"/>
          </w:tcPr>
          <w:p>
            <w:pPr>
              <w:pStyle w:val="33"/>
              <w:rPr>
                <w:rFonts w:ascii="Times New Roman"/>
                <w:sz w:val="22"/>
              </w:rPr>
            </w:pPr>
          </w:p>
        </w:tc>
        <w:tc>
          <w:tcPr>
            <w:tcW w:w="1008" w:type="dxa"/>
          </w:tcPr>
          <w:p>
            <w:pPr>
              <w:pStyle w:val="33"/>
              <w:rPr>
                <w:rFonts w:ascii="Times New Roman"/>
                <w:sz w:val="22"/>
              </w:rPr>
            </w:pPr>
          </w:p>
        </w:tc>
        <w:tc>
          <w:tcPr>
            <w:tcW w:w="1738" w:type="dxa"/>
          </w:tcPr>
          <w:p>
            <w:pPr>
              <w:pStyle w:val="3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708" w:type="dxa"/>
          </w:tcPr>
          <w:p>
            <w:pPr>
              <w:pStyle w:val="33"/>
              <w:rPr>
                <w:rFonts w:ascii="Times New Roman"/>
                <w:sz w:val="22"/>
              </w:rPr>
            </w:pPr>
          </w:p>
        </w:tc>
        <w:tc>
          <w:tcPr>
            <w:tcW w:w="1440" w:type="dxa"/>
          </w:tcPr>
          <w:p>
            <w:pPr>
              <w:pStyle w:val="33"/>
              <w:rPr>
                <w:rFonts w:ascii="Times New Roman"/>
                <w:sz w:val="22"/>
              </w:rPr>
            </w:pPr>
          </w:p>
        </w:tc>
        <w:tc>
          <w:tcPr>
            <w:tcW w:w="1364" w:type="dxa"/>
          </w:tcPr>
          <w:p>
            <w:pPr>
              <w:pStyle w:val="33"/>
              <w:rPr>
                <w:rFonts w:ascii="Times New Roman"/>
                <w:sz w:val="22"/>
              </w:rPr>
            </w:pPr>
          </w:p>
        </w:tc>
        <w:tc>
          <w:tcPr>
            <w:tcW w:w="1561" w:type="dxa"/>
          </w:tcPr>
          <w:p>
            <w:pPr>
              <w:pStyle w:val="33"/>
              <w:rPr>
                <w:rFonts w:ascii="Times New Roman"/>
                <w:sz w:val="22"/>
              </w:rPr>
            </w:pPr>
          </w:p>
        </w:tc>
        <w:tc>
          <w:tcPr>
            <w:tcW w:w="1181" w:type="dxa"/>
          </w:tcPr>
          <w:p>
            <w:pPr>
              <w:pStyle w:val="33"/>
              <w:rPr>
                <w:rFonts w:ascii="Times New Roman"/>
                <w:sz w:val="22"/>
              </w:rPr>
            </w:pPr>
          </w:p>
        </w:tc>
        <w:tc>
          <w:tcPr>
            <w:tcW w:w="1008" w:type="dxa"/>
          </w:tcPr>
          <w:p>
            <w:pPr>
              <w:pStyle w:val="33"/>
              <w:rPr>
                <w:rFonts w:ascii="Times New Roman"/>
                <w:sz w:val="22"/>
              </w:rPr>
            </w:pPr>
          </w:p>
        </w:tc>
        <w:tc>
          <w:tcPr>
            <w:tcW w:w="1738" w:type="dxa"/>
          </w:tcPr>
          <w:p>
            <w:pPr>
              <w:pStyle w:val="3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708" w:type="dxa"/>
          </w:tcPr>
          <w:p>
            <w:pPr>
              <w:pStyle w:val="33"/>
              <w:rPr>
                <w:rFonts w:ascii="Times New Roman"/>
                <w:sz w:val="22"/>
              </w:rPr>
            </w:pPr>
          </w:p>
        </w:tc>
        <w:tc>
          <w:tcPr>
            <w:tcW w:w="1440" w:type="dxa"/>
          </w:tcPr>
          <w:p>
            <w:pPr>
              <w:pStyle w:val="33"/>
              <w:rPr>
                <w:rFonts w:ascii="Times New Roman"/>
                <w:sz w:val="22"/>
              </w:rPr>
            </w:pPr>
          </w:p>
        </w:tc>
        <w:tc>
          <w:tcPr>
            <w:tcW w:w="1364" w:type="dxa"/>
          </w:tcPr>
          <w:p>
            <w:pPr>
              <w:pStyle w:val="33"/>
              <w:rPr>
                <w:rFonts w:ascii="Times New Roman"/>
                <w:sz w:val="22"/>
              </w:rPr>
            </w:pPr>
          </w:p>
        </w:tc>
        <w:tc>
          <w:tcPr>
            <w:tcW w:w="1561" w:type="dxa"/>
          </w:tcPr>
          <w:p>
            <w:pPr>
              <w:pStyle w:val="33"/>
              <w:rPr>
                <w:rFonts w:ascii="Times New Roman"/>
                <w:sz w:val="22"/>
              </w:rPr>
            </w:pPr>
          </w:p>
        </w:tc>
        <w:tc>
          <w:tcPr>
            <w:tcW w:w="1181" w:type="dxa"/>
          </w:tcPr>
          <w:p>
            <w:pPr>
              <w:pStyle w:val="33"/>
              <w:rPr>
                <w:rFonts w:ascii="Times New Roman"/>
                <w:sz w:val="22"/>
              </w:rPr>
            </w:pPr>
          </w:p>
        </w:tc>
        <w:tc>
          <w:tcPr>
            <w:tcW w:w="1008" w:type="dxa"/>
          </w:tcPr>
          <w:p>
            <w:pPr>
              <w:pStyle w:val="33"/>
              <w:rPr>
                <w:rFonts w:ascii="Times New Roman"/>
                <w:sz w:val="22"/>
              </w:rPr>
            </w:pPr>
          </w:p>
        </w:tc>
        <w:tc>
          <w:tcPr>
            <w:tcW w:w="1738" w:type="dxa"/>
          </w:tcPr>
          <w:p>
            <w:pPr>
              <w:pStyle w:val="3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708" w:type="dxa"/>
          </w:tcPr>
          <w:p>
            <w:pPr>
              <w:pStyle w:val="33"/>
              <w:rPr>
                <w:rFonts w:ascii="Times New Roman"/>
                <w:sz w:val="22"/>
              </w:rPr>
            </w:pPr>
          </w:p>
        </w:tc>
        <w:tc>
          <w:tcPr>
            <w:tcW w:w="1440" w:type="dxa"/>
          </w:tcPr>
          <w:p>
            <w:pPr>
              <w:pStyle w:val="33"/>
              <w:rPr>
                <w:rFonts w:ascii="Times New Roman"/>
                <w:sz w:val="22"/>
              </w:rPr>
            </w:pPr>
          </w:p>
        </w:tc>
        <w:tc>
          <w:tcPr>
            <w:tcW w:w="1364" w:type="dxa"/>
          </w:tcPr>
          <w:p>
            <w:pPr>
              <w:pStyle w:val="33"/>
              <w:rPr>
                <w:rFonts w:ascii="Times New Roman"/>
                <w:sz w:val="22"/>
              </w:rPr>
            </w:pPr>
          </w:p>
        </w:tc>
        <w:tc>
          <w:tcPr>
            <w:tcW w:w="1561" w:type="dxa"/>
          </w:tcPr>
          <w:p>
            <w:pPr>
              <w:pStyle w:val="33"/>
              <w:rPr>
                <w:rFonts w:ascii="Times New Roman"/>
                <w:sz w:val="22"/>
              </w:rPr>
            </w:pPr>
          </w:p>
        </w:tc>
        <w:tc>
          <w:tcPr>
            <w:tcW w:w="1181" w:type="dxa"/>
          </w:tcPr>
          <w:p>
            <w:pPr>
              <w:pStyle w:val="33"/>
              <w:rPr>
                <w:rFonts w:ascii="Times New Roman"/>
                <w:sz w:val="22"/>
              </w:rPr>
            </w:pPr>
          </w:p>
        </w:tc>
        <w:tc>
          <w:tcPr>
            <w:tcW w:w="1008" w:type="dxa"/>
          </w:tcPr>
          <w:p>
            <w:pPr>
              <w:pStyle w:val="33"/>
              <w:rPr>
                <w:rFonts w:ascii="Times New Roman"/>
                <w:sz w:val="22"/>
              </w:rPr>
            </w:pPr>
          </w:p>
        </w:tc>
        <w:tc>
          <w:tcPr>
            <w:tcW w:w="1738" w:type="dxa"/>
          </w:tcPr>
          <w:p>
            <w:pPr>
              <w:pStyle w:val="3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708" w:type="dxa"/>
          </w:tcPr>
          <w:p>
            <w:pPr>
              <w:pStyle w:val="33"/>
              <w:rPr>
                <w:rFonts w:ascii="Times New Roman"/>
                <w:sz w:val="22"/>
              </w:rPr>
            </w:pPr>
          </w:p>
        </w:tc>
        <w:tc>
          <w:tcPr>
            <w:tcW w:w="1440" w:type="dxa"/>
          </w:tcPr>
          <w:p>
            <w:pPr>
              <w:pStyle w:val="33"/>
              <w:rPr>
                <w:rFonts w:ascii="Times New Roman"/>
                <w:sz w:val="22"/>
              </w:rPr>
            </w:pPr>
          </w:p>
        </w:tc>
        <w:tc>
          <w:tcPr>
            <w:tcW w:w="1364" w:type="dxa"/>
          </w:tcPr>
          <w:p>
            <w:pPr>
              <w:pStyle w:val="33"/>
              <w:rPr>
                <w:rFonts w:ascii="Times New Roman"/>
                <w:sz w:val="22"/>
              </w:rPr>
            </w:pPr>
          </w:p>
        </w:tc>
        <w:tc>
          <w:tcPr>
            <w:tcW w:w="1561" w:type="dxa"/>
          </w:tcPr>
          <w:p>
            <w:pPr>
              <w:pStyle w:val="33"/>
              <w:rPr>
                <w:rFonts w:ascii="Times New Roman"/>
                <w:sz w:val="22"/>
              </w:rPr>
            </w:pPr>
          </w:p>
        </w:tc>
        <w:tc>
          <w:tcPr>
            <w:tcW w:w="1181" w:type="dxa"/>
          </w:tcPr>
          <w:p>
            <w:pPr>
              <w:pStyle w:val="33"/>
              <w:rPr>
                <w:rFonts w:ascii="Times New Roman"/>
                <w:sz w:val="22"/>
              </w:rPr>
            </w:pPr>
          </w:p>
        </w:tc>
        <w:tc>
          <w:tcPr>
            <w:tcW w:w="1008" w:type="dxa"/>
          </w:tcPr>
          <w:p>
            <w:pPr>
              <w:pStyle w:val="33"/>
              <w:rPr>
                <w:rFonts w:ascii="Times New Roman"/>
                <w:sz w:val="22"/>
              </w:rPr>
            </w:pPr>
          </w:p>
        </w:tc>
        <w:tc>
          <w:tcPr>
            <w:tcW w:w="1738" w:type="dxa"/>
          </w:tcPr>
          <w:p>
            <w:pPr>
              <w:pStyle w:val="3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708" w:type="dxa"/>
          </w:tcPr>
          <w:p>
            <w:pPr>
              <w:pStyle w:val="33"/>
              <w:rPr>
                <w:rFonts w:ascii="Times New Roman"/>
                <w:sz w:val="22"/>
              </w:rPr>
            </w:pPr>
          </w:p>
        </w:tc>
        <w:tc>
          <w:tcPr>
            <w:tcW w:w="1440" w:type="dxa"/>
          </w:tcPr>
          <w:p>
            <w:pPr>
              <w:pStyle w:val="33"/>
              <w:rPr>
                <w:rFonts w:ascii="Times New Roman"/>
                <w:sz w:val="22"/>
              </w:rPr>
            </w:pPr>
          </w:p>
        </w:tc>
        <w:tc>
          <w:tcPr>
            <w:tcW w:w="1364" w:type="dxa"/>
          </w:tcPr>
          <w:p>
            <w:pPr>
              <w:pStyle w:val="33"/>
              <w:rPr>
                <w:rFonts w:ascii="Times New Roman"/>
                <w:sz w:val="22"/>
              </w:rPr>
            </w:pPr>
          </w:p>
        </w:tc>
        <w:tc>
          <w:tcPr>
            <w:tcW w:w="1561" w:type="dxa"/>
          </w:tcPr>
          <w:p>
            <w:pPr>
              <w:pStyle w:val="33"/>
              <w:rPr>
                <w:rFonts w:ascii="Times New Roman"/>
                <w:sz w:val="22"/>
              </w:rPr>
            </w:pPr>
          </w:p>
        </w:tc>
        <w:tc>
          <w:tcPr>
            <w:tcW w:w="1181" w:type="dxa"/>
          </w:tcPr>
          <w:p>
            <w:pPr>
              <w:pStyle w:val="33"/>
              <w:rPr>
                <w:rFonts w:ascii="Times New Roman"/>
                <w:sz w:val="22"/>
              </w:rPr>
            </w:pPr>
          </w:p>
        </w:tc>
        <w:tc>
          <w:tcPr>
            <w:tcW w:w="1008" w:type="dxa"/>
          </w:tcPr>
          <w:p>
            <w:pPr>
              <w:pStyle w:val="33"/>
              <w:rPr>
                <w:rFonts w:ascii="Times New Roman"/>
                <w:sz w:val="22"/>
              </w:rPr>
            </w:pPr>
          </w:p>
        </w:tc>
        <w:tc>
          <w:tcPr>
            <w:tcW w:w="1738" w:type="dxa"/>
          </w:tcPr>
          <w:p>
            <w:pPr>
              <w:pStyle w:val="3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708" w:type="dxa"/>
          </w:tcPr>
          <w:p>
            <w:pPr>
              <w:pStyle w:val="33"/>
              <w:rPr>
                <w:rFonts w:ascii="Times New Roman"/>
                <w:sz w:val="22"/>
              </w:rPr>
            </w:pPr>
          </w:p>
        </w:tc>
        <w:tc>
          <w:tcPr>
            <w:tcW w:w="1440" w:type="dxa"/>
          </w:tcPr>
          <w:p>
            <w:pPr>
              <w:pStyle w:val="33"/>
              <w:rPr>
                <w:rFonts w:ascii="Times New Roman"/>
                <w:sz w:val="22"/>
              </w:rPr>
            </w:pPr>
          </w:p>
        </w:tc>
        <w:tc>
          <w:tcPr>
            <w:tcW w:w="1364" w:type="dxa"/>
          </w:tcPr>
          <w:p>
            <w:pPr>
              <w:pStyle w:val="33"/>
              <w:rPr>
                <w:rFonts w:ascii="Times New Roman"/>
                <w:sz w:val="22"/>
              </w:rPr>
            </w:pPr>
          </w:p>
        </w:tc>
        <w:tc>
          <w:tcPr>
            <w:tcW w:w="1561" w:type="dxa"/>
          </w:tcPr>
          <w:p>
            <w:pPr>
              <w:pStyle w:val="33"/>
              <w:rPr>
                <w:rFonts w:ascii="Times New Roman"/>
                <w:sz w:val="22"/>
              </w:rPr>
            </w:pPr>
          </w:p>
        </w:tc>
        <w:tc>
          <w:tcPr>
            <w:tcW w:w="1181" w:type="dxa"/>
          </w:tcPr>
          <w:p>
            <w:pPr>
              <w:pStyle w:val="33"/>
              <w:rPr>
                <w:rFonts w:ascii="Times New Roman"/>
                <w:sz w:val="22"/>
              </w:rPr>
            </w:pPr>
          </w:p>
        </w:tc>
        <w:tc>
          <w:tcPr>
            <w:tcW w:w="1008" w:type="dxa"/>
          </w:tcPr>
          <w:p>
            <w:pPr>
              <w:pStyle w:val="33"/>
              <w:rPr>
                <w:rFonts w:ascii="Times New Roman"/>
                <w:sz w:val="22"/>
              </w:rPr>
            </w:pPr>
          </w:p>
        </w:tc>
        <w:tc>
          <w:tcPr>
            <w:tcW w:w="1738" w:type="dxa"/>
          </w:tcPr>
          <w:p>
            <w:pPr>
              <w:pStyle w:val="3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708" w:type="dxa"/>
          </w:tcPr>
          <w:p>
            <w:pPr>
              <w:pStyle w:val="33"/>
              <w:rPr>
                <w:rFonts w:ascii="Times New Roman"/>
                <w:sz w:val="22"/>
              </w:rPr>
            </w:pPr>
          </w:p>
        </w:tc>
        <w:tc>
          <w:tcPr>
            <w:tcW w:w="1440" w:type="dxa"/>
          </w:tcPr>
          <w:p>
            <w:pPr>
              <w:pStyle w:val="33"/>
              <w:rPr>
                <w:rFonts w:ascii="Times New Roman"/>
                <w:sz w:val="22"/>
              </w:rPr>
            </w:pPr>
          </w:p>
        </w:tc>
        <w:tc>
          <w:tcPr>
            <w:tcW w:w="1364" w:type="dxa"/>
          </w:tcPr>
          <w:p>
            <w:pPr>
              <w:pStyle w:val="33"/>
              <w:rPr>
                <w:rFonts w:ascii="Times New Roman"/>
                <w:sz w:val="22"/>
              </w:rPr>
            </w:pPr>
          </w:p>
        </w:tc>
        <w:tc>
          <w:tcPr>
            <w:tcW w:w="1561" w:type="dxa"/>
          </w:tcPr>
          <w:p>
            <w:pPr>
              <w:pStyle w:val="33"/>
              <w:rPr>
                <w:rFonts w:ascii="Times New Roman"/>
                <w:sz w:val="22"/>
              </w:rPr>
            </w:pPr>
          </w:p>
        </w:tc>
        <w:tc>
          <w:tcPr>
            <w:tcW w:w="1181" w:type="dxa"/>
          </w:tcPr>
          <w:p>
            <w:pPr>
              <w:pStyle w:val="33"/>
              <w:rPr>
                <w:rFonts w:ascii="Times New Roman"/>
                <w:sz w:val="22"/>
              </w:rPr>
            </w:pPr>
          </w:p>
        </w:tc>
        <w:tc>
          <w:tcPr>
            <w:tcW w:w="1008" w:type="dxa"/>
          </w:tcPr>
          <w:p>
            <w:pPr>
              <w:pStyle w:val="33"/>
              <w:rPr>
                <w:rFonts w:ascii="Times New Roman"/>
                <w:sz w:val="22"/>
              </w:rPr>
            </w:pPr>
          </w:p>
        </w:tc>
        <w:tc>
          <w:tcPr>
            <w:tcW w:w="1738" w:type="dxa"/>
          </w:tcPr>
          <w:p>
            <w:pPr>
              <w:pStyle w:val="3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708" w:type="dxa"/>
          </w:tcPr>
          <w:p>
            <w:pPr>
              <w:pStyle w:val="33"/>
              <w:rPr>
                <w:rFonts w:ascii="Times New Roman"/>
                <w:sz w:val="22"/>
              </w:rPr>
            </w:pPr>
          </w:p>
        </w:tc>
        <w:tc>
          <w:tcPr>
            <w:tcW w:w="1440" w:type="dxa"/>
          </w:tcPr>
          <w:p>
            <w:pPr>
              <w:pStyle w:val="33"/>
              <w:rPr>
                <w:rFonts w:ascii="Times New Roman"/>
                <w:sz w:val="22"/>
              </w:rPr>
            </w:pPr>
          </w:p>
        </w:tc>
        <w:tc>
          <w:tcPr>
            <w:tcW w:w="1364" w:type="dxa"/>
          </w:tcPr>
          <w:p>
            <w:pPr>
              <w:pStyle w:val="33"/>
              <w:rPr>
                <w:rFonts w:ascii="Times New Roman"/>
                <w:sz w:val="22"/>
              </w:rPr>
            </w:pPr>
          </w:p>
        </w:tc>
        <w:tc>
          <w:tcPr>
            <w:tcW w:w="1561" w:type="dxa"/>
          </w:tcPr>
          <w:p>
            <w:pPr>
              <w:pStyle w:val="33"/>
              <w:rPr>
                <w:rFonts w:ascii="Times New Roman"/>
                <w:sz w:val="22"/>
              </w:rPr>
            </w:pPr>
          </w:p>
        </w:tc>
        <w:tc>
          <w:tcPr>
            <w:tcW w:w="1181" w:type="dxa"/>
          </w:tcPr>
          <w:p>
            <w:pPr>
              <w:pStyle w:val="33"/>
              <w:rPr>
                <w:rFonts w:ascii="Times New Roman"/>
                <w:sz w:val="22"/>
              </w:rPr>
            </w:pPr>
          </w:p>
        </w:tc>
        <w:tc>
          <w:tcPr>
            <w:tcW w:w="1008" w:type="dxa"/>
          </w:tcPr>
          <w:p>
            <w:pPr>
              <w:pStyle w:val="33"/>
              <w:rPr>
                <w:rFonts w:ascii="Times New Roman"/>
                <w:sz w:val="22"/>
              </w:rPr>
            </w:pPr>
          </w:p>
        </w:tc>
        <w:tc>
          <w:tcPr>
            <w:tcW w:w="1738" w:type="dxa"/>
          </w:tcPr>
          <w:p>
            <w:pPr>
              <w:pStyle w:val="3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708" w:type="dxa"/>
          </w:tcPr>
          <w:p>
            <w:pPr>
              <w:pStyle w:val="33"/>
              <w:rPr>
                <w:rFonts w:ascii="Times New Roman"/>
                <w:sz w:val="22"/>
              </w:rPr>
            </w:pPr>
          </w:p>
        </w:tc>
        <w:tc>
          <w:tcPr>
            <w:tcW w:w="1440" w:type="dxa"/>
          </w:tcPr>
          <w:p>
            <w:pPr>
              <w:pStyle w:val="33"/>
              <w:rPr>
                <w:rFonts w:ascii="Times New Roman"/>
                <w:sz w:val="22"/>
              </w:rPr>
            </w:pPr>
          </w:p>
        </w:tc>
        <w:tc>
          <w:tcPr>
            <w:tcW w:w="1364" w:type="dxa"/>
          </w:tcPr>
          <w:p>
            <w:pPr>
              <w:pStyle w:val="33"/>
              <w:rPr>
                <w:rFonts w:ascii="Times New Roman"/>
                <w:sz w:val="22"/>
              </w:rPr>
            </w:pPr>
          </w:p>
        </w:tc>
        <w:tc>
          <w:tcPr>
            <w:tcW w:w="1561" w:type="dxa"/>
          </w:tcPr>
          <w:p>
            <w:pPr>
              <w:pStyle w:val="33"/>
              <w:rPr>
                <w:rFonts w:ascii="Times New Roman"/>
                <w:sz w:val="22"/>
              </w:rPr>
            </w:pPr>
          </w:p>
        </w:tc>
        <w:tc>
          <w:tcPr>
            <w:tcW w:w="1181" w:type="dxa"/>
          </w:tcPr>
          <w:p>
            <w:pPr>
              <w:pStyle w:val="33"/>
              <w:rPr>
                <w:rFonts w:ascii="Times New Roman"/>
                <w:sz w:val="22"/>
              </w:rPr>
            </w:pPr>
          </w:p>
        </w:tc>
        <w:tc>
          <w:tcPr>
            <w:tcW w:w="1008" w:type="dxa"/>
          </w:tcPr>
          <w:p>
            <w:pPr>
              <w:pStyle w:val="33"/>
              <w:rPr>
                <w:rFonts w:ascii="Times New Roman"/>
                <w:sz w:val="22"/>
              </w:rPr>
            </w:pPr>
          </w:p>
        </w:tc>
        <w:tc>
          <w:tcPr>
            <w:tcW w:w="1738" w:type="dxa"/>
          </w:tcPr>
          <w:p>
            <w:pPr>
              <w:pStyle w:val="3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708" w:type="dxa"/>
          </w:tcPr>
          <w:p>
            <w:pPr>
              <w:pStyle w:val="33"/>
              <w:rPr>
                <w:rFonts w:ascii="Times New Roman"/>
                <w:sz w:val="22"/>
              </w:rPr>
            </w:pPr>
          </w:p>
        </w:tc>
        <w:tc>
          <w:tcPr>
            <w:tcW w:w="1440" w:type="dxa"/>
          </w:tcPr>
          <w:p>
            <w:pPr>
              <w:pStyle w:val="33"/>
              <w:rPr>
                <w:rFonts w:ascii="Times New Roman"/>
                <w:sz w:val="22"/>
              </w:rPr>
            </w:pPr>
          </w:p>
        </w:tc>
        <w:tc>
          <w:tcPr>
            <w:tcW w:w="1364" w:type="dxa"/>
          </w:tcPr>
          <w:p>
            <w:pPr>
              <w:pStyle w:val="33"/>
              <w:rPr>
                <w:rFonts w:ascii="Times New Roman"/>
                <w:sz w:val="22"/>
              </w:rPr>
            </w:pPr>
          </w:p>
        </w:tc>
        <w:tc>
          <w:tcPr>
            <w:tcW w:w="1561" w:type="dxa"/>
          </w:tcPr>
          <w:p>
            <w:pPr>
              <w:pStyle w:val="33"/>
              <w:rPr>
                <w:rFonts w:ascii="Times New Roman"/>
                <w:sz w:val="22"/>
              </w:rPr>
            </w:pPr>
          </w:p>
        </w:tc>
        <w:tc>
          <w:tcPr>
            <w:tcW w:w="1181" w:type="dxa"/>
          </w:tcPr>
          <w:p>
            <w:pPr>
              <w:pStyle w:val="33"/>
              <w:rPr>
                <w:rFonts w:ascii="Times New Roman"/>
                <w:sz w:val="22"/>
              </w:rPr>
            </w:pPr>
          </w:p>
        </w:tc>
        <w:tc>
          <w:tcPr>
            <w:tcW w:w="1008" w:type="dxa"/>
          </w:tcPr>
          <w:p>
            <w:pPr>
              <w:pStyle w:val="33"/>
              <w:rPr>
                <w:rFonts w:ascii="Times New Roman"/>
                <w:sz w:val="22"/>
              </w:rPr>
            </w:pPr>
          </w:p>
        </w:tc>
        <w:tc>
          <w:tcPr>
            <w:tcW w:w="1738" w:type="dxa"/>
          </w:tcPr>
          <w:p>
            <w:pPr>
              <w:pStyle w:val="3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jc w:val="center"/>
        </w:trPr>
        <w:tc>
          <w:tcPr>
            <w:tcW w:w="3512" w:type="dxa"/>
            <w:gridSpan w:val="3"/>
          </w:tcPr>
          <w:p>
            <w:pPr>
              <w:pStyle w:val="33"/>
              <w:spacing w:before="9"/>
              <w:rPr>
                <w:sz w:val="20"/>
              </w:rPr>
            </w:pPr>
          </w:p>
          <w:p>
            <w:pPr>
              <w:pStyle w:val="33"/>
              <w:ind w:left="107"/>
            </w:pPr>
            <w:r>
              <w:t>招标人编制的最高投标限价（如有）</w:t>
            </w:r>
          </w:p>
        </w:tc>
        <w:tc>
          <w:tcPr>
            <w:tcW w:w="5488" w:type="dxa"/>
            <w:gridSpan w:val="4"/>
          </w:tcPr>
          <w:p>
            <w:pPr>
              <w:pStyle w:val="3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3512" w:type="dxa"/>
            <w:gridSpan w:val="3"/>
          </w:tcPr>
          <w:p>
            <w:pPr>
              <w:pStyle w:val="33"/>
              <w:ind w:left="107"/>
            </w:pPr>
          </w:p>
        </w:tc>
        <w:tc>
          <w:tcPr>
            <w:tcW w:w="5488" w:type="dxa"/>
            <w:gridSpan w:val="4"/>
          </w:tcPr>
          <w:p>
            <w:pPr>
              <w:pStyle w:val="33"/>
              <w:rPr>
                <w:rFonts w:ascii="Times New Roman"/>
                <w:sz w:val="22"/>
              </w:rPr>
            </w:pPr>
          </w:p>
        </w:tc>
      </w:tr>
    </w:tbl>
    <w:p>
      <w:pPr>
        <w:pStyle w:val="10"/>
        <w:spacing w:before="8"/>
        <w:rPr>
          <w:sz w:val="30"/>
        </w:rPr>
      </w:pPr>
    </w:p>
    <w:p>
      <w:pPr>
        <w:tabs>
          <w:tab w:val="left" w:pos="2763"/>
          <w:tab w:val="left" w:pos="6705"/>
          <w:tab w:val="left" w:pos="8928"/>
        </w:tabs>
        <w:ind w:left="90"/>
        <w:jc w:val="center"/>
        <w:rPr>
          <w:rFonts w:eastAsia="Times New Roman"/>
        </w:rPr>
      </w:pPr>
      <w:r>
        <w:t>招标</w:t>
      </w:r>
      <w:r>
        <w:rPr>
          <w:spacing w:val="-3"/>
        </w:rPr>
        <w:t>人</w:t>
      </w:r>
      <w:r>
        <w:t>代</w:t>
      </w:r>
      <w:r>
        <w:rPr>
          <w:spacing w:val="-3"/>
        </w:rPr>
        <w:t>表</w:t>
      </w:r>
      <w:r>
        <w:t>：</w:t>
      </w:r>
      <w:r>
        <w:rPr>
          <w:u w:val="single"/>
        </w:rPr>
        <w:t xml:space="preserve"> </w:t>
      </w:r>
      <w:r>
        <w:rPr>
          <w:u w:val="single"/>
        </w:rPr>
        <w:tab/>
      </w:r>
      <w:r>
        <w:tab/>
      </w:r>
      <w:r>
        <w:rPr>
          <w:spacing w:val="-3"/>
        </w:rPr>
        <w:t>录人</w:t>
      </w:r>
      <w:r>
        <w:t>：</w:t>
      </w:r>
      <w:r>
        <w:rPr>
          <w:rFonts w:eastAsia="Times New Roman"/>
          <w:u w:val="single"/>
        </w:rPr>
        <w:t xml:space="preserve"> </w:t>
      </w:r>
      <w:r>
        <w:rPr>
          <w:rFonts w:eastAsia="Times New Roman"/>
          <w:u w:val="single"/>
        </w:rPr>
        <w:tab/>
      </w:r>
    </w:p>
    <w:p>
      <w:pPr>
        <w:pStyle w:val="10"/>
        <w:spacing w:before="3"/>
        <w:rPr>
          <w:sz w:val="22"/>
        </w:rPr>
      </w:pPr>
    </w:p>
    <w:p>
      <w:pPr>
        <w:pStyle w:val="10"/>
        <w:tabs>
          <w:tab w:val="left" w:pos="959"/>
          <w:tab w:val="left" w:pos="1680"/>
          <w:tab w:val="left" w:pos="2400"/>
        </w:tabs>
        <w:spacing w:before="67"/>
        <w:ind w:right="324"/>
        <w:jc w:val="right"/>
      </w:pPr>
      <w:r>
        <w:rPr>
          <w:rFonts w:eastAsia="Times New Roman"/>
          <w:u w:val="single"/>
        </w:rPr>
        <w:t xml:space="preserve"> </w:t>
      </w:r>
      <w:r>
        <w:rPr>
          <w:rFonts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pStyle w:val="4"/>
        <w:spacing w:beforeLines="50" w:line="400" w:lineRule="exact"/>
        <w:rPr>
          <w:rFonts w:ascii="宋体" w:hAnsi="宋体" w:cs="宋体"/>
          <w:sz w:val="24"/>
          <w:szCs w:val="24"/>
        </w:rPr>
      </w:pPr>
      <w:r>
        <w:rPr>
          <w:rFonts w:hint="eastAsia" w:ascii="宋体" w:hAnsi="宋体" w:cs="宋体"/>
          <w:sz w:val="24"/>
          <w:szCs w:val="24"/>
        </w:rPr>
        <w:br w:type="page"/>
      </w:r>
    </w:p>
    <w:p>
      <w:pPr>
        <w:pStyle w:val="4"/>
        <w:spacing w:beforeLines="50" w:line="400" w:lineRule="exact"/>
        <w:rPr>
          <w:rFonts w:ascii="宋体" w:hAnsi="宋体" w:cs="宋体"/>
          <w:sz w:val="24"/>
          <w:szCs w:val="24"/>
        </w:rPr>
      </w:pPr>
      <w:r>
        <w:rPr>
          <w:rFonts w:hint="eastAsia" w:ascii="宋体" w:hAnsi="宋体" w:cs="宋体"/>
          <w:sz w:val="24"/>
          <w:szCs w:val="24"/>
        </w:rPr>
        <w:t>附表二：问题澄清通知</w:t>
      </w:r>
      <w:bookmarkEnd w:id="120"/>
      <w:bookmarkEnd w:id="121"/>
      <w:bookmarkEnd w:id="122"/>
    </w:p>
    <w:p>
      <w:pPr>
        <w:rPr>
          <w:rFonts w:ascii="宋体" w:hAnsi="宋体" w:cs="宋体"/>
          <w:sz w:val="24"/>
        </w:rPr>
      </w:pPr>
    </w:p>
    <w:p>
      <w:pPr>
        <w:jc w:val="center"/>
        <w:rPr>
          <w:rFonts w:ascii="宋体" w:hAnsi="宋体" w:cs="宋体"/>
          <w:b/>
          <w:bCs/>
          <w:kern w:val="44"/>
          <w:sz w:val="28"/>
          <w:szCs w:val="28"/>
        </w:rPr>
      </w:pPr>
      <w:r>
        <w:rPr>
          <w:rFonts w:hint="eastAsia" w:ascii="宋体" w:hAnsi="宋体" w:cs="宋体"/>
          <w:b/>
          <w:bCs/>
          <w:kern w:val="44"/>
          <w:sz w:val="28"/>
          <w:szCs w:val="28"/>
        </w:rPr>
        <w:t>问题澄清通知</w:t>
      </w:r>
    </w:p>
    <w:p>
      <w:pPr>
        <w:rPr>
          <w:rFonts w:ascii="宋体" w:hAnsi="宋体" w:cs="宋体"/>
          <w:sz w:val="24"/>
        </w:rPr>
      </w:pPr>
    </w:p>
    <w:p>
      <w:pPr>
        <w:jc w:val="center"/>
        <w:rPr>
          <w:rFonts w:ascii="宋体" w:hAnsi="宋体" w:cs="宋体"/>
          <w:sz w:val="24"/>
        </w:rPr>
      </w:pPr>
      <w:r>
        <w:rPr>
          <w:rFonts w:hint="eastAsia" w:ascii="宋体" w:hAnsi="宋体" w:cs="宋体"/>
          <w:sz w:val="24"/>
        </w:rPr>
        <w:t>编号：</w:t>
      </w:r>
    </w:p>
    <w:p>
      <w:pPr>
        <w:rPr>
          <w:rFonts w:ascii="宋体" w:hAnsi="宋体" w:cs="宋体"/>
          <w:sz w:val="24"/>
        </w:rPr>
      </w:pPr>
    </w:p>
    <w:p>
      <w:pPr>
        <w:rPr>
          <w:rFonts w:ascii="宋体" w:hAnsi="宋体" w:cs="宋体"/>
          <w:szCs w:val="21"/>
        </w:rPr>
      </w:pP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w:t>
      </w:r>
      <w:r>
        <w:rPr>
          <w:rFonts w:hint="eastAsia" w:ascii="宋体" w:hAnsi="宋体" w:cs="宋体"/>
          <w:szCs w:val="21"/>
          <w:u w:val="single"/>
          <w:lang w:eastAsia="zh-CN"/>
        </w:rPr>
        <w:t>交易响应单位</w:t>
      </w:r>
      <w:r>
        <w:rPr>
          <w:rFonts w:hint="eastAsia" w:ascii="宋体" w:hAnsi="宋体" w:cs="宋体"/>
          <w:szCs w:val="21"/>
          <w:u w:val="single"/>
        </w:rPr>
        <w:t>名称）</w:t>
      </w:r>
      <w:r>
        <w:rPr>
          <w:rFonts w:hint="eastAsia" w:ascii="宋体" w:hAnsi="宋体" w:cs="宋体"/>
          <w:szCs w:val="21"/>
        </w:rPr>
        <w:t>：</w:t>
      </w:r>
    </w:p>
    <w:p>
      <w:pPr>
        <w:rPr>
          <w:rFonts w:ascii="宋体" w:hAnsi="宋体" w:cs="宋体"/>
          <w:szCs w:val="21"/>
        </w:rPr>
      </w:pPr>
    </w:p>
    <w:p>
      <w:pPr>
        <w:spacing w:line="400" w:lineRule="exact"/>
        <w:ind w:firstLine="420" w:firstLineChars="2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项目施工招标的评标委员会，对你方的</w:t>
      </w:r>
      <w:r>
        <w:rPr>
          <w:rFonts w:hint="eastAsia" w:ascii="宋体" w:hAnsi="宋体" w:cs="宋体"/>
          <w:szCs w:val="21"/>
          <w:lang w:eastAsia="zh-CN"/>
        </w:rPr>
        <w:t>交易响应文件</w:t>
      </w:r>
      <w:r>
        <w:rPr>
          <w:rFonts w:hint="eastAsia" w:ascii="宋体" w:hAnsi="宋体" w:cs="宋体"/>
          <w:szCs w:val="21"/>
        </w:rPr>
        <w:t>进行了仔细的审查，现需你方对下列问题以书面形式予以澄清：</w:t>
      </w:r>
    </w:p>
    <w:p>
      <w:pPr>
        <w:rPr>
          <w:rFonts w:ascii="宋体" w:hAnsi="宋体" w:cs="宋体"/>
          <w:szCs w:val="21"/>
        </w:rPr>
      </w:pPr>
    </w:p>
    <w:p>
      <w:pPr>
        <w:spacing w:line="400" w:lineRule="exact"/>
        <w:ind w:firstLine="420" w:firstLineChars="200"/>
        <w:rPr>
          <w:rFonts w:ascii="宋体" w:hAnsi="宋体" w:cs="宋体"/>
          <w:szCs w:val="21"/>
        </w:rPr>
      </w:pPr>
      <w:r>
        <w:rPr>
          <w:rFonts w:hint="eastAsia" w:ascii="宋体" w:hAnsi="宋体" w:cs="宋体"/>
          <w:szCs w:val="21"/>
        </w:rPr>
        <w:t xml:space="preserve">1. </w:t>
      </w: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r>
        <w:rPr>
          <w:rFonts w:hint="eastAsia" w:ascii="宋体" w:hAnsi="宋体" w:cs="宋体"/>
          <w:szCs w:val="21"/>
        </w:rPr>
        <w:t xml:space="preserve">2. </w:t>
      </w:r>
    </w:p>
    <w:p>
      <w:pPr>
        <w:rPr>
          <w:rFonts w:ascii="宋体" w:hAnsi="宋体" w:cs="宋体"/>
          <w:szCs w:val="21"/>
        </w:rPr>
      </w:pPr>
    </w:p>
    <w:p>
      <w:pPr>
        <w:rPr>
          <w:rFonts w:ascii="宋体" w:hAnsi="宋体" w:cs="宋体"/>
          <w:szCs w:val="21"/>
        </w:rPr>
      </w:pPr>
      <w:r>
        <w:rPr>
          <w:rFonts w:hint="eastAsia" w:ascii="宋体" w:hAnsi="宋体" w:cs="宋体"/>
          <w:szCs w:val="21"/>
        </w:rPr>
        <w:t>......</w:t>
      </w:r>
    </w:p>
    <w:p>
      <w:pPr>
        <w:rPr>
          <w:rFonts w:ascii="宋体" w:hAnsi="宋体" w:cs="宋体"/>
          <w:szCs w:val="21"/>
        </w:rPr>
      </w:pPr>
    </w:p>
    <w:p>
      <w:pPr>
        <w:spacing w:line="400" w:lineRule="exact"/>
        <w:ind w:firstLine="420" w:firstLineChars="200"/>
        <w:rPr>
          <w:rFonts w:ascii="宋体" w:hAnsi="宋体" w:cs="宋体"/>
          <w:szCs w:val="21"/>
        </w:rPr>
      </w:pPr>
      <w:r>
        <w:rPr>
          <w:rFonts w:hint="eastAsia" w:ascii="宋体" w:hAnsi="宋体" w:cs="宋体"/>
          <w:szCs w:val="21"/>
        </w:rPr>
        <w:t>请将上述问题的澄清于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时前递交至</w:t>
      </w:r>
      <w:r>
        <w:rPr>
          <w:rFonts w:hint="eastAsia" w:ascii="宋体" w:hAnsi="宋体" w:cs="宋体"/>
          <w:szCs w:val="21"/>
          <w:u w:val="single"/>
        </w:rPr>
        <w:t xml:space="preserve">             </w:t>
      </w:r>
      <w:r>
        <w:rPr>
          <w:rFonts w:hint="eastAsia" w:ascii="宋体" w:hAnsi="宋体" w:cs="宋体"/>
          <w:szCs w:val="21"/>
        </w:rPr>
        <w:t>（详细地址）或传真至</w:t>
      </w:r>
      <w:r>
        <w:rPr>
          <w:rFonts w:hint="eastAsia" w:ascii="宋体" w:hAnsi="宋体" w:cs="宋体"/>
          <w:szCs w:val="21"/>
          <w:u w:val="single"/>
        </w:rPr>
        <w:t xml:space="preserve">           </w:t>
      </w:r>
      <w:r>
        <w:rPr>
          <w:rFonts w:hint="eastAsia" w:ascii="宋体" w:hAnsi="宋体" w:cs="宋体"/>
          <w:szCs w:val="21"/>
        </w:rPr>
        <w:t>（传真号码）。采用传真方式的，应在</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时前将原件递交至</w:t>
      </w:r>
      <w:r>
        <w:rPr>
          <w:rFonts w:hint="eastAsia" w:ascii="宋体" w:hAnsi="宋体" w:cs="宋体"/>
          <w:szCs w:val="21"/>
          <w:u w:val="single"/>
        </w:rPr>
        <w:t xml:space="preserve">           </w:t>
      </w:r>
      <w:r>
        <w:rPr>
          <w:rFonts w:hint="eastAsia" w:ascii="宋体" w:hAnsi="宋体" w:cs="宋体"/>
          <w:szCs w:val="21"/>
        </w:rPr>
        <w:t>（详细地址）。</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u w:val="single"/>
        </w:rPr>
      </w:pPr>
      <w:r>
        <w:rPr>
          <w:rFonts w:hint="eastAsia" w:ascii="宋体" w:hAnsi="宋体" w:cs="宋体"/>
          <w:szCs w:val="21"/>
        </w:rPr>
        <w:t xml:space="preserve">                                       </w:t>
      </w:r>
      <w:r>
        <w:rPr>
          <w:rFonts w:hint="eastAsia" w:ascii="宋体" w:hAnsi="宋体" w:cs="宋体"/>
          <w:szCs w:val="21"/>
          <w:u w:val="single"/>
        </w:rPr>
        <w:t xml:space="preserve"> （项目名称）  项目施工招标评标委员会</w:t>
      </w:r>
    </w:p>
    <w:p>
      <w:pPr>
        <w:wordWrap w:val="0"/>
        <w:jc w:val="right"/>
        <w:rPr>
          <w:rFonts w:ascii="宋体" w:hAnsi="宋体" w:cs="宋体"/>
          <w:szCs w:val="21"/>
          <w:u w:val="single"/>
        </w:rPr>
      </w:pPr>
      <w:r>
        <w:rPr>
          <w:rFonts w:hint="eastAsia" w:ascii="宋体" w:hAnsi="宋体" w:cs="宋体"/>
          <w:szCs w:val="21"/>
          <w:u w:val="single"/>
        </w:rPr>
        <w:t>招标人：                  （盖单位章）</w:t>
      </w: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rPr>
          <w:rFonts w:ascii="宋体" w:hAnsi="宋体" w:cs="宋体"/>
          <w:sz w:val="24"/>
        </w:rPr>
      </w:pPr>
    </w:p>
    <w:p>
      <w:pPr>
        <w:rPr>
          <w:rFonts w:ascii="宋体" w:hAnsi="宋体" w:cs="宋体"/>
          <w:sz w:val="24"/>
        </w:rPr>
      </w:pPr>
    </w:p>
    <w:p>
      <w:pPr>
        <w:pStyle w:val="4"/>
        <w:spacing w:beforeLines="50" w:line="400" w:lineRule="exact"/>
        <w:rPr>
          <w:rFonts w:ascii="宋体" w:hAnsi="宋体" w:cs="宋体"/>
          <w:sz w:val="24"/>
          <w:szCs w:val="24"/>
        </w:rPr>
      </w:pPr>
      <w:bookmarkStart w:id="123" w:name="_Toc432367755"/>
      <w:bookmarkStart w:id="124" w:name="_Toc26933"/>
      <w:bookmarkStart w:id="125" w:name="_Toc369608053"/>
    </w:p>
    <w:p>
      <w:pPr>
        <w:pStyle w:val="4"/>
        <w:spacing w:beforeLines="50" w:line="400" w:lineRule="exact"/>
        <w:rPr>
          <w:rFonts w:ascii="宋体" w:hAnsi="宋体" w:cs="宋体"/>
          <w:sz w:val="24"/>
          <w:szCs w:val="24"/>
        </w:rPr>
      </w:pPr>
    </w:p>
    <w:p>
      <w:pPr>
        <w:pStyle w:val="4"/>
        <w:spacing w:beforeLines="50" w:line="400" w:lineRule="exact"/>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pStyle w:val="4"/>
        <w:spacing w:beforeLines="50" w:line="400" w:lineRule="exact"/>
        <w:rPr>
          <w:rFonts w:ascii="宋体" w:hAnsi="宋体" w:cs="宋体"/>
          <w:sz w:val="24"/>
          <w:szCs w:val="24"/>
        </w:rPr>
      </w:pPr>
    </w:p>
    <w:p>
      <w:pPr>
        <w:pStyle w:val="4"/>
        <w:spacing w:beforeLines="50" w:line="400" w:lineRule="exact"/>
        <w:rPr>
          <w:rFonts w:ascii="宋体" w:hAnsi="宋体" w:cs="宋体"/>
          <w:sz w:val="24"/>
          <w:szCs w:val="24"/>
        </w:rPr>
      </w:pPr>
      <w:r>
        <w:rPr>
          <w:rFonts w:hint="eastAsia" w:ascii="宋体" w:hAnsi="宋体" w:cs="宋体"/>
          <w:sz w:val="24"/>
          <w:szCs w:val="24"/>
        </w:rPr>
        <w:t>附表三：问题的澄清</w:t>
      </w:r>
      <w:bookmarkEnd w:id="123"/>
      <w:bookmarkEnd w:id="124"/>
      <w:bookmarkEnd w:id="125"/>
    </w:p>
    <w:p>
      <w:pPr>
        <w:rPr>
          <w:rFonts w:ascii="宋体" w:hAnsi="宋体" w:cs="宋体"/>
          <w:sz w:val="24"/>
        </w:rPr>
      </w:pPr>
    </w:p>
    <w:p>
      <w:pPr>
        <w:jc w:val="center"/>
        <w:rPr>
          <w:rFonts w:ascii="宋体" w:hAnsi="宋体" w:cs="宋体"/>
          <w:b/>
          <w:bCs/>
          <w:kern w:val="44"/>
          <w:sz w:val="28"/>
          <w:szCs w:val="28"/>
        </w:rPr>
      </w:pPr>
      <w:r>
        <w:rPr>
          <w:rFonts w:hint="eastAsia" w:ascii="宋体" w:hAnsi="宋体" w:cs="宋体"/>
          <w:b/>
          <w:bCs/>
          <w:kern w:val="44"/>
          <w:sz w:val="28"/>
          <w:szCs w:val="28"/>
        </w:rPr>
        <w:t>问题的澄清</w:t>
      </w:r>
    </w:p>
    <w:p>
      <w:pPr>
        <w:rPr>
          <w:rFonts w:ascii="宋体" w:hAnsi="宋体" w:cs="宋体"/>
          <w:sz w:val="24"/>
        </w:rPr>
      </w:pPr>
    </w:p>
    <w:p>
      <w:pPr>
        <w:jc w:val="center"/>
        <w:rPr>
          <w:rFonts w:ascii="宋体" w:hAnsi="宋体" w:cs="宋体"/>
          <w:szCs w:val="21"/>
        </w:rPr>
      </w:pPr>
      <w:r>
        <w:rPr>
          <w:rFonts w:hint="eastAsia" w:ascii="宋体" w:hAnsi="宋体" w:cs="宋体"/>
          <w:szCs w:val="21"/>
        </w:rPr>
        <w:t>编号：</w:t>
      </w:r>
    </w:p>
    <w:p>
      <w:pPr>
        <w:spacing w:line="400" w:lineRule="exact"/>
        <w:ind w:firstLine="420" w:firstLineChars="2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项目施工招标评标委员会： </w:t>
      </w: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r>
        <w:rPr>
          <w:rFonts w:hint="eastAsia" w:ascii="宋体" w:hAnsi="宋体" w:cs="宋体"/>
          <w:szCs w:val="21"/>
        </w:rPr>
        <w:t>问题澄清通知（编号：</w:t>
      </w:r>
      <w:r>
        <w:rPr>
          <w:rFonts w:hint="eastAsia" w:ascii="宋体" w:hAnsi="宋体" w:cs="宋体"/>
          <w:szCs w:val="21"/>
          <w:u w:val="single"/>
        </w:rPr>
        <w:t xml:space="preserve">      </w:t>
      </w:r>
      <w:r>
        <w:rPr>
          <w:rFonts w:hint="eastAsia" w:ascii="宋体" w:hAnsi="宋体" w:cs="宋体"/>
          <w:szCs w:val="21"/>
        </w:rPr>
        <w:t>）已收悉，现澄清如下：</w:t>
      </w:r>
    </w:p>
    <w:p>
      <w:pPr>
        <w:spacing w:line="400" w:lineRule="exact"/>
        <w:ind w:firstLine="420" w:firstLineChars="200"/>
        <w:rPr>
          <w:rFonts w:ascii="宋体" w:hAnsi="宋体" w:cs="宋体"/>
          <w:szCs w:val="21"/>
        </w:rPr>
      </w:pPr>
    </w:p>
    <w:p>
      <w:pPr>
        <w:spacing w:line="400" w:lineRule="exact"/>
        <w:ind w:firstLine="480" w:firstLineChars="200"/>
        <w:rPr>
          <w:rFonts w:ascii="宋体" w:hAnsi="宋体" w:cs="宋体"/>
          <w:sz w:val="24"/>
        </w:rPr>
      </w:pPr>
      <w:r>
        <w:rPr>
          <w:rFonts w:hint="eastAsia" w:ascii="宋体" w:hAnsi="宋体" w:cs="宋体"/>
          <w:sz w:val="24"/>
        </w:rPr>
        <w:t xml:space="preserve">1. </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 xml:space="preserve">2. </w:t>
      </w:r>
    </w:p>
    <w:p>
      <w:pPr>
        <w:rPr>
          <w:rFonts w:ascii="宋体" w:hAnsi="宋体" w:cs="宋体"/>
          <w:sz w:val="24"/>
        </w:rPr>
      </w:pPr>
    </w:p>
    <w:p>
      <w:pPr>
        <w:rPr>
          <w:rFonts w:ascii="宋体" w:hAnsi="宋体" w:cs="宋体"/>
          <w:sz w:val="24"/>
        </w:rPr>
      </w:pPr>
      <w:r>
        <w:rPr>
          <w:rFonts w:hint="eastAsia" w:ascii="宋体" w:hAnsi="宋体" w:cs="宋体"/>
          <w:sz w:val="24"/>
        </w:rPr>
        <w:t>.....</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spacing w:line="440" w:lineRule="exact"/>
        <w:rPr>
          <w:rFonts w:ascii="宋体" w:hAnsi="宋体" w:cs="宋体"/>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szCs w:val="21"/>
          <w:lang w:eastAsia="zh-CN"/>
        </w:rPr>
        <w:t>交易响应单位</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 xml:space="preserve">（盖单位章） </w:t>
      </w:r>
    </w:p>
    <w:p>
      <w:pPr>
        <w:spacing w:line="440" w:lineRule="exact"/>
        <w:rPr>
          <w:rFonts w:ascii="宋体" w:hAnsi="宋体" w:cs="宋体"/>
          <w:szCs w:val="21"/>
        </w:rPr>
      </w:pPr>
      <w:r>
        <w:rPr>
          <w:rFonts w:hint="eastAsia" w:ascii="宋体" w:hAnsi="宋体" w:cs="宋体"/>
          <w:szCs w:val="21"/>
        </w:rPr>
        <w:t xml:space="preserve">                         法定代表人或其委托代理人：</w:t>
      </w:r>
      <w:r>
        <w:rPr>
          <w:rFonts w:hint="eastAsia" w:ascii="宋体" w:hAnsi="宋体" w:cs="宋体"/>
          <w:szCs w:val="21"/>
          <w:u w:val="single"/>
        </w:rPr>
        <w:t xml:space="preserve">          </w:t>
      </w:r>
      <w:r>
        <w:rPr>
          <w:rFonts w:hint="eastAsia" w:ascii="宋体" w:hAnsi="宋体" w:cs="宋体"/>
          <w:szCs w:val="21"/>
        </w:rPr>
        <w:t>（签字）</w:t>
      </w:r>
    </w:p>
    <w:p>
      <w:pPr>
        <w:rPr>
          <w:rFonts w:ascii="宋体" w:hAnsi="宋体" w:cs="宋体"/>
          <w:szCs w:val="21"/>
        </w:rPr>
      </w:pPr>
    </w:p>
    <w:p>
      <w:pPr>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br w:type="page"/>
      </w:r>
      <w:bookmarkStart w:id="126" w:name="_Toc2308"/>
      <w:bookmarkStart w:id="127" w:name="_Toc369608054"/>
      <w:bookmarkStart w:id="128" w:name="_Toc432367756"/>
    </w:p>
    <w:p>
      <w:pPr>
        <w:rPr>
          <w:rFonts w:ascii="宋体" w:hAnsi="宋体" w:cs="宋体"/>
          <w:b/>
          <w:bCs/>
          <w:sz w:val="24"/>
          <w:szCs w:val="24"/>
        </w:rPr>
      </w:pPr>
      <w:r>
        <w:rPr>
          <w:rFonts w:hint="eastAsia" w:ascii="宋体" w:hAnsi="宋体" w:cs="宋体"/>
          <w:b/>
          <w:bCs/>
          <w:sz w:val="24"/>
          <w:szCs w:val="24"/>
        </w:rPr>
        <w:t>附表四：中标通知书</w:t>
      </w:r>
      <w:bookmarkEnd w:id="126"/>
      <w:bookmarkEnd w:id="127"/>
      <w:bookmarkEnd w:id="128"/>
    </w:p>
    <w:p>
      <w:pPr>
        <w:rPr>
          <w:rFonts w:ascii="宋体" w:hAnsi="宋体" w:cs="宋体"/>
          <w:sz w:val="24"/>
        </w:rPr>
      </w:pPr>
    </w:p>
    <w:p>
      <w:pPr>
        <w:jc w:val="center"/>
        <w:rPr>
          <w:rFonts w:ascii="宋体" w:hAnsi="宋体" w:cs="宋体"/>
          <w:b/>
          <w:bCs/>
          <w:kern w:val="44"/>
          <w:sz w:val="28"/>
          <w:szCs w:val="28"/>
        </w:rPr>
      </w:pPr>
      <w:r>
        <w:rPr>
          <w:rFonts w:hint="eastAsia" w:ascii="宋体" w:hAnsi="宋体" w:cs="宋体"/>
          <w:b/>
          <w:bCs/>
          <w:kern w:val="44"/>
          <w:sz w:val="28"/>
          <w:szCs w:val="28"/>
        </w:rPr>
        <w:t>中标通知书</w:t>
      </w:r>
    </w:p>
    <w:p>
      <w:pPr>
        <w:rPr>
          <w:rFonts w:ascii="宋体" w:hAnsi="宋体" w:cs="宋体"/>
          <w:sz w:val="24"/>
        </w:rPr>
      </w:pPr>
    </w:p>
    <w:p>
      <w:pPr>
        <w:rPr>
          <w:rFonts w:ascii="宋体" w:hAnsi="宋体" w:cs="宋体"/>
          <w:szCs w:val="21"/>
        </w:rPr>
      </w:pPr>
      <w:r>
        <w:rPr>
          <w:rFonts w:hint="eastAsia" w:ascii="宋体" w:hAnsi="宋体" w:cs="宋体"/>
          <w:sz w:val="24"/>
          <w:u w:val="single"/>
        </w:rPr>
        <w:t xml:space="preserve">           </w:t>
      </w:r>
      <w:r>
        <w:rPr>
          <w:rFonts w:hint="eastAsia" w:ascii="宋体" w:hAnsi="宋体" w:cs="宋体"/>
          <w:szCs w:val="21"/>
          <w:u w:val="single"/>
        </w:rPr>
        <w:t xml:space="preserve"> </w:t>
      </w:r>
      <w:r>
        <w:rPr>
          <w:rFonts w:hint="eastAsia" w:ascii="宋体" w:hAnsi="宋体" w:cs="宋体"/>
          <w:szCs w:val="21"/>
        </w:rPr>
        <w:t>（中标人名称）：</w:t>
      </w:r>
    </w:p>
    <w:p>
      <w:pPr>
        <w:rPr>
          <w:rFonts w:ascii="宋体" w:hAnsi="宋体" w:cs="宋体"/>
          <w:szCs w:val="21"/>
        </w:rPr>
      </w:pPr>
    </w:p>
    <w:p>
      <w:pPr>
        <w:spacing w:line="400" w:lineRule="exact"/>
        <w:ind w:firstLine="420" w:firstLineChars="200"/>
        <w:rPr>
          <w:rFonts w:ascii="宋体" w:hAnsi="宋体" w:cs="宋体"/>
          <w:szCs w:val="21"/>
        </w:rPr>
      </w:pPr>
      <w:r>
        <w:rPr>
          <w:rFonts w:hint="eastAsia" w:ascii="宋体" w:hAnsi="宋体" w:cs="宋体"/>
          <w:szCs w:val="21"/>
        </w:rPr>
        <w:t>你方于</w:t>
      </w:r>
      <w:r>
        <w:rPr>
          <w:rFonts w:hint="eastAsia" w:ascii="宋体" w:hAnsi="宋体" w:cs="宋体"/>
          <w:szCs w:val="21"/>
          <w:u w:val="single"/>
        </w:rPr>
        <w:t xml:space="preserve">        </w:t>
      </w:r>
      <w:r>
        <w:rPr>
          <w:rFonts w:hint="eastAsia" w:ascii="宋体" w:hAnsi="宋体" w:cs="宋体"/>
          <w:szCs w:val="21"/>
        </w:rPr>
        <w:t>（投标日期）所递交的</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项目施工</w:t>
      </w:r>
      <w:r>
        <w:rPr>
          <w:rFonts w:hint="eastAsia" w:ascii="宋体" w:hAnsi="宋体" w:cs="宋体"/>
          <w:szCs w:val="21"/>
          <w:lang w:eastAsia="zh-CN"/>
        </w:rPr>
        <w:t>交易响应文件</w:t>
      </w:r>
      <w:r>
        <w:rPr>
          <w:rFonts w:hint="eastAsia" w:ascii="宋体" w:hAnsi="宋体" w:cs="宋体"/>
          <w:szCs w:val="21"/>
        </w:rPr>
        <w:t>已被我方接受，被确定为中标人。</w:t>
      </w:r>
    </w:p>
    <w:p>
      <w:pPr>
        <w:spacing w:line="400" w:lineRule="exact"/>
        <w:ind w:firstLine="420" w:firstLineChars="200"/>
        <w:rPr>
          <w:rFonts w:ascii="宋体" w:hAnsi="宋体" w:cs="宋体"/>
          <w:szCs w:val="21"/>
        </w:rPr>
      </w:pPr>
      <w:r>
        <w:rPr>
          <w:rFonts w:hint="eastAsia" w:ascii="宋体" w:hAnsi="宋体" w:cs="宋体"/>
          <w:szCs w:val="21"/>
        </w:rPr>
        <w:t>中标价：</w:t>
      </w:r>
      <w:r>
        <w:rPr>
          <w:rFonts w:hint="eastAsia" w:ascii="宋体" w:hAnsi="宋体" w:cs="宋体"/>
          <w:szCs w:val="21"/>
          <w:u w:val="single"/>
        </w:rPr>
        <w:t xml:space="preserve">             </w:t>
      </w:r>
      <w:r>
        <w:rPr>
          <w:rFonts w:hint="eastAsia" w:ascii="宋体" w:hAnsi="宋体" w:cs="宋体"/>
          <w:szCs w:val="21"/>
        </w:rPr>
        <w:t>元。</w:t>
      </w:r>
    </w:p>
    <w:p>
      <w:pPr>
        <w:spacing w:line="400" w:lineRule="exact"/>
        <w:ind w:firstLine="420" w:firstLineChars="200"/>
        <w:rPr>
          <w:rFonts w:ascii="宋体" w:hAnsi="宋体" w:cs="宋体"/>
          <w:szCs w:val="21"/>
        </w:rPr>
      </w:pPr>
      <w:r>
        <w:rPr>
          <w:rFonts w:hint="eastAsia" w:ascii="宋体" w:hAnsi="宋体" w:cs="宋体"/>
          <w:szCs w:val="21"/>
        </w:rPr>
        <w:t>工期：</w:t>
      </w:r>
      <w:r>
        <w:rPr>
          <w:rFonts w:hint="eastAsia" w:ascii="宋体" w:hAnsi="宋体" w:cs="宋体"/>
          <w:szCs w:val="21"/>
          <w:u w:val="single"/>
        </w:rPr>
        <w:t xml:space="preserve">         </w:t>
      </w:r>
      <w:r>
        <w:rPr>
          <w:rFonts w:hint="eastAsia" w:ascii="宋体" w:hAnsi="宋体" w:cs="宋体"/>
          <w:szCs w:val="21"/>
        </w:rPr>
        <w:t>日历天。</w:t>
      </w:r>
    </w:p>
    <w:p>
      <w:pPr>
        <w:spacing w:line="400" w:lineRule="exact"/>
        <w:ind w:firstLine="420" w:firstLineChars="200"/>
        <w:rPr>
          <w:rFonts w:ascii="宋体" w:hAnsi="宋体" w:cs="宋体"/>
          <w:szCs w:val="21"/>
        </w:rPr>
      </w:pPr>
      <w:r>
        <w:rPr>
          <w:rFonts w:hint="eastAsia" w:ascii="宋体" w:hAnsi="宋体" w:cs="宋体"/>
          <w:szCs w:val="21"/>
        </w:rPr>
        <w:t>工程质量：符合</w:t>
      </w:r>
      <w:r>
        <w:rPr>
          <w:rFonts w:hint="eastAsia" w:ascii="宋体" w:hAnsi="宋体" w:cs="宋体"/>
          <w:szCs w:val="21"/>
          <w:u w:val="single"/>
        </w:rPr>
        <w:t xml:space="preserve">            </w:t>
      </w:r>
      <w:r>
        <w:rPr>
          <w:rFonts w:hint="eastAsia" w:ascii="宋体" w:hAnsi="宋体" w:cs="宋体"/>
          <w:szCs w:val="21"/>
        </w:rPr>
        <w:t xml:space="preserve">标准。 </w:t>
      </w:r>
    </w:p>
    <w:p>
      <w:pPr>
        <w:spacing w:line="400" w:lineRule="exact"/>
        <w:ind w:firstLine="420" w:firstLineChars="200"/>
        <w:rPr>
          <w:rFonts w:ascii="宋体" w:hAnsi="宋体" w:cs="宋体"/>
          <w:szCs w:val="21"/>
        </w:rPr>
      </w:pPr>
      <w:r>
        <w:rPr>
          <w:rFonts w:hint="eastAsia" w:ascii="宋体" w:hAnsi="宋体" w:cs="宋体"/>
          <w:szCs w:val="21"/>
        </w:rPr>
        <w:t>项目经理：</w:t>
      </w:r>
      <w:r>
        <w:rPr>
          <w:rFonts w:hint="eastAsia" w:ascii="宋体" w:hAnsi="宋体" w:cs="宋体"/>
          <w:szCs w:val="21"/>
          <w:u w:val="single"/>
        </w:rPr>
        <w:t xml:space="preserve">             </w:t>
      </w:r>
      <w:r>
        <w:rPr>
          <w:rFonts w:hint="eastAsia" w:ascii="宋体" w:hAnsi="宋体" w:cs="宋体"/>
          <w:szCs w:val="21"/>
        </w:rPr>
        <w:t>（姓名）。</w:t>
      </w:r>
    </w:p>
    <w:p>
      <w:pPr>
        <w:spacing w:line="400" w:lineRule="exact"/>
        <w:ind w:firstLine="420" w:firstLineChars="200"/>
        <w:rPr>
          <w:rFonts w:ascii="宋体" w:hAnsi="宋体" w:cs="宋体"/>
          <w:szCs w:val="21"/>
        </w:rPr>
      </w:pPr>
      <w:r>
        <w:rPr>
          <w:rFonts w:hint="eastAsia" w:ascii="宋体" w:hAnsi="宋体" w:cs="宋体"/>
          <w:szCs w:val="21"/>
          <w:lang w:eastAsia="zh-CN"/>
        </w:rPr>
        <w:t>项目总工程师</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（姓名）</w:t>
      </w:r>
    </w:p>
    <w:p>
      <w:pPr>
        <w:spacing w:line="400" w:lineRule="exact"/>
        <w:ind w:firstLine="420" w:firstLineChars="200"/>
        <w:rPr>
          <w:rFonts w:ascii="宋体" w:hAnsi="宋体" w:cs="宋体"/>
          <w:szCs w:val="21"/>
        </w:rPr>
      </w:pPr>
      <w:r>
        <w:rPr>
          <w:rFonts w:hint="eastAsia" w:ascii="宋体" w:hAnsi="宋体" w:cs="宋体"/>
          <w:szCs w:val="21"/>
        </w:rPr>
        <w:t>请你方在接到本通知书后的</w:t>
      </w:r>
      <w:r>
        <w:rPr>
          <w:rFonts w:hint="eastAsia" w:ascii="宋体" w:hAnsi="宋体" w:cs="宋体"/>
          <w:szCs w:val="21"/>
          <w:u w:val="single"/>
        </w:rPr>
        <w:t xml:space="preserve">    </w:t>
      </w:r>
      <w:r>
        <w:rPr>
          <w:rFonts w:hint="eastAsia" w:ascii="宋体" w:hAnsi="宋体" w:cs="宋体"/>
          <w:szCs w:val="21"/>
        </w:rPr>
        <w:t>日内到</w:t>
      </w:r>
      <w:r>
        <w:rPr>
          <w:rFonts w:hint="eastAsia" w:ascii="宋体" w:hAnsi="宋体" w:cs="宋体"/>
          <w:szCs w:val="21"/>
          <w:u w:val="single"/>
        </w:rPr>
        <w:t xml:space="preserve">          </w:t>
      </w:r>
      <w:r>
        <w:rPr>
          <w:rFonts w:hint="eastAsia" w:ascii="宋体" w:hAnsi="宋体" w:cs="宋体"/>
          <w:szCs w:val="21"/>
        </w:rPr>
        <w:t>（指定地点）与我方签订施工承包合同，在此之前按</w:t>
      </w:r>
      <w:r>
        <w:rPr>
          <w:rFonts w:hint="eastAsia" w:ascii="宋体" w:hAnsi="宋体" w:cs="宋体"/>
          <w:szCs w:val="21"/>
          <w:lang w:eastAsia="zh-CN"/>
        </w:rPr>
        <w:t>交易文件</w:t>
      </w:r>
      <w:r>
        <w:rPr>
          <w:rFonts w:hint="eastAsia" w:ascii="宋体" w:hAnsi="宋体" w:cs="宋体"/>
          <w:szCs w:val="21"/>
        </w:rPr>
        <w:t>第二章“</w:t>
      </w:r>
      <w:r>
        <w:rPr>
          <w:rFonts w:hint="eastAsia" w:ascii="宋体" w:hAnsi="宋体" w:cs="宋体"/>
          <w:szCs w:val="21"/>
          <w:lang w:eastAsia="zh-CN"/>
        </w:rPr>
        <w:t>交易须知</w:t>
      </w:r>
      <w:r>
        <w:rPr>
          <w:rFonts w:hint="eastAsia" w:ascii="宋体" w:hAnsi="宋体" w:cs="宋体"/>
          <w:szCs w:val="21"/>
        </w:rPr>
        <w:t>”第 7.3 款规定向我方提交履约担保。</w:t>
      </w:r>
    </w:p>
    <w:p>
      <w:pPr>
        <w:spacing w:line="400" w:lineRule="exact"/>
        <w:ind w:firstLine="420" w:firstLineChars="200"/>
        <w:rPr>
          <w:rFonts w:ascii="宋体" w:hAnsi="宋体" w:cs="宋体"/>
          <w:szCs w:val="21"/>
        </w:rPr>
      </w:pPr>
      <w:r>
        <w:rPr>
          <w:rFonts w:hint="eastAsia" w:ascii="宋体" w:hAnsi="宋体" w:cs="宋体"/>
          <w:szCs w:val="21"/>
        </w:rPr>
        <w:t>特此通知。</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spacing w:line="440" w:lineRule="exact"/>
        <w:rPr>
          <w:rFonts w:ascii="宋体" w:hAnsi="宋体" w:cs="宋体"/>
          <w:szCs w:val="21"/>
        </w:rPr>
      </w:pPr>
      <w:r>
        <w:rPr>
          <w:rFonts w:hint="eastAsia" w:ascii="宋体" w:hAnsi="宋体" w:cs="宋体"/>
          <w:szCs w:val="21"/>
        </w:rPr>
        <w:t xml:space="preserve">                                    招标人：</w:t>
      </w:r>
      <w:r>
        <w:rPr>
          <w:rFonts w:hint="eastAsia" w:ascii="宋体" w:hAnsi="宋体" w:cs="宋体"/>
          <w:szCs w:val="21"/>
          <w:u w:val="single"/>
        </w:rPr>
        <w:t xml:space="preserve">             </w:t>
      </w:r>
      <w:r>
        <w:rPr>
          <w:rFonts w:hint="eastAsia" w:ascii="宋体" w:hAnsi="宋体" w:cs="宋体"/>
          <w:szCs w:val="21"/>
        </w:rPr>
        <w:t xml:space="preserve">（盖单位章） </w:t>
      </w:r>
    </w:p>
    <w:p>
      <w:pPr>
        <w:spacing w:line="440" w:lineRule="exact"/>
        <w:rPr>
          <w:rFonts w:ascii="宋体" w:hAnsi="宋体" w:cs="宋体"/>
          <w:szCs w:val="21"/>
        </w:rPr>
      </w:pPr>
      <w:r>
        <w:rPr>
          <w:rFonts w:hint="eastAsia" w:ascii="宋体" w:hAnsi="宋体" w:cs="宋体"/>
          <w:szCs w:val="21"/>
        </w:rPr>
        <w:t xml:space="preserve">                                    招标代理：</w:t>
      </w:r>
      <w:r>
        <w:rPr>
          <w:rFonts w:hint="eastAsia" w:ascii="宋体" w:hAnsi="宋体" w:cs="宋体"/>
          <w:szCs w:val="21"/>
          <w:u w:val="single"/>
        </w:rPr>
        <w:t xml:space="preserve">           </w:t>
      </w:r>
      <w:r>
        <w:rPr>
          <w:rFonts w:hint="eastAsia" w:ascii="宋体" w:hAnsi="宋体" w:cs="宋体"/>
          <w:szCs w:val="21"/>
        </w:rPr>
        <w:t>（盖单位章）</w:t>
      </w:r>
    </w:p>
    <w:p>
      <w:pPr>
        <w:spacing w:line="44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 w:val="24"/>
        </w:rPr>
      </w:pPr>
      <w:r>
        <w:rPr>
          <w:rFonts w:hint="eastAsia" w:ascii="宋体" w:hAnsi="宋体" w:cs="宋体"/>
          <w:sz w:val="24"/>
        </w:rPr>
        <w:br w:type="page"/>
      </w:r>
      <w:bookmarkStart w:id="129" w:name="_Toc432367757"/>
      <w:bookmarkStart w:id="130" w:name="_Toc369608055"/>
      <w:bookmarkStart w:id="131" w:name="_Toc13809"/>
    </w:p>
    <w:p>
      <w:pPr>
        <w:rPr>
          <w:rFonts w:ascii="宋体" w:hAnsi="宋体" w:cs="宋体"/>
          <w:b/>
          <w:bCs/>
          <w:sz w:val="24"/>
          <w:szCs w:val="24"/>
        </w:rPr>
      </w:pPr>
      <w:r>
        <w:rPr>
          <w:rFonts w:hint="eastAsia" w:ascii="宋体" w:hAnsi="宋体" w:cs="宋体"/>
          <w:b/>
          <w:bCs/>
          <w:sz w:val="24"/>
          <w:szCs w:val="24"/>
        </w:rPr>
        <w:t>附表五：中标结果通知书</w:t>
      </w:r>
      <w:bookmarkEnd w:id="129"/>
      <w:bookmarkEnd w:id="130"/>
      <w:bookmarkEnd w:id="131"/>
    </w:p>
    <w:p>
      <w:pPr>
        <w:rPr>
          <w:rFonts w:ascii="宋体" w:hAnsi="宋体" w:cs="宋体"/>
          <w:sz w:val="24"/>
        </w:rPr>
      </w:pPr>
    </w:p>
    <w:p>
      <w:pPr>
        <w:jc w:val="center"/>
        <w:rPr>
          <w:rFonts w:ascii="宋体" w:hAnsi="宋体" w:cs="宋体"/>
          <w:b/>
          <w:bCs/>
          <w:kern w:val="44"/>
          <w:sz w:val="28"/>
          <w:szCs w:val="28"/>
        </w:rPr>
      </w:pPr>
      <w:r>
        <w:rPr>
          <w:rFonts w:hint="eastAsia" w:ascii="宋体" w:hAnsi="宋体" w:cs="宋体"/>
          <w:b/>
          <w:bCs/>
          <w:kern w:val="44"/>
          <w:sz w:val="28"/>
          <w:szCs w:val="28"/>
        </w:rPr>
        <w:t>中标结果通知书</w:t>
      </w:r>
    </w:p>
    <w:p>
      <w:pPr>
        <w:rPr>
          <w:rFonts w:ascii="宋体" w:hAnsi="宋体" w:cs="宋体"/>
          <w:sz w:val="24"/>
        </w:rPr>
      </w:pPr>
    </w:p>
    <w:p>
      <w:pPr>
        <w:rPr>
          <w:rFonts w:ascii="宋体" w:hAnsi="宋体" w:cs="宋体"/>
          <w:szCs w:val="21"/>
        </w:rPr>
      </w:pPr>
      <w:r>
        <w:rPr>
          <w:rFonts w:hint="eastAsia" w:ascii="宋体" w:hAnsi="宋体" w:cs="宋体"/>
          <w:sz w:val="24"/>
          <w:u w:val="single"/>
        </w:rPr>
        <w:t xml:space="preserve">            </w:t>
      </w:r>
      <w:r>
        <w:rPr>
          <w:rFonts w:hint="eastAsia" w:ascii="宋体" w:hAnsi="宋体" w:cs="宋体"/>
          <w:szCs w:val="21"/>
          <w:u w:val="single"/>
        </w:rPr>
        <w:t xml:space="preserve">  </w:t>
      </w:r>
      <w:r>
        <w:rPr>
          <w:rFonts w:hint="eastAsia" w:ascii="宋体" w:hAnsi="宋体" w:cs="宋体"/>
          <w:szCs w:val="21"/>
        </w:rPr>
        <w:t>（未中标人名称）：</w:t>
      </w:r>
    </w:p>
    <w:p>
      <w:pPr>
        <w:rPr>
          <w:rFonts w:ascii="宋体" w:hAnsi="宋体" w:cs="宋体"/>
          <w:szCs w:val="21"/>
        </w:rPr>
      </w:pPr>
    </w:p>
    <w:p>
      <w:pPr>
        <w:spacing w:line="400" w:lineRule="exact"/>
        <w:ind w:firstLine="420" w:firstLineChars="200"/>
        <w:rPr>
          <w:rFonts w:ascii="宋体" w:hAnsi="宋体" w:cs="宋体"/>
          <w:szCs w:val="21"/>
        </w:rPr>
      </w:pPr>
      <w:r>
        <w:rPr>
          <w:rFonts w:hint="eastAsia" w:ascii="宋体" w:hAnsi="宋体" w:cs="宋体"/>
          <w:szCs w:val="21"/>
        </w:rPr>
        <w:t>我方已接受</w:t>
      </w:r>
      <w:r>
        <w:rPr>
          <w:rFonts w:hint="eastAsia" w:ascii="宋体" w:hAnsi="宋体" w:cs="宋体"/>
          <w:szCs w:val="21"/>
          <w:u w:val="single"/>
        </w:rPr>
        <w:t xml:space="preserve">              </w:t>
      </w:r>
      <w:r>
        <w:rPr>
          <w:rFonts w:hint="eastAsia" w:ascii="宋体" w:hAnsi="宋体" w:cs="宋体"/>
          <w:szCs w:val="21"/>
        </w:rPr>
        <w:t>（中标人名称）于</w:t>
      </w:r>
      <w:r>
        <w:rPr>
          <w:rFonts w:hint="eastAsia" w:ascii="宋体" w:hAnsi="宋体" w:cs="宋体"/>
          <w:szCs w:val="21"/>
          <w:u w:val="single"/>
        </w:rPr>
        <w:t xml:space="preserve">            </w:t>
      </w:r>
      <w:r>
        <w:rPr>
          <w:rFonts w:hint="eastAsia" w:ascii="宋体" w:hAnsi="宋体" w:cs="宋体"/>
          <w:szCs w:val="21"/>
        </w:rPr>
        <w:t>（投标日期）所递交的</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项目施工</w:t>
      </w:r>
      <w:r>
        <w:rPr>
          <w:rFonts w:hint="eastAsia" w:ascii="宋体" w:hAnsi="宋体" w:cs="宋体"/>
          <w:szCs w:val="21"/>
          <w:lang w:eastAsia="zh-CN"/>
        </w:rPr>
        <w:t>交易响应文件</w:t>
      </w:r>
      <w:r>
        <w:rPr>
          <w:rFonts w:hint="eastAsia" w:ascii="宋体" w:hAnsi="宋体" w:cs="宋体"/>
          <w:szCs w:val="21"/>
        </w:rPr>
        <w:t>，确定</w:t>
      </w:r>
      <w:r>
        <w:rPr>
          <w:rFonts w:hint="eastAsia" w:ascii="宋体" w:hAnsi="宋体" w:cs="宋体"/>
          <w:szCs w:val="21"/>
          <w:u w:val="single"/>
        </w:rPr>
        <w:t xml:space="preserve">        </w:t>
      </w:r>
      <w:r>
        <w:rPr>
          <w:rFonts w:hint="eastAsia" w:ascii="宋体" w:hAnsi="宋体" w:cs="宋体"/>
          <w:szCs w:val="21"/>
        </w:rPr>
        <w:t>（中标人名称）为中标人。</w:t>
      </w: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r>
        <w:rPr>
          <w:rFonts w:hint="eastAsia" w:ascii="宋体" w:hAnsi="宋体" w:cs="宋体"/>
          <w:szCs w:val="21"/>
        </w:rPr>
        <w:t>感谢你单位对我们工作的大力支持！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spacing w:line="400" w:lineRule="exact"/>
        <w:ind w:firstLine="420" w:firstLineChars="200"/>
        <w:rPr>
          <w:rFonts w:ascii="宋体" w:hAnsi="宋体" w:cs="宋体"/>
          <w:szCs w:val="21"/>
        </w:rPr>
      </w:pPr>
      <w:r>
        <w:rPr>
          <w:rFonts w:hint="eastAsia" w:ascii="宋体" w:hAnsi="宋体" w:cs="宋体"/>
          <w:szCs w:val="21"/>
        </w:rPr>
        <w:t xml:space="preserve">                              招标人：</w:t>
      </w:r>
      <w:r>
        <w:rPr>
          <w:rFonts w:hint="eastAsia" w:ascii="宋体" w:hAnsi="宋体" w:cs="宋体"/>
          <w:szCs w:val="21"/>
          <w:u w:val="single"/>
        </w:rPr>
        <w:t xml:space="preserve">               </w:t>
      </w:r>
      <w:r>
        <w:rPr>
          <w:rFonts w:hint="eastAsia" w:ascii="宋体" w:hAnsi="宋体" w:cs="宋体"/>
          <w:szCs w:val="21"/>
        </w:rPr>
        <w:t xml:space="preserve">（盖单位章） </w:t>
      </w:r>
    </w:p>
    <w:p>
      <w:pPr>
        <w:spacing w:line="400" w:lineRule="exact"/>
        <w:ind w:firstLine="420" w:firstLineChars="200"/>
        <w:rPr>
          <w:rFonts w:ascii="宋体" w:hAnsi="宋体" w:cs="宋体"/>
          <w:szCs w:val="21"/>
        </w:rPr>
      </w:pPr>
      <w:r>
        <w:rPr>
          <w:rFonts w:hint="eastAsia" w:ascii="宋体" w:hAnsi="宋体" w:cs="宋体"/>
          <w:szCs w:val="21"/>
        </w:rPr>
        <w:t xml:space="preserve">                              招标代理：</w:t>
      </w:r>
      <w:r>
        <w:rPr>
          <w:rFonts w:hint="eastAsia" w:ascii="宋体" w:hAnsi="宋体" w:cs="宋体"/>
          <w:szCs w:val="21"/>
          <w:u w:val="single"/>
        </w:rPr>
        <w:t xml:space="preserve">             </w:t>
      </w:r>
      <w:r>
        <w:rPr>
          <w:rFonts w:hint="eastAsia" w:ascii="宋体" w:hAnsi="宋体" w:cs="宋体"/>
          <w:szCs w:val="21"/>
        </w:rPr>
        <w:t>（盖单位章）</w:t>
      </w:r>
    </w:p>
    <w:p>
      <w:pPr>
        <w:spacing w:line="400" w:lineRule="exact"/>
        <w:ind w:firstLine="420" w:firstLineChars="200"/>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rPr>
          <w:rFonts w:ascii="宋体" w:hAnsi="宋体" w:cs="宋体"/>
          <w:szCs w:val="21"/>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br w:type="page"/>
      </w:r>
      <w:bookmarkStart w:id="132" w:name="_Toc369608056"/>
      <w:bookmarkStart w:id="133" w:name="_Toc432367758"/>
      <w:bookmarkStart w:id="134" w:name="_Toc29900"/>
    </w:p>
    <w:p>
      <w:pPr>
        <w:rPr>
          <w:rFonts w:ascii="宋体" w:hAnsi="宋体" w:cs="宋体"/>
          <w:b/>
          <w:bCs/>
          <w:sz w:val="24"/>
          <w:szCs w:val="24"/>
        </w:rPr>
      </w:pPr>
      <w:r>
        <w:rPr>
          <w:rFonts w:hint="eastAsia" w:ascii="宋体" w:hAnsi="宋体" w:cs="宋体"/>
          <w:b/>
          <w:bCs/>
          <w:sz w:val="24"/>
          <w:szCs w:val="24"/>
        </w:rPr>
        <w:t>附表六：确认通知</w:t>
      </w:r>
      <w:bookmarkEnd w:id="132"/>
      <w:bookmarkEnd w:id="133"/>
      <w:bookmarkEnd w:id="134"/>
    </w:p>
    <w:p>
      <w:pPr>
        <w:rPr>
          <w:rFonts w:ascii="宋体" w:hAnsi="宋体" w:cs="宋体"/>
          <w:sz w:val="24"/>
        </w:rPr>
      </w:pPr>
    </w:p>
    <w:p>
      <w:pPr>
        <w:jc w:val="center"/>
        <w:rPr>
          <w:rFonts w:ascii="宋体" w:hAnsi="宋体" w:cs="宋体"/>
          <w:b/>
          <w:bCs/>
          <w:kern w:val="44"/>
          <w:sz w:val="28"/>
          <w:szCs w:val="28"/>
        </w:rPr>
      </w:pPr>
      <w:r>
        <w:rPr>
          <w:rFonts w:hint="eastAsia" w:ascii="宋体" w:hAnsi="宋体" w:cs="宋体"/>
          <w:b/>
          <w:bCs/>
          <w:kern w:val="44"/>
          <w:sz w:val="28"/>
          <w:szCs w:val="28"/>
        </w:rPr>
        <w:t>确认通知</w:t>
      </w:r>
    </w:p>
    <w:p>
      <w:pPr>
        <w:rPr>
          <w:rFonts w:ascii="宋体" w:hAnsi="宋体" w:cs="宋体"/>
          <w:sz w:val="24"/>
        </w:rPr>
      </w:pPr>
    </w:p>
    <w:p>
      <w:pPr>
        <w:rPr>
          <w:rFonts w:ascii="宋体" w:hAnsi="宋体" w:cs="宋体"/>
          <w:szCs w:val="21"/>
        </w:rPr>
      </w:pP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（招标人名称）：</w:t>
      </w:r>
    </w:p>
    <w:p>
      <w:pPr>
        <w:rPr>
          <w:rFonts w:ascii="宋体" w:hAnsi="宋体" w:cs="宋体"/>
          <w:szCs w:val="21"/>
        </w:rPr>
      </w:pPr>
    </w:p>
    <w:p>
      <w:pPr>
        <w:spacing w:line="400" w:lineRule="exact"/>
        <w:ind w:firstLine="420" w:firstLineChars="200"/>
        <w:rPr>
          <w:rFonts w:ascii="宋体" w:hAnsi="宋体" w:cs="宋体"/>
          <w:szCs w:val="21"/>
        </w:rPr>
      </w:pPr>
      <w:r>
        <w:rPr>
          <w:rFonts w:hint="eastAsia" w:ascii="宋体" w:hAnsi="宋体" w:cs="宋体"/>
          <w:szCs w:val="21"/>
        </w:rPr>
        <w:t>我方已接到你方</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日发出的</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项目施工招标关于</w:t>
      </w:r>
      <w:r>
        <w:rPr>
          <w:rFonts w:hint="eastAsia" w:ascii="宋体" w:hAnsi="宋体" w:cs="宋体"/>
          <w:szCs w:val="21"/>
          <w:u w:val="single"/>
        </w:rPr>
        <w:t xml:space="preserve">              </w:t>
      </w:r>
      <w:r>
        <w:rPr>
          <w:rFonts w:hint="eastAsia" w:ascii="宋体" w:hAnsi="宋体" w:cs="宋体"/>
          <w:szCs w:val="21"/>
        </w:rPr>
        <w:t>的通知，我方已于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日收到。</w:t>
      </w:r>
    </w:p>
    <w:p>
      <w:pPr>
        <w:spacing w:line="400" w:lineRule="exact"/>
        <w:ind w:firstLine="420" w:firstLineChars="200"/>
        <w:rPr>
          <w:rFonts w:ascii="宋体" w:hAnsi="宋体" w:cs="宋体"/>
          <w:szCs w:val="21"/>
        </w:rPr>
      </w:pPr>
      <w:r>
        <w:rPr>
          <w:rFonts w:hint="eastAsia" w:ascii="宋体" w:hAnsi="宋体" w:cs="宋体"/>
          <w:szCs w:val="21"/>
        </w:rPr>
        <w:t>特此确认。</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Cs w:val="21"/>
        </w:rPr>
      </w:pPr>
    </w:p>
    <w:p>
      <w:pPr>
        <w:rPr>
          <w:rFonts w:ascii="宋体" w:hAnsi="宋体" w:cs="宋体"/>
          <w:szCs w:val="21"/>
        </w:rPr>
      </w:pPr>
      <w:r>
        <w:rPr>
          <w:rFonts w:hint="eastAsia" w:ascii="宋体" w:hAnsi="宋体" w:cs="宋体"/>
          <w:szCs w:val="21"/>
        </w:rPr>
        <w:t xml:space="preserve">                                    </w:t>
      </w:r>
      <w:r>
        <w:rPr>
          <w:rFonts w:hint="eastAsia" w:ascii="宋体" w:hAnsi="宋体" w:cs="宋体"/>
          <w:szCs w:val="21"/>
          <w:lang w:eastAsia="zh-CN"/>
        </w:rPr>
        <w:t>交易响应单位</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（盖单位章）</w:t>
      </w:r>
    </w:p>
    <w:p>
      <w:pPr>
        <w:rPr>
          <w:rFonts w:ascii="宋体" w:hAnsi="宋体" w:cs="宋体"/>
          <w:szCs w:val="21"/>
        </w:rPr>
      </w:pPr>
    </w:p>
    <w:p>
      <w:pPr>
        <w:rPr>
          <w:rFonts w:ascii="宋体" w:hAnsi="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4"/>
        <w:spacing w:before="120" w:after="240" w:line="240" w:lineRule="auto"/>
        <w:rPr>
          <w:rFonts w:ascii="宋体" w:hAnsi="宋体" w:cs="宋体"/>
          <w:sz w:val="24"/>
        </w:rPr>
      </w:pPr>
      <w:bookmarkStart w:id="135" w:name="_Toc369608057"/>
      <w:bookmarkStart w:id="136" w:name="_Toc17091"/>
      <w:bookmarkStart w:id="137" w:name="_Toc432367759"/>
      <w:r>
        <w:rPr>
          <w:rFonts w:hint="eastAsia" w:ascii="宋体" w:hAnsi="宋体" w:cs="宋体"/>
          <w:sz w:val="36"/>
          <w:szCs w:val="36"/>
        </w:rPr>
        <w:t>第三章  评标办法（</w:t>
      </w:r>
      <w:r>
        <w:rPr>
          <w:rFonts w:hint="eastAsia" w:ascii="宋体" w:hAnsi="宋体" w:cs="宋体"/>
          <w:sz w:val="36"/>
          <w:szCs w:val="36"/>
          <w:lang w:eastAsia="zh-CN"/>
        </w:rPr>
        <w:t>技术评分最低价</w:t>
      </w:r>
      <w:r>
        <w:rPr>
          <w:rFonts w:hint="eastAsia" w:ascii="宋体" w:hAnsi="宋体" w:cs="宋体"/>
          <w:sz w:val="36"/>
          <w:szCs w:val="36"/>
        </w:rPr>
        <w:t>法）</w:t>
      </w:r>
      <w:bookmarkEnd w:id="135"/>
      <w:bookmarkEnd w:id="136"/>
      <w:bookmarkEnd w:id="137"/>
    </w:p>
    <w:p>
      <w:pPr>
        <w:pStyle w:val="4"/>
        <w:spacing w:line="400" w:lineRule="exact"/>
        <w:jc w:val="left"/>
        <w:rPr>
          <w:rFonts w:ascii="宋体" w:hAnsi="宋体" w:cs="宋体"/>
          <w:sz w:val="24"/>
          <w:szCs w:val="24"/>
        </w:rPr>
      </w:pPr>
      <w:bookmarkStart w:id="138" w:name="_Toc369608058"/>
      <w:bookmarkStart w:id="139" w:name="_Toc432367760"/>
      <w:r>
        <w:rPr>
          <w:rFonts w:hint="eastAsia" w:ascii="宋体" w:hAnsi="宋体" w:cs="宋体"/>
          <w:sz w:val="24"/>
          <w:szCs w:val="24"/>
        </w:rPr>
        <w:t xml:space="preserve">                                </w:t>
      </w:r>
      <w:bookmarkStart w:id="140" w:name="_Toc5860"/>
      <w:r>
        <w:rPr>
          <w:rFonts w:hint="eastAsia" w:ascii="宋体" w:hAnsi="宋体" w:cs="宋体"/>
          <w:sz w:val="24"/>
          <w:szCs w:val="24"/>
        </w:rPr>
        <w:t>评标办法前附表</w:t>
      </w:r>
      <w:bookmarkEnd w:id="138"/>
      <w:bookmarkEnd w:id="139"/>
      <w:bookmarkEnd w:id="140"/>
    </w:p>
    <w:tbl>
      <w:tblPr>
        <w:tblStyle w:val="16"/>
        <w:tblW w:w="9036"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7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blHeader/>
        </w:trPr>
        <w:tc>
          <w:tcPr>
            <w:tcW w:w="2023" w:type="dxa"/>
            <w:gridSpan w:val="2"/>
          </w:tcPr>
          <w:p>
            <w:pPr>
              <w:pStyle w:val="33"/>
              <w:spacing w:before="130" w:line="400" w:lineRule="exact"/>
              <w:ind w:left="673" w:right="666"/>
              <w:jc w:val="center"/>
              <w:rPr>
                <w:b/>
                <w:szCs w:val="21"/>
              </w:rPr>
            </w:pPr>
            <w:r>
              <w:rPr>
                <w:b/>
                <w:szCs w:val="21"/>
              </w:rPr>
              <w:t>条款号</w:t>
            </w:r>
          </w:p>
        </w:tc>
        <w:tc>
          <w:tcPr>
            <w:tcW w:w="7013" w:type="dxa"/>
          </w:tcPr>
          <w:p>
            <w:pPr>
              <w:pStyle w:val="33"/>
              <w:spacing w:before="130" w:line="400" w:lineRule="exact"/>
              <w:ind w:left="2341" w:right="2329"/>
              <w:jc w:val="center"/>
              <w:rPr>
                <w:b/>
                <w:szCs w:val="21"/>
              </w:rPr>
            </w:pPr>
            <w:r>
              <w:rPr>
                <w:b/>
                <w:szCs w:val="21"/>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2" w:hRule="atLeast"/>
          <w:tblHeader/>
        </w:trPr>
        <w:tc>
          <w:tcPr>
            <w:tcW w:w="900" w:type="dxa"/>
            <w:vAlign w:val="center"/>
          </w:tcPr>
          <w:p>
            <w:pPr>
              <w:pStyle w:val="33"/>
              <w:spacing w:before="187" w:line="400" w:lineRule="exact"/>
              <w:jc w:val="center"/>
              <w:rPr>
                <w:rFonts w:ascii="Times New Roman"/>
                <w:sz w:val="20"/>
                <w:lang w:val="en-US"/>
              </w:rPr>
            </w:pPr>
            <w:r>
              <w:rPr>
                <w:rFonts w:hint="eastAsia" w:ascii="Times New Roman"/>
                <w:sz w:val="20"/>
                <w:lang w:val="en-US"/>
              </w:rPr>
              <w:t>1</w:t>
            </w:r>
          </w:p>
        </w:tc>
        <w:tc>
          <w:tcPr>
            <w:tcW w:w="1123" w:type="dxa"/>
            <w:vAlign w:val="center"/>
          </w:tcPr>
          <w:p>
            <w:pPr>
              <w:pStyle w:val="33"/>
              <w:spacing w:line="400" w:lineRule="exact"/>
              <w:jc w:val="center"/>
              <w:rPr>
                <w:szCs w:val="21"/>
              </w:rPr>
            </w:pPr>
            <w:r>
              <w:rPr>
                <w:szCs w:val="21"/>
              </w:rPr>
              <w:t>评标方法</w:t>
            </w:r>
          </w:p>
        </w:tc>
        <w:tc>
          <w:tcPr>
            <w:tcW w:w="7013" w:type="dxa"/>
          </w:tcPr>
          <w:p>
            <w:pPr>
              <w:pStyle w:val="33"/>
              <w:spacing w:before="89" w:line="321" w:lineRule="auto"/>
              <w:ind w:right="95"/>
            </w:pPr>
            <w:r>
              <w:rPr>
                <w:spacing w:val="-12"/>
              </w:rPr>
              <w:t>综合评分相等时，评标委员会依次按照以下优先顺序推荐中标候选</w:t>
            </w:r>
            <w:r>
              <w:rPr>
                <w:spacing w:val="-6"/>
              </w:rPr>
              <w:t>人或确定中标人：</w:t>
            </w:r>
          </w:p>
          <w:p>
            <w:pPr>
              <w:pStyle w:val="33"/>
              <w:tabs>
                <w:tab w:val="left" w:pos="1054"/>
              </w:tabs>
              <w:spacing w:line="269" w:lineRule="exact"/>
              <w:jc w:val="left"/>
            </w:pPr>
            <w:r>
              <w:rPr>
                <w:rFonts w:hint="eastAsia"/>
                <w:spacing w:val="-3"/>
                <w:lang w:val="en-US"/>
              </w:rPr>
              <w:t>1.</w:t>
            </w:r>
            <w:r>
              <w:rPr>
                <w:spacing w:val="-3"/>
              </w:rPr>
              <w:t>评标价低的</w:t>
            </w:r>
            <w:r>
              <w:rPr>
                <w:rFonts w:hint="eastAsia"/>
                <w:spacing w:val="-3"/>
                <w:lang w:eastAsia="zh-CN"/>
              </w:rPr>
              <w:t>交易响应单位</w:t>
            </w:r>
            <w:r>
              <w:rPr>
                <w:spacing w:val="-3"/>
              </w:rPr>
              <w:t>优先；</w:t>
            </w:r>
          </w:p>
          <w:p>
            <w:pPr>
              <w:pStyle w:val="33"/>
              <w:tabs>
                <w:tab w:val="left" w:pos="1054"/>
              </w:tabs>
              <w:spacing w:before="91" w:line="321" w:lineRule="auto"/>
              <w:ind w:right="95"/>
              <w:jc w:val="left"/>
            </w:pPr>
            <w:r>
              <w:rPr>
                <w:rFonts w:hint="eastAsia"/>
                <w:spacing w:val="-3"/>
                <w:lang w:val="en-US"/>
              </w:rPr>
              <w:t>2.</w:t>
            </w:r>
            <w:r>
              <w:rPr>
                <w:spacing w:val="-3"/>
              </w:rPr>
              <w:t>被招标项目所在</w:t>
            </w:r>
            <w:r>
              <w:rPr>
                <w:spacing w:val="-3"/>
                <w:highlight w:val="none"/>
              </w:rPr>
              <w:t>地省级交通运输主管部门评为较高信用等级</w:t>
            </w:r>
            <w:r>
              <w:rPr>
                <w:spacing w:val="-3"/>
              </w:rPr>
              <w:t>的</w:t>
            </w:r>
            <w:r>
              <w:rPr>
                <w:rFonts w:hint="eastAsia"/>
                <w:spacing w:val="-3"/>
                <w:lang w:eastAsia="zh-CN"/>
              </w:rPr>
              <w:t>交易响应单位</w:t>
            </w:r>
            <w:r>
              <w:rPr>
                <w:spacing w:val="-3"/>
              </w:rPr>
              <w:t>优先；</w:t>
            </w:r>
          </w:p>
          <w:p>
            <w:pPr>
              <w:pStyle w:val="33"/>
              <w:tabs>
                <w:tab w:val="left" w:pos="1054"/>
              </w:tabs>
              <w:spacing w:line="268" w:lineRule="exact"/>
              <w:jc w:val="left"/>
              <w:rPr>
                <w:rFonts w:ascii="Times New Roman" w:hAnsi="Times New Roman" w:eastAsia="Times New Roman"/>
                <w:szCs w:val="21"/>
              </w:rPr>
            </w:pPr>
            <w:r>
              <w:rPr>
                <w:rFonts w:hint="eastAsia"/>
                <w:spacing w:val="-3"/>
                <w:lang w:val="en-US"/>
              </w:rPr>
              <w:t>3.</w:t>
            </w:r>
            <w:r>
              <w:rPr>
                <w:spacing w:val="-3"/>
              </w:rPr>
              <w:t>商务和技术得分较高的</w:t>
            </w:r>
            <w:r>
              <w:rPr>
                <w:rFonts w:hint="eastAsia"/>
                <w:spacing w:val="-3"/>
                <w:lang w:eastAsia="zh-CN"/>
              </w:rPr>
              <w:t>交易响应单位</w:t>
            </w:r>
            <w:r>
              <w:rPr>
                <w:spacing w:val="-3"/>
              </w:rPr>
              <w:t>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4" w:hRule="atLeast"/>
          <w:tblHeader/>
        </w:trPr>
        <w:tc>
          <w:tcPr>
            <w:tcW w:w="900" w:type="dxa"/>
            <w:vAlign w:val="center"/>
          </w:tcPr>
          <w:p>
            <w:pPr>
              <w:pStyle w:val="33"/>
              <w:spacing w:before="151" w:line="400" w:lineRule="exact"/>
              <w:jc w:val="center"/>
              <w:rPr>
                <w:rFonts w:ascii="Times New Roman"/>
                <w:sz w:val="20"/>
              </w:rPr>
            </w:pPr>
            <w:r>
              <w:rPr>
                <w:rFonts w:ascii="Times New Roman"/>
                <w:sz w:val="20"/>
              </w:rPr>
              <w:t>2.1.1</w:t>
            </w:r>
          </w:p>
          <w:p>
            <w:pPr>
              <w:pStyle w:val="33"/>
              <w:spacing w:before="159" w:line="400" w:lineRule="exact"/>
              <w:ind w:left="239"/>
              <w:jc w:val="center"/>
              <w:rPr>
                <w:rFonts w:ascii="Times New Roman"/>
                <w:sz w:val="20"/>
              </w:rPr>
            </w:pPr>
            <w:r>
              <w:rPr>
                <w:rFonts w:ascii="Times New Roman"/>
                <w:sz w:val="20"/>
              </w:rPr>
              <w:t>2.1.3</w:t>
            </w:r>
          </w:p>
        </w:tc>
        <w:tc>
          <w:tcPr>
            <w:tcW w:w="1123" w:type="dxa"/>
            <w:vAlign w:val="center"/>
          </w:tcPr>
          <w:p>
            <w:pPr>
              <w:pStyle w:val="33"/>
              <w:spacing w:line="400" w:lineRule="exact"/>
              <w:ind w:right="127"/>
              <w:rPr>
                <w:szCs w:val="21"/>
              </w:rPr>
            </w:pPr>
            <w:r>
              <w:rPr>
                <w:szCs w:val="21"/>
              </w:rPr>
              <w:t>形式评审与响应性评审标准</w:t>
            </w:r>
          </w:p>
        </w:tc>
        <w:tc>
          <w:tcPr>
            <w:tcW w:w="7013" w:type="dxa"/>
          </w:tcPr>
          <w:p>
            <w:pPr>
              <w:pStyle w:val="33"/>
              <w:spacing w:before="92" w:line="400" w:lineRule="exact"/>
              <w:ind w:left="530"/>
              <w:rPr>
                <w:b/>
                <w:szCs w:val="21"/>
              </w:rPr>
            </w:pPr>
            <w:r>
              <w:rPr>
                <w:b/>
                <w:szCs w:val="21"/>
              </w:rPr>
              <w:t>第一个信封（商务及技术文件）评审标准：</w:t>
            </w:r>
          </w:p>
          <w:p>
            <w:pPr>
              <w:pStyle w:val="33"/>
              <w:spacing w:before="91" w:line="400" w:lineRule="exact"/>
              <w:ind w:right="93"/>
              <w:rPr>
                <w:szCs w:val="21"/>
              </w:rPr>
            </w:pPr>
            <w:r>
              <w:rPr>
                <w:szCs w:val="21"/>
              </w:rPr>
              <w:t>（</w:t>
            </w:r>
            <w:r>
              <w:rPr>
                <w:rFonts w:ascii="Times New Roman" w:eastAsia="Times New Roman"/>
                <w:szCs w:val="21"/>
              </w:rPr>
              <w:t>1</w:t>
            </w:r>
            <w:r>
              <w:rPr>
                <w:szCs w:val="21"/>
              </w:rPr>
              <w:t>）</w:t>
            </w:r>
            <w:r>
              <w:rPr>
                <w:rFonts w:hint="eastAsia"/>
                <w:szCs w:val="21"/>
                <w:lang w:eastAsia="zh-CN"/>
              </w:rPr>
              <w:t>交易响应文件</w:t>
            </w:r>
            <w:r>
              <w:rPr>
                <w:szCs w:val="21"/>
              </w:rPr>
              <w:t>按照</w:t>
            </w:r>
            <w:r>
              <w:rPr>
                <w:rFonts w:hint="eastAsia"/>
                <w:szCs w:val="21"/>
                <w:lang w:eastAsia="zh-CN"/>
              </w:rPr>
              <w:t>交易文件</w:t>
            </w:r>
            <w:r>
              <w:rPr>
                <w:szCs w:val="21"/>
              </w:rPr>
              <w:t>规定的格式、内容填写，字迹清晰可辨：</w:t>
            </w:r>
          </w:p>
          <w:p>
            <w:pPr>
              <w:pStyle w:val="33"/>
              <w:tabs>
                <w:tab w:val="left" w:pos="676"/>
              </w:tabs>
              <w:spacing w:line="400" w:lineRule="exact"/>
              <w:ind w:right="93"/>
              <w:jc w:val="left"/>
              <w:rPr>
                <w:szCs w:val="21"/>
              </w:rPr>
            </w:pPr>
            <w:r>
              <w:rPr>
                <w:rFonts w:hint="eastAsia"/>
                <w:spacing w:val="-15"/>
                <w:szCs w:val="21"/>
                <w:lang w:val="en-US"/>
              </w:rPr>
              <w:t>A.</w:t>
            </w:r>
            <w:r>
              <w:rPr>
                <w:spacing w:val="-15"/>
                <w:szCs w:val="21"/>
              </w:rPr>
              <w:t>投标函按</w:t>
            </w:r>
            <w:r>
              <w:rPr>
                <w:rFonts w:hint="eastAsia"/>
                <w:spacing w:val="-15"/>
                <w:szCs w:val="21"/>
                <w:lang w:eastAsia="zh-CN"/>
              </w:rPr>
              <w:t>交易文件</w:t>
            </w:r>
            <w:r>
              <w:rPr>
                <w:spacing w:val="-15"/>
                <w:szCs w:val="21"/>
              </w:rPr>
              <w:t>规定填报了项目名称、标段号、补遗书编号</w:t>
            </w:r>
            <w:r>
              <w:rPr>
                <w:szCs w:val="21"/>
              </w:rPr>
              <w:t>（如有</w:t>
            </w:r>
            <w:r>
              <w:rPr>
                <w:spacing w:val="-106"/>
                <w:szCs w:val="21"/>
              </w:rPr>
              <w:t>）</w:t>
            </w:r>
            <w:r>
              <w:rPr>
                <w:spacing w:val="-3"/>
                <w:szCs w:val="21"/>
              </w:rPr>
              <w:t>、工期、工程质量要求及安全目标；</w:t>
            </w:r>
          </w:p>
          <w:p>
            <w:pPr>
              <w:pStyle w:val="33"/>
              <w:tabs>
                <w:tab w:val="left" w:pos="688"/>
              </w:tabs>
              <w:spacing w:line="400" w:lineRule="exact"/>
              <w:jc w:val="left"/>
              <w:rPr>
                <w:szCs w:val="21"/>
              </w:rPr>
            </w:pPr>
            <w:r>
              <w:rPr>
                <w:rFonts w:hint="eastAsia"/>
                <w:spacing w:val="-3"/>
                <w:szCs w:val="21"/>
                <w:lang w:val="en-US"/>
              </w:rPr>
              <w:t>B.</w:t>
            </w:r>
            <w:r>
              <w:rPr>
                <w:spacing w:val="-3"/>
                <w:szCs w:val="21"/>
              </w:rPr>
              <w:t>投标函附录的所有数据均符合</w:t>
            </w:r>
            <w:r>
              <w:rPr>
                <w:rFonts w:hint="eastAsia"/>
                <w:spacing w:val="-3"/>
                <w:szCs w:val="21"/>
                <w:lang w:eastAsia="zh-CN"/>
              </w:rPr>
              <w:t>交易文件</w:t>
            </w:r>
            <w:r>
              <w:rPr>
                <w:spacing w:val="-3"/>
                <w:szCs w:val="21"/>
              </w:rPr>
              <w:t>规定；</w:t>
            </w:r>
          </w:p>
          <w:p>
            <w:pPr>
              <w:pStyle w:val="33"/>
              <w:tabs>
                <w:tab w:val="left" w:pos="676"/>
              </w:tabs>
              <w:spacing w:before="90" w:line="400" w:lineRule="exact"/>
              <w:jc w:val="left"/>
              <w:rPr>
                <w:szCs w:val="21"/>
              </w:rPr>
            </w:pPr>
            <w:r>
              <w:rPr>
                <w:rFonts w:hint="eastAsia"/>
                <w:spacing w:val="-3"/>
                <w:szCs w:val="21"/>
                <w:lang w:val="en-US"/>
              </w:rPr>
              <w:t>C.</w:t>
            </w:r>
            <w:r>
              <w:rPr>
                <w:rFonts w:hint="eastAsia"/>
                <w:spacing w:val="-3"/>
                <w:szCs w:val="21"/>
                <w:lang w:eastAsia="zh-CN"/>
              </w:rPr>
              <w:t>交易响应文件</w:t>
            </w:r>
            <w:r>
              <w:rPr>
                <w:spacing w:val="-3"/>
                <w:szCs w:val="21"/>
              </w:rPr>
              <w:t>组成齐全完整，内容均按规定填写。</w:t>
            </w:r>
          </w:p>
          <w:p>
            <w:pPr>
              <w:pStyle w:val="33"/>
              <w:tabs>
                <w:tab w:val="left" w:pos="1058"/>
              </w:tabs>
              <w:spacing w:before="91" w:line="400" w:lineRule="exact"/>
              <w:ind w:right="93"/>
              <w:jc w:val="left"/>
              <w:rPr>
                <w:szCs w:val="21"/>
              </w:rPr>
            </w:pPr>
            <w:r>
              <w:rPr>
                <w:rFonts w:hint="eastAsia"/>
                <w:spacing w:val="-3"/>
                <w:szCs w:val="21"/>
              </w:rPr>
              <w:t>（</w:t>
            </w:r>
            <w:r>
              <w:rPr>
                <w:rFonts w:hint="eastAsia"/>
                <w:spacing w:val="-3"/>
                <w:szCs w:val="21"/>
                <w:lang w:val="en-US"/>
              </w:rPr>
              <w:t>2</w:t>
            </w:r>
            <w:r>
              <w:rPr>
                <w:rFonts w:hint="eastAsia"/>
                <w:spacing w:val="-3"/>
                <w:szCs w:val="21"/>
              </w:rPr>
              <w:t>）</w:t>
            </w:r>
            <w:r>
              <w:rPr>
                <w:rFonts w:hint="eastAsia"/>
                <w:spacing w:val="-3"/>
                <w:szCs w:val="21"/>
                <w:lang w:eastAsia="zh-CN"/>
              </w:rPr>
              <w:t>交易响应文件</w:t>
            </w:r>
            <w:r>
              <w:rPr>
                <w:spacing w:val="-3"/>
                <w:szCs w:val="21"/>
              </w:rPr>
              <w:t>上法定代表人或其委托代理人的签字、</w:t>
            </w:r>
            <w:r>
              <w:rPr>
                <w:rFonts w:hint="eastAsia"/>
                <w:spacing w:val="-3"/>
                <w:szCs w:val="21"/>
                <w:lang w:eastAsia="zh-CN"/>
              </w:rPr>
              <w:t>交易响应单位</w:t>
            </w:r>
            <w:r>
              <w:rPr>
                <w:spacing w:val="-3"/>
                <w:szCs w:val="21"/>
              </w:rPr>
              <w:t>的单位章盖章齐全，符合</w:t>
            </w:r>
            <w:r>
              <w:rPr>
                <w:rFonts w:hint="eastAsia"/>
                <w:spacing w:val="-3"/>
                <w:szCs w:val="21"/>
                <w:lang w:eastAsia="zh-CN"/>
              </w:rPr>
              <w:t>交易文件</w:t>
            </w:r>
            <w:r>
              <w:rPr>
                <w:spacing w:val="-3"/>
                <w:szCs w:val="21"/>
              </w:rPr>
              <w:t>规定。</w:t>
            </w:r>
          </w:p>
          <w:p>
            <w:pPr>
              <w:pStyle w:val="33"/>
              <w:tabs>
                <w:tab w:val="left" w:pos="1058"/>
              </w:tabs>
              <w:spacing w:line="400" w:lineRule="exact"/>
              <w:ind w:right="90"/>
              <w:rPr>
                <w:szCs w:val="21"/>
              </w:rPr>
            </w:pPr>
            <w:r>
              <w:rPr>
                <w:rFonts w:hint="eastAsia"/>
                <w:spacing w:val="-3"/>
                <w:szCs w:val="21"/>
              </w:rPr>
              <w:t>（</w:t>
            </w:r>
            <w:r>
              <w:rPr>
                <w:rFonts w:hint="eastAsia"/>
                <w:spacing w:val="-3"/>
                <w:szCs w:val="21"/>
                <w:lang w:val="en-US"/>
              </w:rPr>
              <w:t>3</w:t>
            </w:r>
            <w:r>
              <w:rPr>
                <w:rFonts w:hint="eastAsia"/>
                <w:spacing w:val="-3"/>
                <w:szCs w:val="21"/>
              </w:rPr>
              <w:t>）</w:t>
            </w:r>
            <w:r>
              <w:rPr>
                <w:spacing w:val="-3"/>
                <w:szCs w:val="21"/>
              </w:rPr>
              <w:t>与申请资格预审时比较，</w:t>
            </w:r>
            <w:r>
              <w:rPr>
                <w:rFonts w:hint="eastAsia"/>
                <w:spacing w:val="-3"/>
                <w:szCs w:val="21"/>
                <w:lang w:eastAsia="zh-CN"/>
              </w:rPr>
              <w:t>交易响应单位</w:t>
            </w:r>
            <w:r>
              <w:rPr>
                <w:spacing w:val="-3"/>
                <w:szCs w:val="21"/>
              </w:rPr>
              <w:t>发生合并、分立、破产等重大变化的，仍具备资格预审文件规定的相应资格条件且其投标未影响招标公正性：</w:t>
            </w:r>
          </w:p>
          <w:p>
            <w:pPr>
              <w:pStyle w:val="33"/>
              <w:tabs>
                <w:tab w:val="left" w:pos="680"/>
              </w:tabs>
              <w:spacing w:line="400" w:lineRule="exact"/>
              <w:ind w:right="97"/>
              <w:jc w:val="left"/>
              <w:rPr>
                <w:szCs w:val="21"/>
              </w:rPr>
            </w:pPr>
            <w:r>
              <w:rPr>
                <w:rFonts w:hint="eastAsia"/>
                <w:spacing w:val="3"/>
                <w:szCs w:val="21"/>
                <w:lang w:val="en-US"/>
              </w:rPr>
              <w:t>A.</w:t>
            </w:r>
            <w:r>
              <w:rPr>
                <w:rFonts w:hint="eastAsia"/>
                <w:spacing w:val="3"/>
                <w:szCs w:val="21"/>
                <w:lang w:eastAsia="zh-CN"/>
              </w:rPr>
              <w:t>交易响应单位</w:t>
            </w:r>
            <w:r>
              <w:rPr>
                <w:spacing w:val="3"/>
                <w:szCs w:val="21"/>
              </w:rPr>
              <w:t>应提供相关部门的合法批件及企业法人营业执照和资质</w:t>
            </w:r>
            <w:r>
              <w:rPr>
                <w:spacing w:val="-3"/>
                <w:szCs w:val="21"/>
              </w:rPr>
              <w:t>证书等证件的副本变更记录复印件；</w:t>
            </w:r>
          </w:p>
          <w:p>
            <w:pPr>
              <w:pStyle w:val="33"/>
              <w:tabs>
                <w:tab w:val="left" w:pos="692"/>
              </w:tabs>
              <w:spacing w:line="400" w:lineRule="exact"/>
              <w:jc w:val="left"/>
              <w:rPr>
                <w:szCs w:val="21"/>
              </w:rPr>
            </w:pPr>
            <w:r>
              <w:rPr>
                <w:rFonts w:hint="eastAsia"/>
                <w:spacing w:val="1"/>
                <w:szCs w:val="21"/>
                <w:lang w:val="en-US"/>
              </w:rPr>
              <w:t>B.</w:t>
            </w:r>
            <w:r>
              <w:rPr>
                <w:rFonts w:hint="eastAsia"/>
                <w:spacing w:val="1"/>
                <w:szCs w:val="21"/>
                <w:lang w:eastAsia="zh-CN"/>
              </w:rPr>
              <w:t>交易响应单位</w:t>
            </w:r>
            <w:r>
              <w:rPr>
                <w:spacing w:val="1"/>
                <w:szCs w:val="21"/>
              </w:rPr>
              <w:t>仍然满足资格预审文件中规定的资格预审条件最低要求</w:t>
            </w:r>
          </w:p>
          <w:p>
            <w:pPr>
              <w:pStyle w:val="33"/>
              <w:spacing w:before="88" w:line="400" w:lineRule="exact"/>
              <w:ind w:left="107"/>
              <w:rPr>
                <w:szCs w:val="21"/>
              </w:rPr>
            </w:pPr>
            <w:r>
              <w:rPr>
                <w:szCs w:val="21"/>
              </w:rPr>
              <w:t>（</w:t>
            </w:r>
            <w:r>
              <w:rPr>
                <w:spacing w:val="-3"/>
                <w:szCs w:val="21"/>
              </w:rPr>
              <w:t>资质、业绩、人员、信誉、财务等</w:t>
            </w:r>
            <w:r>
              <w:rPr>
                <w:spacing w:val="-106"/>
                <w:szCs w:val="21"/>
              </w:rPr>
              <w:t>）</w:t>
            </w:r>
            <w:r>
              <w:rPr>
                <w:szCs w:val="21"/>
              </w:rPr>
              <w:t>；</w:t>
            </w:r>
          </w:p>
          <w:p>
            <w:pPr>
              <w:pStyle w:val="33"/>
              <w:tabs>
                <w:tab w:val="left" w:pos="676"/>
              </w:tabs>
              <w:spacing w:before="91" w:line="400" w:lineRule="exact"/>
              <w:ind w:right="93"/>
              <w:jc w:val="left"/>
              <w:rPr>
                <w:spacing w:val="-4"/>
                <w:szCs w:val="21"/>
              </w:rPr>
            </w:pPr>
            <w:r>
              <w:rPr>
                <w:rFonts w:hint="eastAsia"/>
                <w:spacing w:val="-6"/>
                <w:szCs w:val="21"/>
                <w:lang w:val="en-US"/>
              </w:rPr>
              <w:t>C.</w:t>
            </w:r>
            <w:r>
              <w:rPr>
                <w:spacing w:val="-6"/>
                <w:szCs w:val="21"/>
              </w:rPr>
              <w:t>与所投标段的其他</w:t>
            </w:r>
            <w:r>
              <w:rPr>
                <w:rFonts w:hint="eastAsia"/>
                <w:spacing w:val="-6"/>
                <w:szCs w:val="21"/>
                <w:lang w:eastAsia="zh-CN"/>
              </w:rPr>
              <w:t>交易响应单位</w:t>
            </w:r>
            <w:r>
              <w:rPr>
                <w:spacing w:val="-6"/>
                <w:szCs w:val="21"/>
              </w:rPr>
              <w:t>不存在控股、管理关系或单位负责人为</w:t>
            </w:r>
            <w:r>
              <w:rPr>
                <w:spacing w:val="-4"/>
                <w:szCs w:val="21"/>
              </w:rPr>
              <w:t>同一人的情况；与招标人也不存在利害关系并可能影响招标公正性。</w:t>
            </w:r>
          </w:p>
          <w:p>
            <w:pPr>
              <w:pStyle w:val="33"/>
              <w:tabs>
                <w:tab w:val="left" w:pos="676"/>
              </w:tabs>
              <w:spacing w:before="91" w:line="400" w:lineRule="exact"/>
              <w:ind w:right="93"/>
              <w:jc w:val="left"/>
              <w:rPr>
                <w:szCs w:val="21"/>
              </w:rPr>
            </w:pPr>
            <w:r>
              <w:rPr>
                <w:rFonts w:hint="eastAsia"/>
                <w:szCs w:val="21"/>
              </w:rPr>
              <w:t>（</w:t>
            </w:r>
            <w:r>
              <w:rPr>
                <w:rFonts w:hint="eastAsia"/>
                <w:szCs w:val="21"/>
                <w:lang w:val="en-US"/>
              </w:rPr>
              <w:t>4</w:t>
            </w:r>
            <w:r>
              <w:rPr>
                <w:rFonts w:hint="eastAsia"/>
                <w:szCs w:val="21"/>
              </w:rPr>
              <w:t>）</w:t>
            </w:r>
            <w:r>
              <w:rPr>
                <w:rFonts w:hint="eastAsia"/>
                <w:szCs w:val="21"/>
                <w:lang w:eastAsia="zh-CN"/>
              </w:rPr>
              <w:t>交易响应单位</w:t>
            </w:r>
            <w:r>
              <w:rPr>
                <w:szCs w:val="21"/>
              </w:rPr>
              <w:t>按照</w:t>
            </w:r>
            <w:r>
              <w:rPr>
                <w:rFonts w:hint="eastAsia"/>
                <w:szCs w:val="21"/>
                <w:lang w:eastAsia="zh-CN"/>
              </w:rPr>
              <w:t>交易文件</w:t>
            </w:r>
            <w:r>
              <w:rPr>
                <w:szCs w:val="21"/>
              </w:rPr>
              <w:t>的规定提供了</w:t>
            </w:r>
            <w:r>
              <w:rPr>
                <w:rFonts w:hint="eastAsia"/>
                <w:szCs w:val="21"/>
                <w:lang w:eastAsia="zh-CN"/>
              </w:rPr>
              <w:t>交易保证金</w:t>
            </w:r>
            <w:r>
              <w:rPr>
                <w:szCs w:val="21"/>
              </w:rPr>
              <w:t>：</w:t>
            </w:r>
          </w:p>
          <w:p>
            <w:pPr>
              <w:pStyle w:val="33"/>
              <w:spacing w:line="400" w:lineRule="exact"/>
              <w:ind w:right="36"/>
              <w:rPr>
                <w:szCs w:val="21"/>
              </w:rPr>
            </w:pPr>
            <w:r>
              <w:rPr>
                <w:rFonts w:ascii="Times New Roman" w:eastAsia="Times New Roman"/>
                <w:szCs w:val="21"/>
              </w:rPr>
              <w:t>a.</w:t>
            </w:r>
            <w:r>
              <w:rPr>
                <w:rFonts w:hint="eastAsia"/>
                <w:szCs w:val="21"/>
                <w:lang w:eastAsia="zh-CN"/>
              </w:rPr>
              <w:t>交易保证金</w:t>
            </w:r>
            <w:r>
              <w:rPr>
                <w:szCs w:val="21"/>
              </w:rPr>
              <w:t>金额符合</w:t>
            </w:r>
            <w:r>
              <w:rPr>
                <w:rFonts w:hint="eastAsia"/>
                <w:szCs w:val="21"/>
                <w:lang w:eastAsia="zh-CN"/>
              </w:rPr>
              <w:t>交易文件</w:t>
            </w:r>
            <w:r>
              <w:rPr>
                <w:szCs w:val="21"/>
              </w:rPr>
              <w:t>规定的金额，且</w:t>
            </w:r>
            <w:r>
              <w:rPr>
                <w:rFonts w:hint="eastAsia"/>
                <w:szCs w:val="21"/>
                <w:lang w:eastAsia="zh-CN"/>
              </w:rPr>
              <w:t>交易保证金</w:t>
            </w:r>
            <w:r>
              <w:rPr>
                <w:szCs w:val="21"/>
              </w:rPr>
              <w:t>有效期不少于投标有效期；</w:t>
            </w:r>
          </w:p>
          <w:p>
            <w:pPr>
              <w:pStyle w:val="33"/>
              <w:tabs>
                <w:tab w:val="left" w:pos="689"/>
              </w:tabs>
              <w:spacing w:before="90" w:line="440" w:lineRule="exact"/>
              <w:rPr>
                <w:szCs w:val="21"/>
              </w:rPr>
            </w:pPr>
            <w:r>
              <w:rPr>
                <w:rFonts w:hint="eastAsia"/>
                <w:spacing w:val="-7"/>
                <w:lang w:val="en-US"/>
              </w:rPr>
              <w:t>b.</w:t>
            </w:r>
            <w:r>
              <w:rPr>
                <w:spacing w:val="-7"/>
              </w:rPr>
              <w:t>若</w:t>
            </w:r>
            <w:r>
              <w:rPr>
                <w:rFonts w:hint="eastAsia"/>
                <w:spacing w:val="-7"/>
                <w:lang w:eastAsia="zh-CN"/>
              </w:rPr>
              <w:t>交易保证金</w:t>
            </w:r>
            <w:r>
              <w:rPr>
                <w:spacing w:val="-7"/>
              </w:rPr>
              <w:t>采用现金或支票形式提交，</w:t>
            </w:r>
            <w:r>
              <w:rPr>
                <w:rFonts w:hint="eastAsia"/>
                <w:spacing w:val="-7"/>
                <w:lang w:eastAsia="zh-CN"/>
              </w:rPr>
              <w:t>交易响应单位</w:t>
            </w:r>
            <w:r>
              <w:rPr>
                <w:spacing w:val="-7"/>
              </w:rPr>
              <w:t>应在递交</w:t>
            </w:r>
            <w:r>
              <w:rPr>
                <w:rFonts w:hint="eastAsia"/>
                <w:spacing w:val="-7"/>
                <w:lang w:eastAsia="zh-CN"/>
              </w:rPr>
              <w:t>交易响应文件</w:t>
            </w:r>
            <w:r>
              <w:t>截止时间之前，将</w:t>
            </w:r>
            <w:r>
              <w:rPr>
                <w:rFonts w:hint="eastAsia"/>
                <w:lang w:eastAsia="zh-CN"/>
              </w:rPr>
              <w:t>交易保证金</w:t>
            </w:r>
            <w:r>
              <w:t>由</w:t>
            </w:r>
            <w:r>
              <w:rPr>
                <w:rFonts w:hint="eastAsia"/>
                <w:lang w:eastAsia="zh-CN"/>
              </w:rPr>
              <w:t>交易响应单位</w:t>
            </w:r>
            <w:r>
              <w:t>的基本账户转入招标人指定账户；</w:t>
            </w:r>
          </w:p>
        </w:tc>
      </w:tr>
    </w:tbl>
    <w:p>
      <w:pPr>
        <w:rPr>
          <w:rFonts w:ascii="宋体" w:hAnsi="宋体" w:cs="宋体"/>
          <w:vanish/>
          <w:sz w:val="16"/>
          <w:szCs w:val="18"/>
        </w:rPr>
      </w:pPr>
    </w:p>
    <w:p>
      <w:pPr>
        <w:rPr>
          <w:rFonts w:ascii="宋体" w:hAnsi="宋体" w:cs="宋体"/>
          <w:sz w:val="22"/>
          <w:szCs w:val="18"/>
        </w:rPr>
      </w:pPr>
      <w:r>
        <w:rPr>
          <w:rFonts w:hint="eastAsia" w:ascii="宋体" w:hAnsi="宋体" w:cs="宋体"/>
          <w:sz w:val="22"/>
          <w:szCs w:val="18"/>
        </w:rPr>
        <w:t xml:space="preserve"> </w:t>
      </w:r>
    </w:p>
    <w:tbl>
      <w:tblPr>
        <w:tblStyle w:val="16"/>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8"/>
        <w:gridCol w:w="799"/>
        <w:gridCol w:w="7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jc w:val="center"/>
        </w:trPr>
        <w:tc>
          <w:tcPr>
            <w:tcW w:w="1817" w:type="dxa"/>
            <w:gridSpan w:val="3"/>
          </w:tcPr>
          <w:p>
            <w:pPr>
              <w:pStyle w:val="33"/>
              <w:spacing w:before="109" w:line="440" w:lineRule="exact"/>
              <w:jc w:val="center"/>
              <w:rPr>
                <w:b/>
                <w:sz w:val="20"/>
              </w:rPr>
            </w:pPr>
            <w:r>
              <w:rPr>
                <w:b/>
                <w:sz w:val="20"/>
              </w:rPr>
              <w:t>条款号</w:t>
            </w:r>
          </w:p>
        </w:tc>
        <w:tc>
          <w:tcPr>
            <w:tcW w:w="7160" w:type="dxa"/>
          </w:tcPr>
          <w:p>
            <w:pPr>
              <w:pStyle w:val="33"/>
              <w:spacing w:before="109" w:line="440" w:lineRule="exact"/>
              <w:jc w:val="center"/>
              <w:rPr>
                <w:b/>
                <w:sz w:val="20"/>
              </w:rPr>
            </w:pPr>
            <w:r>
              <w:rPr>
                <w:b/>
                <w:sz w:val="20"/>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10" w:hRule="exact"/>
          <w:jc w:val="center"/>
        </w:trPr>
        <w:tc>
          <w:tcPr>
            <w:tcW w:w="1018" w:type="dxa"/>
            <w:gridSpan w:val="2"/>
            <w:vAlign w:val="center"/>
          </w:tcPr>
          <w:p>
            <w:pPr>
              <w:pStyle w:val="33"/>
              <w:spacing w:line="440" w:lineRule="exact"/>
              <w:jc w:val="center"/>
              <w:rPr>
                <w:rFonts w:ascii="Times New Roman"/>
                <w:sz w:val="20"/>
              </w:rPr>
            </w:pPr>
            <w:r>
              <w:rPr>
                <w:rFonts w:ascii="Times New Roman"/>
                <w:sz w:val="20"/>
              </w:rPr>
              <w:t>2.1.1</w:t>
            </w:r>
          </w:p>
          <w:p>
            <w:pPr>
              <w:pStyle w:val="33"/>
              <w:spacing w:before="159" w:line="440" w:lineRule="exact"/>
              <w:jc w:val="center"/>
              <w:rPr>
                <w:b/>
                <w:sz w:val="20"/>
              </w:rPr>
            </w:pPr>
            <w:r>
              <w:rPr>
                <w:rFonts w:ascii="Times New Roman"/>
                <w:sz w:val="20"/>
              </w:rPr>
              <w:t>2.1.3</w:t>
            </w:r>
          </w:p>
        </w:tc>
        <w:tc>
          <w:tcPr>
            <w:tcW w:w="799" w:type="dxa"/>
            <w:vAlign w:val="center"/>
          </w:tcPr>
          <w:p>
            <w:pPr>
              <w:pStyle w:val="33"/>
              <w:spacing w:line="440" w:lineRule="exact"/>
              <w:rPr>
                <w:b/>
                <w:sz w:val="20"/>
              </w:rPr>
            </w:pPr>
            <w:r>
              <w:rPr>
                <w:sz w:val="20"/>
              </w:rPr>
              <w:t>形式评审与响应性评审标准</w:t>
            </w:r>
          </w:p>
        </w:tc>
        <w:tc>
          <w:tcPr>
            <w:tcW w:w="7160" w:type="dxa"/>
          </w:tcPr>
          <w:p>
            <w:pPr>
              <w:pStyle w:val="33"/>
              <w:tabs>
                <w:tab w:val="left" w:pos="1128"/>
              </w:tabs>
              <w:spacing w:line="380" w:lineRule="exact"/>
              <w:jc w:val="left"/>
              <w:rPr>
                <w:spacing w:val="-3"/>
                <w:szCs w:val="21"/>
              </w:rPr>
            </w:pPr>
            <w:r>
              <w:rPr>
                <w:rFonts w:hint="eastAsia"/>
                <w:spacing w:val="-3"/>
                <w:szCs w:val="21"/>
                <w:lang w:val="en-US"/>
              </w:rPr>
              <w:t>c.</w:t>
            </w:r>
            <w:r>
              <w:rPr>
                <w:spacing w:val="-3"/>
                <w:szCs w:val="21"/>
              </w:rPr>
              <w:t>若</w:t>
            </w:r>
            <w:r>
              <w:rPr>
                <w:rFonts w:hint="eastAsia"/>
                <w:spacing w:val="-3"/>
                <w:szCs w:val="21"/>
                <w:lang w:eastAsia="zh-CN"/>
              </w:rPr>
              <w:t>交易保证金</w:t>
            </w:r>
            <w:r>
              <w:rPr>
                <w:spacing w:val="-3"/>
                <w:szCs w:val="21"/>
              </w:rPr>
              <w:t>采用现金或支票形式提交，</w:t>
            </w:r>
            <w:r>
              <w:rPr>
                <w:rFonts w:hint="eastAsia"/>
                <w:spacing w:val="-3"/>
                <w:szCs w:val="21"/>
                <w:lang w:eastAsia="zh-CN"/>
              </w:rPr>
              <w:t>交易响应单位</w:t>
            </w:r>
            <w:r>
              <w:rPr>
                <w:spacing w:val="-3"/>
                <w:szCs w:val="21"/>
              </w:rPr>
              <w:t>应在递交</w:t>
            </w:r>
            <w:r>
              <w:rPr>
                <w:rFonts w:hint="eastAsia"/>
                <w:spacing w:val="-3"/>
                <w:szCs w:val="21"/>
                <w:lang w:eastAsia="zh-CN"/>
              </w:rPr>
              <w:t>交易响应文件</w:t>
            </w:r>
            <w:r>
              <w:rPr>
                <w:spacing w:val="-3"/>
                <w:szCs w:val="21"/>
              </w:rPr>
              <w:t>截止时间之前，将</w:t>
            </w:r>
            <w:r>
              <w:rPr>
                <w:rFonts w:hint="eastAsia"/>
                <w:spacing w:val="-3"/>
                <w:szCs w:val="21"/>
                <w:lang w:eastAsia="zh-CN"/>
              </w:rPr>
              <w:t>交易保证金</w:t>
            </w:r>
            <w:r>
              <w:rPr>
                <w:spacing w:val="-3"/>
                <w:szCs w:val="21"/>
              </w:rPr>
              <w:t>由</w:t>
            </w:r>
            <w:r>
              <w:rPr>
                <w:rFonts w:hint="eastAsia"/>
                <w:spacing w:val="-3"/>
                <w:szCs w:val="21"/>
                <w:lang w:eastAsia="zh-CN"/>
              </w:rPr>
              <w:t>交易响应单位</w:t>
            </w:r>
            <w:r>
              <w:rPr>
                <w:spacing w:val="-3"/>
                <w:szCs w:val="21"/>
              </w:rPr>
              <w:t>的基本账户转入招标人指定账户；</w:t>
            </w:r>
          </w:p>
          <w:p>
            <w:pPr>
              <w:pStyle w:val="33"/>
              <w:tabs>
                <w:tab w:val="left" w:pos="1128"/>
              </w:tabs>
              <w:spacing w:line="380" w:lineRule="exact"/>
              <w:jc w:val="left"/>
              <w:rPr>
                <w:spacing w:val="-3"/>
                <w:szCs w:val="21"/>
              </w:rPr>
            </w:pPr>
            <w:r>
              <w:rPr>
                <w:rFonts w:hint="eastAsia"/>
                <w:spacing w:val="-3"/>
                <w:szCs w:val="21"/>
                <w:lang w:val="en-US"/>
              </w:rPr>
              <w:t>d.</w:t>
            </w:r>
            <w:r>
              <w:rPr>
                <w:spacing w:val="-3"/>
                <w:szCs w:val="21"/>
              </w:rPr>
              <w:t>若</w:t>
            </w:r>
            <w:r>
              <w:rPr>
                <w:rFonts w:hint="eastAsia"/>
                <w:spacing w:val="-3"/>
                <w:szCs w:val="21"/>
                <w:lang w:eastAsia="zh-CN"/>
              </w:rPr>
              <w:t>交易保证金</w:t>
            </w:r>
            <w:r>
              <w:rPr>
                <w:spacing w:val="-3"/>
                <w:szCs w:val="21"/>
              </w:rPr>
              <w:t>采用银行保函形式提交，银行保函的格式、开具保函的银行均满足</w:t>
            </w:r>
            <w:r>
              <w:rPr>
                <w:rFonts w:hint="eastAsia"/>
                <w:spacing w:val="-3"/>
                <w:szCs w:val="21"/>
                <w:lang w:eastAsia="zh-CN"/>
              </w:rPr>
              <w:t>交易文件</w:t>
            </w:r>
            <w:r>
              <w:rPr>
                <w:spacing w:val="-3"/>
                <w:szCs w:val="21"/>
              </w:rPr>
              <w:t>要求，且在递交</w:t>
            </w:r>
            <w:r>
              <w:rPr>
                <w:rFonts w:hint="eastAsia"/>
                <w:spacing w:val="-3"/>
                <w:szCs w:val="21"/>
                <w:lang w:eastAsia="zh-CN"/>
              </w:rPr>
              <w:t>交易响应文件</w:t>
            </w:r>
            <w:r>
              <w:rPr>
                <w:spacing w:val="-3"/>
                <w:szCs w:val="21"/>
              </w:rPr>
              <w:t>截止时间之前向招标人提交了银行保函原件。</w:t>
            </w:r>
          </w:p>
          <w:p>
            <w:pPr>
              <w:pStyle w:val="33"/>
              <w:tabs>
                <w:tab w:val="left" w:pos="1128"/>
              </w:tabs>
              <w:spacing w:line="380" w:lineRule="exact"/>
              <w:jc w:val="left"/>
              <w:rPr>
                <w:spacing w:val="-3"/>
                <w:szCs w:val="21"/>
              </w:rPr>
            </w:pPr>
            <w:r>
              <w:rPr>
                <w:rFonts w:hint="eastAsia"/>
                <w:spacing w:val="-3"/>
                <w:szCs w:val="21"/>
                <w:lang w:val="en-US"/>
              </w:rPr>
              <w:t>(5</w:t>
            </w:r>
            <w:r>
              <w:rPr>
                <w:rFonts w:hint="eastAsia"/>
                <w:spacing w:val="-3"/>
                <w:szCs w:val="21"/>
                <w:lang w:eastAsia="zh-CN"/>
              </w:rPr>
              <w:t>交易响应单位</w:t>
            </w:r>
            <w:r>
              <w:rPr>
                <w:spacing w:val="-3"/>
                <w:szCs w:val="21"/>
              </w:rPr>
              <w:t>法定代表人授权委托代理人签署</w:t>
            </w:r>
            <w:r>
              <w:rPr>
                <w:rFonts w:hint="eastAsia"/>
                <w:spacing w:val="-3"/>
                <w:szCs w:val="21"/>
                <w:lang w:eastAsia="zh-CN"/>
              </w:rPr>
              <w:t>交易响应文件</w:t>
            </w:r>
            <w:r>
              <w:rPr>
                <w:spacing w:val="-3"/>
                <w:szCs w:val="21"/>
              </w:rPr>
              <w:t>的，须提交授权委托书，且授权人和被授权人均在授权委托书上签名，未使用印章、签名章或其他电子制版签名代替。</w:t>
            </w:r>
          </w:p>
          <w:p>
            <w:pPr>
              <w:pStyle w:val="33"/>
              <w:tabs>
                <w:tab w:val="left" w:pos="1128"/>
              </w:tabs>
              <w:spacing w:line="380" w:lineRule="exact"/>
              <w:jc w:val="left"/>
              <w:rPr>
                <w:spacing w:val="-3"/>
                <w:szCs w:val="21"/>
              </w:rPr>
            </w:pPr>
            <w:r>
              <w:rPr>
                <w:rFonts w:hint="eastAsia"/>
                <w:spacing w:val="-3"/>
                <w:szCs w:val="21"/>
              </w:rPr>
              <w:t>（</w:t>
            </w:r>
            <w:r>
              <w:rPr>
                <w:rFonts w:hint="eastAsia"/>
                <w:spacing w:val="-3"/>
                <w:szCs w:val="21"/>
                <w:lang w:val="en-US"/>
              </w:rPr>
              <w:t>6</w:t>
            </w:r>
            <w:r>
              <w:rPr>
                <w:rFonts w:hint="eastAsia"/>
                <w:spacing w:val="-3"/>
                <w:szCs w:val="21"/>
              </w:rPr>
              <w:t>）</w:t>
            </w:r>
            <w:r>
              <w:rPr>
                <w:rFonts w:hint="eastAsia"/>
                <w:spacing w:val="-3"/>
                <w:szCs w:val="21"/>
                <w:lang w:eastAsia="zh-CN"/>
              </w:rPr>
              <w:t>交易响应单位</w:t>
            </w:r>
            <w:r>
              <w:rPr>
                <w:spacing w:val="-3"/>
                <w:szCs w:val="21"/>
              </w:rPr>
              <w:t>法定代表人亲自签署</w:t>
            </w:r>
            <w:r>
              <w:rPr>
                <w:rFonts w:hint="eastAsia"/>
                <w:spacing w:val="-3"/>
                <w:szCs w:val="21"/>
                <w:lang w:eastAsia="zh-CN"/>
              </w:rPr>
              <w:t>交易响应文件</w:t>
            </w:r>
            <w:r>
              <w:rPr>
                <w:spacing w:val="-3"/>
                <w:szCs w:val="21"/>
              </w:rPr>
              <w:t>的，提供了法定代表人身份证明，且法定代表人在法定代表人身份证明上签名，未使用印章、签名章或其他电子制版签名代替。</w:t>
            </w:r>
          </w:p>
          <w:p>
            <w:pPr>
              <w:pStyle w:val="33"/>
              <w:tabs>
                <w:tab w:val="left" w:pos="1128"/>
              </w:tabs>
              <w:spacing w:line="380" w:lineRule="exact"/>
              <w:jc w:val="left"/>
              <w:rPr>
                <w:spacing w:val="-3"/>
                <w:szCs w:val="21"/>
              </w:rPr>
            </w:pPr>
            <w:r>
              <w:rPr>
                <w:rFonts w:hint="eastAsia"/>
                <w:spacing w:val="-3"/>
                <w:szCs w:val="21"/>
              </w:rPr>
              <w:t>（</w:t>
            </w:r>
            <w:r>
              <w:rPr>
                <w:rFonts w:hint="eastAsia"/>
                <w:spacing w:val="-3"/>
                <w:szCs w:val="21"/>
                <w:lang w:val="en-US"/>
              </w:rPr>
              <w:t>7</w:t>
            </w:r>
            <w:r>
              <w:rPr>
                <w:rFonts w:hint="eastAsia"/>
                <w:spacing w:val="-3"/>
                <w:szCs w:val="21"/>
              </w:rPr>
              <w:t>）</w:t>
            </w:r>
            <w:r>
              <w:rPr>
                <w:rFonts w:hint="eastAsia"/>
                <w:spacing w:val="-3"/>
                <w:szCs w:val="21"/>
                <w:lang w:eastAsia="zh-CN"/>
              </w:rPr>
              <w:t>交易响应单位</w:t>
            </w:r>
            <w:r>
              <w:rPr>
                <w:spacing w:val="-3"/>
                <w:szCs w:val="21"/>
              </w:rPr>
              <w:t>以联合体形式投标时，联合体满足</w:t>
            </w:r>
            <w:r>
              <w:rPr>
                <w:rFonts w:hint="eastAsia"/>
                <w:spacing w:val="-3"/>
                <w:szCs w:val="21"/>
                <w:lang w:eastAsia="zh-CN"/>
              </w:rPr>
              <w:t>交易文件</w:t>
            </w:r>
            <w:r>
              <w:rPr>
                <w:spacing w:val="-3"/>
                <w:szCs w:val="21"/>
              </w:rPr>
              <w:t>的要求：</w:t>
            </w:r>
          </w:p>
          <w:p>
            <w:pPr>
              <w:pStyle w:val="33"/>
              <w:tabs>
                <w:tab w:val="left" w:pos="1128"/>
              </w:tabs>
              <w:spacing w:line="380" w:lineRule="exact"/>
              <w:jc w:val="left"/>
              <w:rPr>
                <w:spacing w:val="-3"/>
                <w:szCs w:val="21"/>
              </w:rPr>
            </w:pPr>
            <w:r>
              <w:rPr>
                <w:rFonts w:hint="eastAsia"/>
                <w:spacing w:val="-3"/>
                <w:szCs w:val="21"/>
                <w:lang w:val="en-US"/>
              </w:rPr>
              <w:t>a.</w:t>
            </w:r>
            <w:r>
              <w:rPr>
                <w:spacing w:val="-3"/>
                <w:szCs w:val="21"/>
              </w:rPr>
              <w:t>未进行资格预审的，</w:t>
            </w:r>
            <w:r>
              <w:rPr>
                <w:rFonts w:hint="eastAsia"/>
                <w:spacing w:val="-3"/>
                <w:szCs w:val="21"/>
                <w:lang w:eastAsia="zh-CN"/>
              </w:rPr>
              <w:t>交易响应单位</w:t>
            </w:r>
            <w:r>
              <w:rPr>
                <w:spacing w:val="-3"/>
                <w:szCs w:val="21"/>
              </w:rPr>
              <w:t>按照</w:t>
            </w:r>
            <w:r>
              <w:rPr>
                <w:rFonts w:hint="eastAsia"/>
                <w:spacing w:val="-3"/>
                <w:szCs w:val="21"/>
                <w:lang w:eastAsia="zh-CN"/>
              </w:rPr>
              <w:t>交易文件</w:t>
            </w:r>
            <w:r>
              <w:rPr>
                <w:spacing w:val="-3"/>
                <w:szCs w:val="21"/>
              </w:rPr>
              <w:t>提供的格式签订了联合体协议书，明确各方承担连带责任，并明确了联合体牵头人；</w:t>
            </w:r>
          </w:p>
          <w:p>
            <w:pPr>
              <w:pStyle w:val="33"/>
              <w:tabs>
                <w:tab w:val="left" w:pos="1128"/>
              </w:tabs>
              <w:spacing w:line="380" w:lineRule="exact"/>
              <w:jc w:val="left"/>
              <w:rPr>
                <w:spacing w:val="-3"/>
                <w:szCs w:val="21"/>
              </w:rPr>
            </w:pPr>
            <w:r>
              <w:rPr>
                <w:rFonts w:hint="eastAsia"/>
                <w:spacing w:val="-3"/>
                <w:szCs w:val="21"/>
                <w:lang w:val="en-US"/>
              </w:rPr>
              <w:t>b.</w:t>
            </w:r>
            <w:r>
              <w:rPr>
                <w:spacing w:val="-3"/>
                <w:szCs w:val="21"/>
              </w:rPr>
              <w:t>已进行资格预审的，</w:t>
            </w:r>
            <w:r>
              <w:rPr>
                <w:rFonts w:hint="eastAsia"/>
                <w:spacing w:val="-3"/>
                <w:szCs w:val="21"/>
                <w:lang w:eastAsia="zh-CN"/>
              </w:rPr>
              <w:t>交易响应单位</w:t>
            </w:r>
            <w:r>
              <w:rPr>
                <w:spacing w:val="-3"/>
                <w:szCs w:val="21"/>
              </w:rPr>
              <w:t>提供了资格预审申请文件中所附的联合体协议书复印件，且通过资格预审后的联合体无成员增减或更换的情况。</w:t>
            </w:r>
          </w:p>
          <w:p>
            <w:pPr>
              <w:pStyle w:val="33"/>
              <w:tabs>
                <w:tab w:val="left" w:pos="1128"/>
              </w:tabs>
              <w:spacing w:line="380" w:lineRule="exact"/>
              <w:jc w:val="left"/>
              <w:rPr>
                <w:spacing w:val="-3"/>
                <w:szCs w:val="21"/>
              </w:rPr>
            </w:pPr>
            <w:r>
              <w:rPr>
                <w:rFonts w:hint="eastAsia"/>
                <w:spacing w:val="-3"/>
                <w:szCs w:val="21"/>
              </w:rPr>
              <w:t>（</w:t>
            </w:r>
            <w:r>
              <w:rPr>
                <w:rFonts w:hint="eastAsia"/>
                <w:spacing w:val="-3"/>
                <w:szCs w:val="21"/>
                <w:lang w:val="en-US"/>
              </w:rPr>
              <w:t>8</w:t>
            </w:r>
            <w:r>
              <w:rPr>
                <w:rFonts w:hint="eastAsia"/>
                <w:spacing w:val="-3"/>
                <w:szCs w:val="21"/>
              </w:rPr>
              <w:t>）</w:t>
            </w:r>
            <w:r>
              <w:rPr>
                <w:rFonts w:hint="eastAsia"/>
                <w:spacing w:val="-3"/>
                <w:szCs w:val="21"/>
                <w:lang w:eastAsia="zh-CN"/>
              </w:rPr>
              <w:t>交易响应单位</w:t>
            </w:r>
            <w:r>
              <w:rPr>
                <w:spacing w:val="-3"/>
                <w:szCs w:val="21"/>
              </w:rPr>
              <w:t>如有分包计划，符合</w:t>
            </w:r>
            <w:r>
              <w:rPr>
                <w:rFonts w:hint="eastAsia"/>
                <w:spacing w:val="-3"/>
                <w:szCs w:val="21"/>
                <w:lang w:eastAsia="zh-CN"/>
              </w:rPr>
              <w:t>交易文件</w:t>
            </w:r>
            <w:r>
              <w:rPr>
                <w:spacing w:val="-3"/>
                <w:szCs w:val="21"/>
              </w:rPr>
              <w:t>第二章“</w:t>
            </w:r>
            <w:r>
              <w:rPr>
                <w:rFonts w:hint="eastAsia"/>
                <w:spacing w:val="-3"/>
                <w:szCs w:val="21"/>
                <w:lang w:eastAsia="zh-CN"/>
              </w:rPr>
              <w:t>交易须知</w:t>
            </w:r>
            <w:r>
              <w:rPr>
                <w:spacing w:val="-3"/>
                <w:szCs w:val="21"/>
              </w:rPr>
              <w:t>” 第 1.11 款规定，且按</w:t>
            </w:r>
            <w:r>
              <w:rPr>
                <w:rFonts w:hint="eastAsia"/>
                <w:spacing w:val="-3"/>
                <w:szCs w:val="21"/>
                <w:lang w:eastAsia="zh-CN"/>
              </w:rPr>
              <w:t>交易文件</w:t>
            </w:r>
            <w:r>
              <w:rPr>
                <w:spacing w:val="-3"/>
                <w:szCs w:val="21"/>
              </w:rPr>
              <w:t>第九章“</w:t>
            </w:r>
            <w:r>
              <w:rPr>
                <w:rFonts w:hint="eastAsia"/>
                <w:spacing w:val="-3"/>
                <w:szCs w:val="21"/>
                <w:lang w:eastAsia="zh-CN"/>
              </w:rPr>
              <w:t>交易响应文件</w:t>
            </w:r>
            <w:r>
              <w:rPr>
                <w:spacing w:val="-3"/>
                <w:szCs w:val="21"/>
              </w:rPr>
              <w:t>格式”的要求填写了“拟分包项目情况表”。</w:t>
            </w:r>
          </w:p>
          <w:p>
            <w:pPr>
              <w:pStyle w:val="33"/>
              <w:tabs>
                <w:tab w:val="left" w:pos="1128"/>
              </w:tabs>
              <w:spacing w:line="380" w:lineRule="exact"/>
              <w:jc w:val="left"/>
              <w:rPr>
                <w:spacing w:val="-3"/>
                <w:szCs w:val="21"/>
              </w:rPr>
            </w:pPr>
            <w:r>
              <w:rPr>
                <w:rFonts w:hint="eastAsia"/>
                <w:spacing w:val="-3"/>
                <w:szCs w:val="21"/>
              </w:rPr>
              <w:t>（</w:t>
            </w:r>
            <w:r>
              <w:rPr>
                <w:rFonts w:hint="eastAsia"/>
                <w:spacing w:val="-3"/>
                <w:szCs w:val="21"/>
                <w:lang w:val="en-US"/>
              </w:rPr>
              <w:t>9</w:t>
            </w:r>
            <w:r>
              <w:rPr>
                <w:rFonts w:hint="eastAsia"/>
                <w:spacing w:val="-3"/>
                <w:szCs w:val="21"/>
              </w:rPr>
              <w:t>）</w:t>
            </w:r>
            <w:r>
              <w:rPr>
                <w:spacing w:val="-3"/>
                <w:szCs w:val="21"/>
              </w:rPr>
              <w:t>同一</w:t>
            </w:r>
            <w:r>
              <w:rPr>
                <w:rFonts w:hint="eastAsia"/>
                <w:spacing w:val="-3"/>
                <w:szCs w:val="21"/>
                <w:lang w:eastAsia="zh-CN"/>
              </w:rPr>
              <w:t>交易响应单位</w:t>
            </w:r>
            <w:r>
              <w:rPr>
                <w:spacing w:val="-3"/>
                <w:szCs w:val="21"/>
              </w:rPr>
              <w:t>未提交两个以上不同的</w:t>
            </w:r>
            <w:r>
              <w:rPr>
                <w:rFonts w:hint="eastAsia"/>
                <w:spacing w:val="-3"/>
                <w:szCs w:val="21"/>
                <w:lang w:eastAsia="zh-CN"/>
              </w:rPr>
              <w:t>交易响应文件</w:t>
            </w:r>
            <w:r>
              <w:rPr>
                <w:spacing w:val="-3"/>
                <w:szCs w:val="21"/>
              </w:rPr>
              <w:t>，但</w:t>
            </w:r>
            <w:r>
              <w:rPr>
                <w:rFonts w:hint="eastAsia"/>
                <w:spacing w:val="-3"/>
                <w:szCs w:val="21"/>
                <w:lang w:eastAsia="zh-CN"/>
              </w:rPr>
              <w:t>交易文件</w:t>
            </w:r>
            <w:r>
              <w:rPr>
                <w:spacing w:val="-3"/>
                <w:szCs w:val="21"/>
              </w:rPr>
              <w:t>要求提交备选投标的除外。</w:t>
            </w:r>
          </w:p>
          <w:p>
            <w:pPr>
              <w:pStyle w:val="33"/>
              <w:tabs>
                <w:tab w:val="left" w:pos="1128"/>
              </w:tabs>
              <w:spacing w:line="380" w:lineRule="exact"/>
              <w:jc w:val="left"/>
              <w:rPr>
                <w:spacing w:val="-3"/>
                <w:szCs w:val="21"/>
              </w:rPr>
            </w:pPr>
            <w:r>
              <w:rPr>
                <w:rFonts w:hint="eastAsia"/>
                <w:spacing w:val="-3"/>
                <w:szCs w:val="21"/>
              </w:rPr>
              <w:t>（</w:t>
            </w:r>
            <w:r>
              <w:rPr>
                <w:rFonts w:hint="eastAsia"/>
                <w:spacing w:val="-3"/>
                <w:szCs w:val="21"/>
                <w:lang w:val="en-US"/>
              </w:rPr>
              <w:t>10</w:t>
            </w:r>
            <w:r>
              <w:rPr>
                <w:rFonts w:hint="eastAsia"/>
                <w:spacing w:val="-3"/>
                <w:szCs w:val="21"/>
              </w:rPr>
              <w:t>）</w:t>
            </w:r>
            <w:r>
              <w:rPr>
                <w:rFonts w:hint="eastAsia"/>
                <w:spacing w:val="-3"/>
                <w:szCs w:val="21"/>
                <w:lang w:eastAsia="zh-CN"/>
              </w:rPr>
              <w:t>交易响应文件</w:t>
            </w:r>
            <w:r>
              <w:rPr>
                <w:spacing w:val="-3"/>
                <w:szCs w:val="21"/>
              </w:rPr>
              <w:t>中未出现有关投标报价的内容。</w:t>
            </w:r>
          </w:p>
          <w:p>
            <w:pPr>
              <w:pStyle w:val="33"/>
              <w:tabs>
                <w:tab w:val="left" w:pos="1128"/>
              </w:tabs>
              <w:spacing w:line="380" w:lineRule="exact"/>
              <w:jc w:val="left"/>
              <w:rPr>
                <w:spacing w:val="-3"/>
                <w:szCs w:val="21"/>
              </w:rPr>
            </w:pPr>
            <w:r>
              <w:rPr>
                <w:rFonts w:hint="eastAsia"/>
                <w:spacing w:val="-3"/>
                <w:szCs w:val="21"/>
              </w:rPr>
              <w:t>（</w:t>
            </w:r>
            <w:r>
              <w:rPr>
                <w:rFonts w:hint="eastAsia"/>
                <w:spacing w:val="-3"/>
                <w:szCs w:val="21"/>
                <w:lang w:val="en-US"/>
              </w:rPr>
              <w:t>11</w:t>
            </w:r>
            <w:r>
              <w:rPr>
                <w:rFonts w:hint="eastAsia"/>
                <w:spacing w:val="-3"/>
                <w:szCs w:val="21"/>
              </w:rPr>
              <w:t>）</w:t>
            </w:r>
            <w:r>
              <w:rPr>
                <w:rFonts w:hint="eastAsia"/>
                <w:spacing w:val="-3"/>
                <w:szCs w:val="21"/>
                <w:lang w:eastAsia="zh-CN"/>
              </w:rPr>
              <w:t>交易响应文件</w:t>
            </w:r>
            <w:r>
              <w:rPr>
                <w:spacing w:val="-3"/>
                <w:szCs w:val="21"/>
              </w:rPr>
              <w:t>载明的招标项目完成期限未超过</w:t>
            </w:r>
            <w:r>
              <w:rPr>
                <w:rFonts w:hint="eastAsia"/>
                <w:spacing w:val="-3"/>
                <w:szCs w:val="21"/>
                <w:lang w:eastAsia="zh-CN"/>
              </w:rPr>
              <w:t>交易文件</w:t>
            </w:r>
            <w:r>
              <w:rPr>
                <w:spacing w:val="-3"/>
                <w:szCs w:val="21"/>
              </w:rPr>
              <w:t>规定的时限。</w:t>
            </w:r>
          </w:p>
          <w:p>
            <w:pPr>
              <w:pStyle w:val="33"/>
              <w:tabs>
                <w:tab w:val="left" w:pos="1128"/>
              </w:tabs>
              <w:spacing w:line="380" w:lineRule="exact"/>
              <w:jc w:val="left"/>
              <w:rPr>
                <w:spacing w:val="-3"/>
                <w:szCs w:val="21"/>
              </w:rPr>
            </w:pPr>
            <w:r>
              <w:rPr>
                <w:rFonts w:hint="eastAsia"/>
                <w:spacing w:val="-3"/>
                <w:szCs w:val="21"/>
              </w:rPr>
              <w:t>（</w:t>
            </w:r>
            <w:r>
              <w:rPr>
                <w:rFonts w:hint="eastAsia"/>
                <w:spacing w:val="-3"/>
                <w:szCs w:val="21"/>
                <w:lang w:val="en-US"/>
              </w:rPr>
              <w:t>12</w:t>
            </w:r>
            <w:r>
              <w:rPr>
                <w:rFonts w:hint="eastAsia"/>
                <w:spacing w:val="-3"/>
                <w:szCs w:val="21"/>
              </w:rPr>
              <w:t>）</w:t>
            </w:r>
            <w:r>
              <w:rPr>
                <w:rFonts w:hint="eastAsia"/>
                <w:spacing w:val="-3"/>
                <w:szCs w:val="21"/>
                <w:lang w:eastAsia="zh-CN"/>
              </w:rPr>
              <w:t>交易响应文件</w:t>
            </w:r>
            <w:r>
              <w:rPr>
                <w:spacing w:val="-3"/>
                <w:szCs w:val="21"/>
              </w:rPr>
              <w:t>对</w:t>
            </w:r>
            <w:r>
              <w:rPr>
                <w:rFonts w:hint="eastAsia"/>
                <w:spacing w:val="-3"/>
                <w:szCs w:val="21"/>
                <w:lang w:eastAsia="zh-CN"/>
              </w:rPr>
              <w:t>交易文件</w:t>
            </w:r>
            <w:r>
              <w:rPr>
                <w:spacing w:val="-3"/>
                <w:szCs w:val="21"/>
              </w:rPr>
              <w:t>的实质性要求和条件作出响应。</w:t>
            </w:r>
          </w:p>
          <w:p>
            <w:pPr>
              <w:pStyle w:val="33"/>
              <w:tabs>
                <w:tab w:val="left" w:pos="1128"/>
              </w:tabs>
              <w:spacing w:line="380" w:lineRule="exact"/>
              <w:jc w:val="left"/>
              <w:rPr>
                <w:spacing w:val="-3"/>
                <w:szCs w:val="21"/>
              </w:rPr>
            </w:pPr>
            <w:r>
              <w:rPr>
                <w:rFonts w:hint="eastAsia"/>
                <w:spacing w:val="-3"/>
                <w:szCs w:val="21"/>
              </w:rPr>
              <w:t>（</w:t>
            </w:r>
            <w:r>
              <w:rPr>
                <w:rFonts w:hint="eastAsia"/>
                <w:spacing w:val="-3"/>
                <w:szCs w:val="21"/>
                <w:lang w:val="en-US"/>
              </w:rPr>
              <w:t>13</w:t>
            </w:r>
            <w:r>
              <w:rPr>
                <w:rFonts w:hint="eastAsia"/>
                <w:spacing w:val="-3"/>
                <w:szCs w:val="21"/>
              </w:rPr>
              <w:t>）</w:t>
            </w:r>
            <w:r>
              <w:rPr>
                <w:spacing w:val="-3"/>
                <w:szCs w:val="21"/>
              </w:rPr>
              <w:t>权利义务符合</w:t>
            </w:r>
            <w:r>
              <w:rPr>
                <w:rFonts w:hint="eastAsia"/>
                <w:spacing w:val="-3"/>
                <w:szCs w:val="21"/>
                <w:lang w:eastAsia="zh-CN"/>
              </w:rPr>
              <w:t>交易文件</w:t>
            </w:r>
            <w:r>
              <w:rPr>
                <w:spacing w:val="-3"/>
                <w:szCs w:val="21"/>
              </w:rPr>
              <w:t>规定：</w:t>
            </w:r>
          </w:p>
          <w:p>
            <w:pPr>
              <w:pStyle w:val="33"/>
              <w:tabs>
                <w:tab w:val="left" w:pos="1128"/>
              </w:tabs>
              <w:spacing w:line="380" w:lineRule="exact"/>
              <w:jc w:val="left"/>
              <w:rPr>
                <w:spacing w:val="-3"/>
                <w:szCs w:val="21"/>
              </w:rPr>
            </w:pPr>
            <w:r>
              <w:rPr>
                <w:rFonts w:hint="eastAsia"/>
                <w:spacing w:val="-3"/>
                <w:szCs w:val="21"/>
                <w:lang w:val="en-US"/>
              </w:rPr>
              <w:t>a.</w:t>
            </w:r>
            <w:r>
              <w:rPr>
                <w:rFonts w:hint="eastAsia"/>
                <w:spacing w:val="-3"/>
                <w:szCs w:val="21"/>
                <w:lang w:eastAsia="zh-CN"/>
              </w:rPr>
              <w:t>交易响应单位</w:t>
            </w:r>
            <w:r>
              <w:rPr>
                <w:spacing w:val="-3"/>
                <w:szCs w:val="21"/>
              </w:rPr>
              <w:t>应接受</w:t>
            </w:r>
            <w:r>
              <w:rPr>
                <w:rFonts w:hint="eastAsia"/>
                <w:spacing w:val="-3"/>
                <w:szCs w:val="21"/>
                <w:lang w:eastAsia="zh-CN"/>
              </w:rPr>
              <w:t>交易文件</w:t>
            </w:r>
            <w:r>
              <w:rPr>
                <w:spacing w:val="-3"/>
                <w:szCs w:val="21"/>
              </w:rPr>
              <w:t>规定的风险划分原则，未提出新的风险划分办法；</w:t>
            </w:r>
          </w:p>
          <w:p>
            <w:pPr>
              <w:pStyle w:val="33"/>
              <w:tabs>
                <w:tab w:val="left" w:pos="1128"/>
              </w:tabs>
              <w:spacing w:line="380" w:lineRule="exact"/>
              <w:jc w:val="left"/>
              <w:rPr>
                <w:spacing w:val="-3"/>
                <w:szCs w:val="21"/>
              </w:rPr>
            </w:pPr>
            <w:r>
              <w:rPr>
                <w:rFonts w:hint="eastAsia"/>
                <w:spacing w:val="-3"/>
                <w:szCs w:val="21"/>
                <w:lang w:val="en-US"/>
              </w:rPr>
              <w:t>b.</w:t>
            </w:r>
            <w:r>
              <w:rPr>
                <w:rFonts w:hint="eastAsia"/>
                <w:spacing w:val="-3"/>
                <w:szCs w:val="21"/>
                <w:lang w:eastAsia="zh-CN"/>
              </w:rPr>
              <w:t>交易响应单位</w:t>
            </w:r>
            <w:r>
              <w:rPr>
                <w:spacing w:val="-3"/>
                <w:szCs w:val="21"/>
              </w:rPr>
              <w:t>未增加发包人的责任范围，或减少</w:t>
            </w:r>
            <w:r>
              <w:rPr>
                <w:rFonts w:hint="eastAsia"/>
                <w:spacing w:val="-3"/>
                <w:szCs w:val="21"/>
                <w:lang w:eastAsia="zh-CN"/>
              </w:rPr>
              <w:t>交易响应单位</w:t>
            </w:r>
            <w:r>
              <w:rPr>
                <w:spacing w:val="-3"/>
                <w:szCs w:val="21"/>
              </w:rPr>
              <w:t>义务；</w:t>
            </w:r>
          </w:p>
          <w:p>
            <w:pPr>
              <w:pStyle w:val="33"/>
              <w:tabs>
                <w:tab w:val="left" w:pos="1128"/>
              </w:tabs>
              <w:spacing w:line="380" w:lineRule="exact"/>
              <w:jc w:val="left"/>
              <w:rPr>
                <w:spacing w:val="-3"/>
                <w:szCs w:val="21"/>
              </w:rPr>
            </w:pPr>
            <w:r>
              <w:rPr>
                <w:rFonts w:hint="eastAsia"/>
                <w:spacing w:val="-3"/>
                <w:szCs w:val="21"/>
                <w:lang w:val="en-US"/>
              </w:rPr>
              <w:t>c.</w:t>
            </w:r>
            <w:r>
              <w:rPr>
                <w:rFonts w:hint="eastAsia"/>
                <w:spacing w:val="-3"/>
                <w:szCs w:val="21"/>
                <w:lang w:eastAsia="zh-CN"/>
              </w:rPr>
              <w:t>交易响应单位</w:t>
            </w:r>
            <w:r>
              <w:rPr>
                <w:spacing w:val="-3"/>
                <w:szCs w:val="21"/>
              </w:rPr>
              <w:t>未提出不同的工程验收、计量、支付办法；</w:t>
            </w:r>
          </w:p>
          <w:p>
            <w:pPr>
              <w:pStyle w:val="33"/>
              <w:tabs>
                <w:tab w:val="left" w:pos="1128"/>
              </w:tabs>
              <w:spacing w:line="380" w:lineRule="exact"/>
              <w:jc w:val="left"/>
              <w:rPr>
                <w:spacing w:val="-3"/>
                <w:szCs w:val="21"/>
              </w:rPr>
            </w:pPr>
            <w:r>
              <w:rPr>
                <w:rFonts w:hint="eastAsia"/>
                <w:spacing w:val="-3"/>
                <w:szCs w:val="21"/>
                <w:lang w:val="en-US"/>
              </w:rPr>
              <w:t>d.</w:t>
            </w:r>
            <w:r>
              <w:rPr>
                <w:rFonts w:hint="eastAsia"/>
                <w:spacing w:val="-3"/>
                <w:szCs w:val="21"/>
                <w:lang w:eastAsia="zh-CN"/>
              </w:rPr>
              <w:t>交易响应单位</w:t>
            </w:r>
            <w:r>
              <w:rPr>
                <w:spacing w:val="-3"/>
                <w:szCs w:val="21"/>
              </w:rPr>
              <w:t>对合同纠纷、事故处理办法未提出异议；</w:t>
            </w:r>
          </w:p>
          <w:p>
            <w:pPr>
              <w:pStyle w:val="33"/>
              <w:tabs>
                <w:tab w:val="left" w:pos="1128"/>
              </w:tabs>
              <w:spacing w:line="380" w:lineRule="exact"/>
              <w:jc w:val="left"/>
              <w:rPr>
                <w:spacing w:val="-3"/>
                <w:szCs w:val="21"/>
              </w:rPr>
            </w:pPr>
            <w:r>
              <w:rPr>
                <w:rFonts w:hint="eastAsia"/>
                <w:spacing w:val="-3"/>
                <w:szCs w:val="21"/>
                <w:lang w:val="en-US"/>
              </w:rPr>
              <w:t>e.</w:t>
            </w:r>
            <w:r>
              <w:rPr>
                <w:rFonts w:hint="eastAsia"/>
                <w:spacing w:val="-3"/>
                <w:szCs w:val="21"/>
                <w:lang w:eastAsia="zh-CN"/>
              </w:rPr>
              <w:t>交易响应单位</w:t>
            </w:r>
            <w:r>
              <w:rPr>
                <w:spacing w:val="-3"/>
                <w:szCs w:val="21"/>
              </w:rPr>
              <w:t>在投标活动中无欺诈行为；</w:t>
            </w:r>
          </w:p>
          <w:p>
            <w:pPr>
              <w:pStyle w:val="33"/>
              <w:tabs>
                <w:tab w:val="left" w:pos="1128"/>
              </w:tabs>
              <w:spacing w:line="380" w:lineRule="exact"/>
              <w:jc w:val="left"/>
              <w:rPr>
                <w:spacing w:val="-3"/>
                <w:szCs w:val="21"/>
              </w:rPr>
            </w:pPr>
            <w:r>
              <w:rPr>
                <w:rFonts w:hint="eastAsia"/>
                <w:spacing w:val="-3"/>
                <w:szCs w:val="21"/>
                <w:lang w:val="en-US"/>
              </w:rPr>
              <w:t>f.</w:t>
            </w:r>
            <w:r>
              <w:rPr>
                <w:rFonts w:hint="eastAsia"/>
                <w:spacing w:val="-3"/>
                <w:szCs w:val="21"/>
                <w:lang w:eastAsia="zh-CN"/>
              </w:rPr>
              <w:t>交易响应单位</w:t>
            </w:r>
            <w:r>
              <w:rPr>
                <w:spacing w:val="-3"/>
                <w:szCs w:val="21"/>
              </w:rPr>
              <w:t>未对合同条款有重要保留。</w:t>
            </w:r>
          </w:p>
          <w:p>
            <w:pPr>
              <w:pStyle w:val="33"/>
              <w:tabs>
                <w:tab w:val="left" w:pos="1128"/>
              </w:tabs>
              <w:spacing w:line="380" w:lineRule="exact"/>
              <w:jc w:val="left"/>
              <w:rPr>
                <w:b/>
                <w:sz w:val="20"/>
              </w:rPr>
            </w:pPr>
            <w:r>
              <w:rPr>
                <w:spacing w:val="-3"/>
                <w:szCs w:val="21"/>
              </w:rPr>
              <w:t>（14）</w:t>
            </w:r>
            <w:r>
              <w:rPr>
                <w:rFonts w:hint="eastAsia"/>
                <w:spacing w:val="-3"/>
                <w:szCs w:val="21"/>
                <w:lang w:eastAsia="zh-CN"/>
              </w:rPr>
              <w:t>交易响应文件</w:t>
            </w:r>
            <w:r>
              <w:rPr>
                <w:spacing w:val="-3"/>
                <w:szCs w:val="21"/>
              </w:rPr>
              <w:t>正、副本份数符合</w:t>
            </w:r>
            <w:r>
              <w:rPr>
                <w:rFonts w:hint="eastAsia"/>
                <w:spacing w:val="-3"/>
                <w:szCs w:val="21"/>
                <w:lang w:eastAsia="zh-CN"/>
              </w:rPr>
              <w:t>交易文件</w:t>
            </w:r>
            <w:r>
              <w:rPr>
                <w:spacing w:val="-3"/>
                <w:szCs w:val="21"/>
              </w:rPr>
              <w:t>第二章“</w:t>
            </w:r>
            <w:r>
              <w:rPr>
                <w:rFonts w:hint="eastAsia"/>
                <w:spacing w:val="-3"/>
                <w:szCs w:val="21"/>
                <w:lang w:eastAsia="zh-CN"/>
              </w:rPr>
              <w:t>交易须知</w:t>
            </w:r>
            <w:r>
              <w:rPr>
                <w:spacing w:val="-3"/>
                <w:szCs w:val="21"/>
              </w:rPr>
              <w:t>” 第 3.7.4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exact"/>
          <w:jc w:val="center"/>
        </w:trPr>
        <w:tc>
          <w:tcPr>
            <w:tcW w:w="1817" w:type="dxa"/>
            <w:gridSpan w:val="3"/>
          </w:tcPr>
          <w:p>
            <w:pPr>
              <w:pStyle w:val="33"/>
              <w:spacing w:before="109" w:line="440" w:lineRule="exact"/>
              <w:jc w:val="center"/>
              <w:rPr>
                <w:b/>
                <w:szCs w:val="21"/>
              </w:rPr>
            </w:pPr>
            <w:r>
              <w:rPr>
                <w:b/>
                <w:szCs w:val="21"/>
              </w:rPr>
              <w:t>条款号</w:t>
            </w:r>
          </w:p>
        </w:tc>
        <w:tc>
          <w:tcPr>
            <w:tcW w:w="7160" w:type="dxa"/>
          </w:tcPr>
          <w:p>
            <w:pPr>
              <w:pStyle w:val="33"/>
              <w:spacing w:before="109" w:line="440" w:lineRule="exact"/>
              <w:jc w:val="center"/>
              <w:rPr>
                <w:b/>
                <w:szCs w:val="21"/>
              </w:rPr>
            </w:pPr>
            <w:r>
              <w:rPr>
                <w:b/>
                <w:szCs w:val="21"/>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9" w:hRule="exact"/>
          <w:jc w:val="center"/>
        </w:trPr>
        <w:tc>
          <w:tcPr>
            <w:tcW w:w="900" w:type="dxa"/>
          </w:tcPr>
          <w:p>
            <w:pPr>
              <w:pStyle w:val="33"/>
              <w:spacing w:line="440" w:lineRule="exact"/>
              <w:rPr>
                <w:szCs w:val="21"/>
              </w:rPr>
            </w:pPr>
          </w:p>
          <w:p>
            <w:pPr>
              <w:pStyle w:val="33"/>
              <w:spacing w:line="440" w:lineRule="exact"/>
              <w:rPr>
                <w:szCs w:val="21"/>
              </w:rPr>
            </w:pPr>
          </w:p>
          <w:p>
            <w:pPr>
              <w:pStyle w:val="33"/>
              <w:spacing w:line="440" w:lineRule="exact"/>
              <w:rPr>
                <w:szCs w:val="21"/>
              </w:rPr>
            </w:pPr>
          </w:p>
          <w:p>
            <w:pPr>
              <w:pStyle w:val="33"/>
              <w:spacing w:line="440" w:lineRule="exact"/>
              <w:rPr>
                <w:szCs w:val="21"/>
              </w:rPr>
            </w:pPr>
          </w:p>
          <w:p>
            <w:pPr>
              <w:pStyle w:val="33"/>
              <w:spacing w:line="440" w:lineRule="exact"/>
              <w:rPr>
                <w:szCs w:val="21"/>
              </w:rPr>
            </w:pPr>
          </w:p>
          <w:p>
            <w:pPr>
              <w:pStyle w:val="33"/>
              <w:spacing w:line="440" w:lineRule="exact"/>
              <w:rPr>
                <w:szCs w:val="21"/>
              </w:rPr>
            </w:pPr>
          </w:p>
          <w:p>
            <w:pPr>
              <w:pStyle w:val="33"/>
              <w:spacing w:line="440" w:lineRule="exact"/>
              <w:rPr>
                <w:szCs w:val="21"/>
              </w:rPr>
            </w:pPr>
          </w:p>
          <w:p>
            <w:pPr>
              <w:pStyle w:val="33"/>
              <w:spacing w:line="440" w:lineRule="exact"/>
              <w:rPr>
                <w:szCs w:val="21"/>
              </w:rPr>
            </w:pPr>
          </w:p>
          <w:p>
            <w:pPr>
              <w:pStyle w:val="33"/>
              <w:spacing w:before="1" w:line="440" w:lineRule="exact"/>
              <w:rPr>
                <w:rFonts w:ascii="Times New Roman"/>
                <w:szCs w:val="21"/>
              </w:rPr>
            </w:pPr>
            <w:r>
              <w:rPr>
                <w:rFonts w:ascii="Times New Roman"/>
                <w:szCs w:val="21"/>
              </w:rPr>
              <w:t>2.1.1</w:t>
            </w:r>
          </w:p>
          <w:p>
            <w:pPr>
              <w:pStyle w:val="33"/>
              <w:spacing w:before="159" w:line="440" w:lineRule="exact"/>
              <w:rPr>
                <w:rFonts w:ascii="Times New Roman"/>
                <w:szCs w:val="21"/>
              </w:rPr>
            </w:pPr>
            <w:r>
              <w:rPr>
                <w:rFonts w:ascii="Times New Roman"/>
                <w:szCs w:val="21"/>
              </w:rPr>
              <w:t>2.1.3</w:t>
            </w:r>
          </w:p>
        </w:tc>
        <w:tc>
          <w:tcPr>
            <w:tcW w:w="917" w:type="dxa"/>
            <w:gridSpan w:val="2"/>
          </w:tcPr>
          <w:p>
            <w:pPr>
              <w:pStyle w:val="33"/>
              <w:spacing w:line="440" w:lineRule="exact"/>
              <w:rPr>
                <w:szCs w:val="21"/>
              </w:rPr>
            </w:pPr>
          </w:p>
          <w:p>
            <w:pPr>
              <w:pStyle w:val="33"/>
              <w:spacing w:line="440" w:lineRule="exact"/>
              <w:rPr>
                <w:szCs w:val="21"/>
              </w:rPr>
            </w:pPr>
          </w:p>
          <w:p>
            <w:pPr>
              <w:pStyle w:val="33"/>
              <w:spacing w:line="440" w:lineRule="exact"/>
              <w:rPr>
                <w:szCs w:val="21"/>
              </w:rPr>
            </w:pPr>
          </w:p>
          <w:p>
            <w:pPr>
              <w:pStyle w:val="33"/>
              <w:spacing w:line="440" w:lineRule="exact"/>
              <w:rPr>
                <w:szCs w:val="21"/>
              </w:rPr>
            </w:pPr>
          </w:p>
          <w:p>
            <w:pPr>
              <w:pStyle w:val="33"/>
              <w:spacing w:line="440" w:lineRule="exact"/>
              <w:rPr>
                <w:szCs w:val="21"/>
              </w:rPr>
            </w:pPr>
          </w:p>
          <w:p>
            <w:pPr>
              <w:pStyle w:val="33"/>
              <w:spacing w:line="440" w:lineRule="exact"/>
              <w:rPr>
                <w:szCs w:val="21"/>
              </w:rPr>
            </w:pPr>
          </w:p>
          <w:p>
            <w:pPr>
              <w:pStyle w:val="33"/>
              <w:spacing w:line="440" w:lineRule="exact"/>
              <w:rPr>
                <w:szCs w:val="21"/>
              </w:rPr>
            </w:pPr>
          </w:p>
          <w:p>
            <w:pPr>
              <w:pStyle w:val="33"/>
              <w:spacing w:before="6" w:line="440" w:lineRule="exact"/>
              <w:rPr>
                <w:szCs w:val="21"/>
              </w:rPr>
            </w:pPr>
          </w:p>
          <w:p>
            <w:pPr>
              <w:pStyle w:val="33"/>
              <w:spacing w:before="1" w:line="440" w:lineRule="exact"/>
              <w:rPr>
                <w:szCs w:val="21"/>
              </w:rPr>
            </w:pPr>
            <w:r>
              <w:rPr>
                <w:szCs w:val="21"/>
              </w:rPr>
              <w:t>形式评审与响应性评审标准</w:t>
            </w:r>
          </w:p>
        </w:tc>
        <w:tc>
          <w:tcPr>
            <w:tcW w:w="7160" w:type="dxa"/>
          </w:tcPr>
          <w:p>
            <w:pPr>
              <w:pStyle w:val="33"/>
              <w:spacing w:before="173" w:line="360" w:lineRule="exact"/>
              <w:rPr>
                <w:b/>
                <w:szCs w:val="21"/>
              </w:rPr>
            </w:pPr>
            <w:r>
              <w:rPr>
                <w:b/>
                <w:szCs w:val="21"/>
              </w:rPr>
              <w:t>第二个信封（报价文件）评审标准：</w:t>
            </w:r>
          </w:p>
          <w:p>
            <w:pPr>
              <w:pStyle w:val="33"/>
              <w:spacing w:before="92" w:line="360" w:lineRule="exact"/>
              <w:rPr>
                <w:szCs w:val="21"/>
              </w:rPr>
            </w:pPr>
            <w:r>
              <w:rPr>
                <w:rFonts w:hint="eastAsia"/>
                <w:szCs w:val="21"/>
              </w:rPr>
              <w:t>（</w:t>
            </w:r>
            <w:r>
              <w:rPr>
                <w:rFonts w:hint="eastAsia"/>
                <w:szCs w:val="21"/>
                <w:lang w:val="en-US"/>
              </w:rPr>
              <w:t>1</w:t>
            </w:r>
            <w:r>
              <w:rPr>
                <w:rFonts w:hint="eastAsia"/>
                <w:szCs w:val="21"/>
              </w:rPr>
              <w:t>）</w:t>
            </w:r>
            <w:r>
              <w:rPr>
                <w:rFonts w:hint="eastAsia"/>
                <w:szCs w:val="21"/>
                <w:lang w:eastAsia="zh-CN"/>
              </w:rPr>
              <w:t>交易响应文件</w:t>
            </w:r>
            <w:r>
              <w:rPr>
                <w:rFonts w:hint="eastAsia"/>
                <w:szCs w:val="21"/>
              </w:rPr>
              <w:t>按照</w:t>
            </w:r>
            <w:r>
              <w:rPr>
                <w:rFonts w:hint="eastAsia"/>
                <w:szCs w:val="21"/>
                <w:lang w:eastAsia="zh-CN"/>
              </w:rPr>
              <w:t>交易文件</w:t>
            </w:r>
            <w:r>
              <w:rPr>
                <w:rFonts w:hint="eastAsia"/>
                <w:szCs w:val="21"/>
              </w:rPr>
              <w:t>规定的格式、内容填写，字迹清晰可辨：</w:t>
            </w:r>
          </w:p>
          <w:p>
            <w:pPr>
              <w:pStyle w:val="33"/>
              <w:tabs>
                <w:tab w:val="left" w:pos="677"/>
              </w:tabs>
              <w:spacing w:line="360" w:lineRule="exact"/>
              <w:jc w:val="left"/>
              <w:rPr>
                <w:szCs w:val="21"/>
              </w:rPr>
            </w:pPr>
            <w:r>
              <w:rPr>
                <w:rFonts w:hint="eastAsia"/>
                <w:spacing w:val="-15"/>
                <w:szCs w:val="21"/>
                <w:lang w:val="en-US"/>
              </w:rPr>
              <w:t>a.</w:t>
            </w:r>
            <w:r>
              <w:rPr>
                <w:rFonts w:hint="eastAsia"/>
                <w:spacing w:val="-15"/>
                <w:szCs w:val="21"/>
              </w:rPr>
              <w:t>投标函按</w:t>
            </w:r>
            <w:r>
              <w:rPr>
                <w:rFonts w:hint="eastAsia"/>
                <w:spacing w:val="-15"/>
                <w:szCs w:val="21"/>
                <w:lang w:eastAsia="zh-CN"/>
              </w:rPr>
              <w:t>交易文件</w:t>
            </w:r>
            <w:r>
              <w:rPr>
                <w:rFonts w:hint="eastAsia"/>
                <w:spacing w:val="-15"/>
                <w:szCs w:val="21"/>
              </w:rPr>
              <w:t>规定填报了项目名称、标段号、补遗书编号</w:t>
            </w:r>
            <w:r>
              <w:rPr>
                <w:rFonts w:hint="eastAsia"/>
                <w:szCs w:val="21"/>
              </w:rPr>
              <w:t>（如有</w:t>
            </w:r>
            <w:r>
              <w:rPr>
                <w:rFonts w:hint="eastAsia"/>
                <w:spacing w:val="-106"/>
                <w:szCs w:val="21"/>
              </w:rPr>
              <w:t>）</w:t>
            </w:r>
            <w:r>
              <w:rPr>
                <w:rFonts w:hint="eastAsia"/>
                <w:spacing w:val="-2"/>
                <w:szCs w:val="21"/>
              </w:rPr>
              <w:t>、投标价</w:t>
            </w:r>
            <w:r>
              <w:rPr>
                <w:rFonts w:hint="eastAsia"/>
                <w:spacing w:val="-3"/>
                <w:szCs w:val="21"/>
              </w:rPr>
              <w:t>（包括大写金额和小写金额</w:t>
            </w:r>
            <w:r>
              <w:rPr>
                <w:rFonts w:hint="eastAsia"/>
                <w:spacing w:val="-109"/>
                <w:szCs w:val="21"/>
              </w:rPr>
              <w:t>）</w:t>
            </w:r>
            <w:r>
              <w:rPr>
                <w:rFonts w:hint="eastAsia"/>
                <w:szCs w:val="21"/>
              </w:rPr>
              <w:t>；</w:t>
            </w:r>
          </w:p>
          <w:p>
            <w:pPr>
              <w:pStyle w:val="33"/>
              <w:tabs>
                <w:tab w:val="left" w:pos="689"/>
              </w:tabs>
              <w:spacing w:line="360" w:lineRule="exact"/>
              <w:jc w:val="left"/>
              <w:rPr>
                <w:szCs w:val="21"/>
              </w:rPr>
            </w:pPr>
            <w:r>
              <w:rPr>
                <w:rFonts w:hint="eastAsia"/>
                <w:spacing w:val="-6"/>
                <w:szCs w:val="21"/>
                <w:lang w:val="en-US"/>
              </w:rPr>
              <w:t>b.</w:t>
            </w:r>
            <w:r>
              <w:rPr>
                <w:rFonts w:hint="eastAsia"/>
                <w:spacing w:val="-6"/>
                <w:szCs w:val="21"/>
              </w:rPr>
              <w:t>已标价工程量清单说明文字与</w:t>
            </w:r>
            <w:r>
              <w:rPr>
                <w:rFonts w:hint="eastAsia"/>
                <w:spacing w:val="-6"/>
                <w:szCs w:val="21"/>
                <w:lang w:eastAsia="zh-CN"/>
              </w:rPr>
              <w:t>交易文件</w:t>
            </w:r>
            <w:r>
              <w:rPr>
                <w:rFonts w:hint="eastAsia"/>
                <w:spacing w:val="-6"/>
                <w:szCs w:val="21"/>
              </w:rPr>
              <w:t>规定一致，未进行实质性</w:t>
            </w:r>
            <w:r>
              <w:rPr>
                <w:rFonts w:hint="eastAsia"/>
                <w:spacing w:val="-4"/>
                <w:szCs w:val="21"/>
              </w:rPr>
              <w:t>修改和删减；</w:t>
            </w:r>
          </w:p>
          <w:p>
            <w:pPr>
              <w:pStyle w:val="33"/>
              <w:tabs>
                <w:tab w:val="left" w:pos="677"/>
              </w:tabs>
              <w:spacing w:line="360" w:lineRule="exact"/>
              <w:jc w:val="left"/>
              <w:rPr>
                <w:szCs w:val="21"/>
              </w:rPr>
            </w:pPr>
            <w:r>
              <w:rPr>
                <w:rFonts w:hint="eastAsia"/>
                <w:spacing w:val="-3"/>
                <w:szCs w:val="21"/>
                <w:lang w:val="en-US"/>
              </w:rPr>
              <w:t>c.</w:t>
            </w:r>
            <w:r>
              <w:rPr>
                <w:rFonts w:hint="eastAsia"/>
                <w:spacing w:val="-3"/>
                <w:szCs w:val="21"/>
                <w:lang w:eastAsia="zh-CN"/>
              </w:rPr>
              <w:t>交易响应文件</w:t>
            </w:r>
            <w:r>
              <w:rPr>
                <w:rFonts w:hint="eastAsia"/>
                <w:spacing w:val="-3"/>
                <w:szCs w:val="21"/>
              </w:rPr>
              <w:t>组成齐全完整，内容均按规定填写。</w:t>
            </w:r>
          </w:p>
          <w:p>
            <w:pPr>
              <w:pStyle w:val="33"/>
              <w:tabs>
                <w:tab w:val="left" w:pos="1056"/>
              </w:tabs>
              <w:spacing w:before="88" w:line="360" w:lineRule="exact"/>
              <w:jc w:val="left"/>
              <w:rPr>
                <w:szCs w:val="21"/>
              </w:rPr>
            </w:pPr>
            <w:r>
              <w:rPr>
                <w:rFonts w:hint="eastAsia"/>
                <w:spacing w:val="-4"/>
                <w:szCs w:val="21"/>
              </w:rPr>
              <w:t>（</w:t>
            </w:r>
            <w:r>
              <w:rPr>
                <w:rFonts w:hint="eastAsia"/>
                <w:spacing w:val="-4"/>
                <w:szCs w:val="21"/>
                <w:lang w:val="en-US"/>
              </w:rPr>
              <w:t>2</w:t>
            </w:r>
            <w:r>
              <w:rPr>
                <w:rFonts w:hint="eastAsia"/>
                <w:spacing w:val="-4"/>
                <w:szCs w:val="21"/>
              </w:rPr>
              <w:t>）</w:t>
            </w:r>
            <w:r>
              <w:rPr>
                <w:rFonts w:hint="eastAsia"/>
                <w:spacing w:val="-4"/>
                <w:szCs w:val="21"/>
                <w:lang w:eastAsia="zh-CN"/>
              </w:rPr>
              <w:t>交易响应文件</w:t>
            </w:r>
            <w:r>
              <w:rPr>
                <w:rFonts w:hint="eastAsia"/>
                <w:spacing w:val="-4"/>
                <w:szCs w:val="21"/>
              </w:rPr>
              <w:t>上法定代表人或其委托代理人的签字、</w:t>
            </w:r>
            <w:r>
              <w:rPr>
                <w:rFonts w:hint="eastAsia"/>
                <w:spacing w:val="-4"/>
                <w:szCs w:val="21"/>
                <w:lang w:eastAsia="zh-CN"/>
              </w:rPr>
              <w:t>交易响应单位</w:t>
            </w:r>
            <w:r>
              <w:rPr>
                <w:rFonts w:hint="eastAsia"/>
                <w:spacing w:val="-4"/>
                <w:szCs w:val="21"/>
              </w:rPr>
              <w:t>的单</w:t>
            </w:r>
            <w:r>
              <w:rPr>
                <w:rFonts w:hint="eastAsia"/>
                <w:spacing w:val="-3"/>
                <w:szCs w:val="21"/>
              </w:rPr>
              <w:t>位章盖章齐全，符合</w:t>
            </w:r>
            <w:r>
              <w:rPr>
                <w:rFonts w:hint="eastAsia"/>
                <w:spacing w:val="-3"/>
                <w:szCs w:val="21"/>
                <w:lang w:eastAsia="zh-CN"/>
              </w:rPr>
              <w:t>交易文件</w:t>
            </w:r>
            <w:r>
              <w:rPr>
                <w:rFonts w:hint="eastAsia"/>
                <w:spacing w:val="-3"/>
                <w:szCs w:val="21"/>
              </w:rPr>
              <w:t>规定。</w:t>
            </w:r>
          </w:p>
          <w:p>
            <w:pPr>
              <w:pStyle w:val="33"/>
              <w:tabs>
                <w:tab w:val="left" w:pos="1058"/>
              </w:tabs>
              <w:spacing w:line="360" w:lineRule="exact"/>
              <w:jc w:val="left"/>
              <w:rPr>
                <w:spacing w:val="-4"/>
                <w:szCs w:val="21"/>
              </w:rPr>
            </w:pPr>
            <w:r>
              <w:rPr>
                <w:rFonts w:hint="eastAsia"/>
                <w:spacing w:val="-3"/>
                <w:szCs w:val="21"/>
              </w:rPr>
              <w:t>（</w:t>
            </w:r>
            <w:r>
              <w:rPr>
                <w:rFonts w:hint="eastAsia"/>
                <w:spacing w:val="-4"/>
                <w:szCs w:val="21"/>
                <w:lang w:val="en-US"/>
              </w:rPr>
              <w:t>3</w:t>
            </w:r>
            <w:r>
              <w:rPr>
                <w:rFonts w:hint="eastAsia"/>
                <w:spacing w:val="-4"/>
                <w:szCs w:val="21"/>
              </w:rPr>
              <w:t>）投标报价或调价函中的报价未超过</w:t>
            </w:r>
            <w:r>
              <w:rPr>
                <w:rFonts w:hint="eastAsia"/>
                <w:spacing w:val="-4"/>
                <w:szCs w:val="21"/>
                <w:lang w:eastAsia="zh-CN"/>
              </w:rPr>
              <w:t>交易文件</w:t>
            </w:r>
            <w:r>
              <w:rPr>
                <w:rFonts w:hint="eastAsia"/>
                <w:spacing w:val="-4"/>
                <w:szCs w:val="21"/>
              </w:rPr>
              <w:t>设定的最高投标限价（如有）。</w:t>
            </w:r>
          </w:p>
          <w:p>
            <w:pPr>
              <w:pStyle w:val="33"/>
              <w:tabs>
                <w:tab w:val="left" w:pos="1058"/>
              </w:tabs>
              <w:spacing w:line="360" w:lineRule="exact"/>
              <w:jc w:val="left"/>
              <w:rPr>
                <w:szCs w:val="21"/>
              </w:rPr>
            </w:pPr>
            <w:r>
              <w:rPr>
                <w:rFonts w:hint="eastAsia"/>
                <w:spacing w:val="-3"/>
                <w:szCs w:val="21"/>
              </w:rPr>
              <w:t>（</w:t>
            </w:r>
            <w:r>
              <w:rPr>
                <w:rFonts w:hint="eastAsia"/>
                <w:spacing w:val="-3"/>
                <w:szCs w:val="21"/>
                <w:lang w:val="en-US"/>
              </w:rPr>
              <w:t>4</w:t>
            </w:r>
            <w:r>
              <w:rPr>
                <w:rFonts w:hint="eastAsia"/>
                <w:spacing w:val="-3"/>
                <w:szCs w:val="21"/>
              </w:rPr>
              <w:t>）投标报价或调价函中报价的大写金额能够确定具体数值。</w:t>
            </w:r>
          </w:p>
          <w:p>
            <w:pPr>
              <w:pStyle w:val="33"/>
              <w:tabs>
                <w:tab w:val="left" w:pos="1056"/>
              </w:tabs>
              <w:spacing w:before="91" w:line="360" w:lineRule="exact"/>
              <w:jc w:val="left"/>
              <w:rPr>
                <w:szCs w:val="21"/>
              </w:rPr>
            </w:pPr>
            <w:r>
              <w:rPr>
                <w:rFonts w:hint="eastAsia"/>
                <w:spacing w:val="-4"/>
                <w:szCs w:val="21"/>
              </w:rPr>
              <w:t>（</w:t>
            </w:r>
            <w:r>
              <w:rPr>
                <w:rFonts w:hint="eastAsia"/>
                <w:spacing w:val="-4"/>
                <w:szCs w:val="21"/>
                <w:lang w:val="en-US"/>
              </w:rPr>
              <w:t>5</w:t>
            </w:r>
            <w:r>
              <w:rPr>
                <w:rFonts w:hint="eastAsia"/>
                <w:spacing w:val="-4"/>
                <w:szCs w:val="21"/>
              </w:rPr>
              <w:t>）同一</w:t>
            </w:r>
            <w:r>
              <w:rPr>
                <w:rFonts w:hint="eastAsia"/>
                <w:spacing w:val="-4"/>
                <w:szCs w:val="21"/>
                <w:lang w:eastAsia="zh-CN"/>
              </w:rPr>
              <w:t>交易响应单位</w:t>
            </w:r>
            <w:r>
              <w:rPr>
                <w:rFonts w:hint="eastAsia"/>
                <w:spacing w:val="-4"/>
                <w:szCs w:val="21"/>
              </w:rPr>
              <w:t>未提交两个以上不同的投标报价，但</w:t>
            </w:r>
            <w:r>
              <w:rPr>
                <w:rFonts w:hint="eastAsia"/>
                <w:spacing w:val="-4"/>
                <w:szCs w:val="21"/>
                <w:lang w:eastAsia="zh-CN"/>
              </w:rPr>
              <w:t>交易文件</w:t>
            </w:r>
            <w:r>
              <w:rPr>
                <w:rFonts w:hint="eastAsia"/>
                <w:spacing w:val="-4"/>
                <w:szCs w:val="21"/>
              </w:rPr>
              <w:t>要</w:t>
            </w:r>
            <w:r>
              <w:rPr>
                <w:rFonts w:hint="eastAsia"/>
                <w:spacing w:val="-3"/>
                <w:szCs w:val="21"/>
              </w:rPr>
              <w:t>求提交备选投标的除外。</w:t>
            </w:r>
          </w:p>
          <w:p>
            <w:pPr>
              <w:pStyle w:val="33"/>
              <w:tabs>
                <w:tab w:val="left" w:pos="1058"/>
              </w:tabs>
              <w:spacing w:line="360" w:lineRule="exact"/>
              <w:jc w:val="left"/>
              <w:rPr>
                <w:szCs w:val="21"/>
              </w:rPr>
            </w:pPr>
            <w:r>
              <w:rPr>
                <w:rFonts w:hint="eastAsia"/>
                <w:spacing w:val="-5"/>
                <w:szCs w:val="21"/>
              </w:rPr>
              <w:t>（</w:t>
            </w:r>
            <w:r>
              <w:rPr>
                <w:rFonts w:hint="eastAsia"/>
                <w:spacing w:val="-5"/>
                <w:szCs w:val="21"/>
                <w:lang w:val="en-US"/>
              </w:rPr>
              <w:t>6</w:t>
            </w:r>
            <w:r>
              <w:rPr>
                <w:rFonts w:hint="eastAsia"/>
                <w:spacing w:val="-5"/>
                <w:szCs w:val="21"/>
              </w:rPr>
              <w:t>）</w:t>
            </w:r>
            <w:r>
              <w:rPr>
                <w:rFonts w:hint="eastAsia"/>
                <w:spacing w:val="-5"/>
                <w:szCs w:val="21"/>
                <w:lang w:eastAsia="zh-CN"/>
              </w:rPr>
              <w:t>交易响应单位</w:t>
            </w:r>
            <w:r>
              <w:rPr>
                <w:rFonts w:hint="eastAsia"/>
                <w:spacing w:val="-5"/>
                <w:szCs w:val="21"/>
              </w:rPr>
              <w:t>若提交调价函，调价函符合</w:t>
            </w:r>
            <w:r>
              <w:rPr>
                <w:rFonts w:hint="eastAsia"/>
                <w:spacing w:val="-5"/>
                <w:szCs w:val="21"/>
                <w:lang w:eastAsia="zh-CN"/>
              </w:rPr>
              <w:t>交易文件</w:t>
            </w:r>
            <w:r>
              <w:rPr>
                <w:rFonts w:hint="eastAsia"/>
                <w:spacing w:val="-5"/>
                <w:szCs w:val="21"/>
              </w:rPr>
              <w:t>第二章“</w:t>
            </w:r>
            <w:r>
              <w:rPr>
                <w:rFonts w:hint="eastAsia"/>
                <w:spacing w:val="-5"/>
                <w:szCs w:val="21"/>
                <w:lang w:eastAsia="zh-CN"/>
              </w:rPr>
              <w:t>交易须知</w:t>
            </w:r>
            <w:r>
              <w:rPr>
                <w:rFonts w:hint="eastAsia"/>
                <w:spacing w:val="-15"/>
                <w:szCs w:val="21"/>
              </w:rPr>
              <w:t xml:space="preserve">”第 </w:t>
            </w:r>
            <w:r>
              <w:rPr>
                <w:rFonts w:hint="eastAsia"/>
                <w:szCs w:val="21"/>
              </w:rPr>
              <w:t>3.2.6</w:t>
            </w:r>
            <w:r>
              <w:rPr>
                <w:rFonts w:hint="eastAsia"/>
                <w:spacing w:val="-3"/>
                <w:szCs w:val="21"/>
              </w:rPr>
              <w:t xml:space="preserve"> </w:t>
            </w:r>
            <w:r>
              <w:rPr>
                <w:rFonts w:hint="eastAsia"/>
                <w:spacing w:val="-2"/>
                <w:szCs w:val="21"/>
              </w:rPr>
              <w:t>项要求。</w:t>
            </w:r>
          </w:p>
          <w:p>
            <w:pPr>
              <w:pStyle w:val="33"/>
              <w:tabs>
                <w:tab w:val="left" w:pos="1056"/>
              </w:tabs>
              <w:spacing w:line="360" w:lineRule="exact"/>
              <w:rPr>
                <w:szCs w:val="21"/>
              </w:rPr>
            </w:pPr>
            <w:r>
              <w:rPr>
                <w:rFonts w:hint="eastAsia"/>
                <w:spacing w:val="-4"/>
                <w:szCs w:val="21"/>
              </w:rPr>
              <w:t>（</w:t>
            </w:r>
            <w:r>
              <w:rPr>
                <w:rFonts w:hint="eastAsia"/>
                <w:spacing w:val="-4"/>
                <w:szCs w:val="21"/>
                <w:lang w:val="en-US"/>
              </w:rPr>
              <w:t>7</w:t>
            </w:r>
            <w:r>
              <w:rPr>
                <w:rFonts w:hint="eastAsia"/>
                <w:spacing w:val="-4"/>
                <w:szCs w:val="21"/>
              </w:rPr>
              <w:t>）</w:t>
            </w:r>
            <w:r>
              <w:rPr>
                <w:rFonts w:hint="eastAsia"/>
                <w:spacing w:val="-4"/>
                <w:szCs w:val="21"/>
                <w:lang w:eastAsia="zh-CN"/>
              </w:rPr>
              <w:t>交易响应单位</w:t>
            </w:r>
            <w:r>
              <w:rPr>
                <w:rFonts w:hint="eastAsia"/>
                <w:spacing w:val="-4"/>
                <w:szCs w:val="21"/>
              </w:rPr>
              <w:t xml:space="preserve">若填写工程量固化清单，填写完毕的工程量固化清单未对工程量固化清单电子文件中的数据、格式和运算定义进行修改； </w:t>
            </w:r>
            <w:r>
              <w:rPr>
                <w:rFonts w:hint="eastAsia"/>
                <w:spacing w:val="-3"/>
                <w:szCs w:val="21"/>
              </w:rPr>
              <w:t>工程量固化清单中的投标报价和投标函大写金额报价一致。</w:t>
            </w:r>
          </w:p>
          <w:p>
            <w:pPr>
              <w:pStyle w:val="33"/>
              <w:tabs>
                <w:tab w:val="left" w:pos="1058"/>
              </w:tabs>
              <w:spacing w:line="360" w:lineRule="exact"/>
              <w:jc w:val="left"/>
              <w:rPr>
                <w:rFonts w:ascii="Times New Roman" w:hAnsi="Times New Roman"/>
                <w:szCs w:val="21"/>
              </w:rPr>
            </w:pPr>
            <w:r>
              <w:rPr>
                <w:rFonts w:hint="eastAsia"/>
                <w:spacing w:val="-3"/>
                <w:szCs w:val="21"/>
              </w:rPr>
              <w:t>（</w:t>
            </w:r>
            <w:r>
              <w:rPr>
                <w:rFonts w:hint="eastAsia"/>
                <w:spacing w:val="-3"/>
                <w:szCs w:val="21"/>
                <w:lang w:val="en-US"/>
              </w:rPr>
              <w:t>8</w:t>
            </w:r>
            <w:r>
              <w:rPr>
                <w:rFonts w:hint="eastAsia"/>
                <w:spacing w:val="-3"/>
                <w:szCs w:val="21"/>
              </w:rPr>
              <w:t>）</w:t>
            </w:r>
            <w:r>
              <w:rPr>
                <w:rFonts w:hint="eastAsia"/>
                <w:spacing w:val="-3"/>
                <w:szCs w:val="21"/>
                <w:lang w:eastAsia="zh-CN"/>
              </w:rPr>
              <w:t>交易响应文件</w:t>
            </w:r>
            <w:r>
              <w:rPr>
                <w:rFonts w:hint="eastAsia"/>
                <w:spacing w:val="-3"/>
                <w:szCs w:val="21"/>
              </w:rPr>
              <w:t>正、副本份数符合</w:t>
            </w:r>
            <w:r>
              <w:rPr>
                <w:rFonts w:hint="eastAsia"/>
                <w:spacing w:val="-3"/>
                <w:szCs w:val="21"/>
                <w:lang w:eastAsia="zh-CN"/>
              </w:rPr>
              <w:t>交易文件</w:t>
            </w:r>
            <w:r>
              <w:rPr>
                <w:rFonts w:hint="eastAsia"/>
                <w:spacing w:val="-3"/>
                <w:szCs w:val="21"/>
              </w:rPr>
              <w:t>第二章</w:t>
            </w:r>
            <w:r>
              <w:rPr>
                <w:rFonts w:hint="eastAsia"/>
                <w:szCs w:val="21"/>
              </w:rPr>
              <w:t>“</w:t>
            </w:r>
            <w:r>
              <w:rPr>
                <w:rFonts w:hint="eastAsia"/>
                <w:spacing w:val="-2"/>
                <w:szCs w:val="21"/>
                <w:lang w:eastAsia="zh-CN"/>
              </w:rPr>
              <w:t>交易须知</w:t>
            </w:r>
            <w:r>
              <w:rPr>
                <w:rFonts w:hint="eastAsia"/>
                <w:spacing w:val="-3"/>
                <w:szCs w:val="21"/>
              </w:rPr>
              <w:t>”</w:t>
            </w:r>
            <w:r>
              <w:rPr>
                <w:rFonts w:hint="eastAsia"/>
                <w:szCs w:val="21"/>
              </w:rPr>
              <w:t>第3.7.4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4" w:hRule="exact"/>
          <w:jc w:val="center"/>
        </w:trPr>
        <w:tc>
          <w:tcPr>
            <w:tcW w:w="900" w:type="dxa"/>
          </w:tcPr>
          <w:p>
            <w:pPr>
              <w:pStyle w:val="33"/>
              <w:spacing w:line="440" w:lineRule="exact"/>
              <w:rPr>
                <w:szCs w:val="21"/>
              </w:rPr>
            </w:pPr>
          </w:p>
          <w:p>
            <w:pPr>
              <w:pStyle w:val="33"/>
              <w:spacing w:line="440" w:lineRule="exact"/>
              <w:rPr>
                <w:szCs w:val="21"/>
              </w:rPr>
            </w:pPr>
          </w:p>
          <w:p>
            <w:pPr>
              <w:pStyle w:val="33"/>
              <w:spacing w:line="440" w:lineRule="exact"/>
              <w:rPr>
                <w:szCs w:val="21"/>
              </w:rPr>
            </w:pPr>
          </w:p>
          <w:p>
            <w:pPr>
              <w:pStyle w:val="33"/>
              <w:spacing w:before="187" w:line="440" w:lineRule="exact"/>
              <w:rPr>
                <w:rFonts w:ascii="Times New Roman"/>
                <w:szCs w:val="21"/>
              </w:rPr>
            </w:pPr>
            <w:r>
              <w:rPr>
                <w:rFonts w:ascii="Times New Roman"/>
                <w:szCs w:val="21"/>
              </w:rPr>
              <w:t>2.1.2</w:t>
            </w:r>
          </w:p>
        </w:tc>
        <w:tc>
          <w:tcPr>
            <w:tcW w:w="917" w:type="dxa"/>
            <w:gridSpan w:val="2"/>
          </w:tcPr>
          <w:p>
            <w:pPr>
              <w:pStyle w:val="33"/>
              <w:spacing w:line="440" w:lineRule="exact"/>
              <w:rPr>
                <w:szCs w:val="21"/>
              </w:rPr>
            </w:pPr>
          </w:p>
          <w:p>
            <w:pPr>
              <w:pStyle w:val="33"/>
              <w:spacing w:line="440" w:lineRule="exact"/>
              <w:rPr>
                <w:szCs w:val="21"/>
              </w:rPr>
            </w:pPr>
          </w:p>
          <w:p>
            <w:pPr>
              <w:pStyle w:val="33"/>
              <w:spacing w:before="2" w:line="440" w:lineRule="exact"/>
              <w:rPr>
                <w:szCs w:val="21"/>
              </w:rPr>
            </w:pPr>
          </w:p>
          <w:p>
            <w:pPr>
              <w:pStyle w:val="33"/>
              <w:spacing w:line="440" w:lineRule="exact"/>
              <w:ind w:hanging="156"/>
              <w:jc w:val="center"/>
              <w:rPr>
                <w:szCs w:val="21"/>
              </w:rPr>
            </w:pPr>
            <w:r>
              <w:rPr>
                <w:szCs w:val="21"/>
              </w:rPr>
              <w:t>资格</w:t>
            </w:r>
          </w:p>
          <w:p>
            <w:pPr>
              <w:pStyle w:val="33"/>
              <w:spacing w:line="440" w:lineRule="exact"/>
              <w:ind w:hanging="156"/>
              <w:jc w:val="center"/>
              <w:rPr>
                <w:szCs w:val="21"/>
              </w:rPr>
            </w:pPr>
            <w:r>
              <w:rPr>
                <w:szCs w:val="21"/>
              </w:rPr>
              <w:t>评审标准</w:t>
            </w:r>
          </w:p>
        </w:tc>
        <w:tc>
          <w:tcPr>
            <w:tcW w:w="7160" w:type="dxa"/>
          </w:tcPr>
          <w:p>
            <w:pPr>
              <w:pStyle w:val="33"/>
              <w:tabs>
                <w:tab w:val="left" w:pos="1058"/>
              </w:tabs>
              <w:spacing w:before="89" w:line="340" w:lineRule="exact"/>
              <w:jc w:val="left"/>
              <w:rPr>
                <w:szCs w:val="21"/>
              </w:rPr>
            </w:pPr>
            <w:r>
              <w:rPr>
                <w:rFonts w:hint="eastAsia"/>
                <w:spacing w:val="-3"/>
                <w:szCs w:val="21"/>
              </w:rPr>
              <w:t>（</w:t>
            </w:r>
            <w:r>
              <w:rPr>
                <w:rFonts w:hint="eastAsia"/>
                <w:spacing w:val="-3"/>
                <w:szCs w:val="21"/>
                <w:lang w:val="en-US"/>
              </w:rPr>
              <w:t>1</w:t>
            </w:r>
            <w:r>
              <w:rPr>
                <w:rFonts w:hint="eastAsia"/>
                <w:spacing w:val="-3"/>
                <w:szCs w:val="21"/>
              </w:rPr>
              <w:t>）</w:t>
            </w:r>
            <w:r>
              <w:rPr>
                <w:rFonts w:hint="eastAsia"/>
                <w:spacing w:val="-3"/>
                <w:szCs w:val="21"/>
                <w:lang w:eastAsia="zh-CN"/>
              </w:rPr>
              <w:t>交易响应单位</w:t>
            </w:r>
            <w:r>
              <w:rPr>
                <w:spacing w:val="-3"/>
                <w:szCs w:val="21"/>
              </w:rPr>
              <w:t>具备有效的营业执照、组织机构代码证、资质证书、安全生产许可证和基本账户开户许可证。</w:t>
            </w:r>
          </w:p>
          <w:p>
            <w:pPr>
              <w:pStyle w:val="33"/>
              <w:tabs>
                <w:tab w:val="left" w:pos="1058"/>
              </w:tabs>
              <w:spacing w:line="340" w:lineRule="exact"/>
              <w:jc w:val="left"/>
              <w:rPr>
                <w:szCs w:val="21"/>
              </w:rPr>
            </w:pPr>
            <w:r>
              <w:rPr>
                <w:rFonts w:hint="eastAsia"/>
                <w:spacing w:val="-3"/>
                <w:szCs w:val="21"/>
              </w:rPr>
              <w:t>（</w:t>
            </w:r>
            <w:r>
              <w:rPr>
                <w:rFonts w:hint="eastAsia"/>
                <w:spacing w:val="-3"/>
                <w:szCs w:val="21"/>
                <w:lang w:val="en-US"/>
              </w:rPr>
              <w:t>2</w:t>
            </w:r>
            <w:r>
              <w:rPr>
                <w:rFonts w:hint="eastAsia"/>
                <w:spacing w:val="-3"/>
                <w:szCs w:val="21"/>
              </w:rPr>
              <w:t>）</w:t>
            </w:r>
            <w:r>
              <w:rPr>
                <w:rFonts w:hint="eastAsia"/>
                <w:spacing w:val="-3"/>
                <w:szCs w:val="21"/>
                <w:lang w:eastAsia="zh-CN"/>
              </w:rPr>
              <w:t>交易响应单位</w:t>
            </w:r>
            <w:r>
              <w:rPr>
                <w:spacing w:val="-3"/>
                <w:szCs w:val="21"/>
              </w:rPr>
              <w:t>的资质等级符合</w:t>
            </w:r>
            <w:r>
              <w:rPr>
                <w:rFonts w:hint="eastAsia"/>
                <w:spacing w:val="-3"/>
                <w:szCs w:val="21"/>
                <w:lang w:eastAsia="zh-CN"/>
              </w:rPr>
              <w:t>交易文件</w:t>
            </w:r>
            <w:r>
              <w:rPr>
                <w:spacing w:val="-3"/>
                <w:szCs w:val="21"/>
              </w:rPr>
              <w:t>规定。</w:t>
            </w:r>
          </w:p>
          <w:p>
            <w:pPr>
              <w:pStyle w:val="33"/>
              <w:tabs>
                <w:tab w:val="left" w:pos="1058"/>
              </w:tabs>
              <w:spacing w:before="91" w:line="340" w:lineRule="exact"/>
              <w:jc w:val="left"/>
              <w:rPr>
                <w:szCs w:val="21"/>
              </w:rPr>
            </w:pPr>
            <w:r>
              <w:rPr>
                <w:rFonts w:hint="eastAsia"/>
                <w:spacing w:val="-3"/>
                <w:szCs w:val="21"/>
              </w:rPr>
              <w:t>（</w:t>
            </w:r>
            <w:r>
              <w:rPr>
                <w:rFonts w:hint="eastAsia"/>
                <w:spacing w:val="-3"/>
                <w:szCs w:val="21"/>
                <w:lang w:val="en-US"/>
              </w:rPr>
              <w:t>3</w:t>
            </w:r>
            <w:r>
              <w:rPr>
                <w:rFonts w:hint="eastAsia"/>
                <w:spacing w:val="-3"/>
                <w:szCs w:val="21"/>
              </w:rPr>
              <w:t>）</w:t>
            </w:r>
            <w:r>
              <w:rPr>
                <w:rFonts w:hint="eastAsia"/>
                <w:spacing w:val="-3"/>
                <w:szCs w:val="21"/>
                <w:lang w:eastAsia="zh-CN"/>
              </w:rPr>
              <w:t>交易响应单位</w:t>
            </w:r>
            <w:r>
              <w:rPr>
                <w:spacing w:val="-3"/>
                <w:szCs w:val="21"/>
              </w:rPr>
              <w:t>的财务状况符合</w:t>
            </w:r>
            <w:r>
              <w:rPr>
                <w:rFonts w:hint="eastAsia"/>
                <w:spacing w:val="-3"/>
                <w:szCs w:val="21"/>
                <w:lang w:eastAsia="zh-CN"/>
              </w:rPr>
              <w:t>交易文件</w:t>
            </w:r>
            <w:r>
              <w:rPr>
                <w:spacing w:val="-3"/>
                <w:szCs w:val="21"/>
              </w:rPr>
              <w:t>规定。</w:t>
            </w:r>
          </w:p>
          <w:p>
            <w:pPr>
              <w:pStyle w:val="33"/>
              <w:tabs>
                <w:tab w:val="left" w:pos="1058"/>
              </w:tabs>
              <w:spacing w:before="92" w:line="340" w:lineRule="exact"/>
              <w:jc w:val="left"/>
              <w:rPr>
                <w:szCs w:val="21"/>
              </w:rPr>
            </w:pPr>
            <w:r>
              <w:rPr>
                <w:rFonts w:hint="eastAsia"/>
                <w:spacing w:val="-3"/>
                <w:szCs w:val="21"/>
              </w:rPr>
              <w:t>（</w:t>
            </w:r>
            <w:r>
              <w:rPr>
                <w:rFonts w:hint="eastAsia"/>
                <w:spacing w:val="-3"/>
                <w:szCs w:val="21"/>
                <w:lang w:val="en-US"/>
              </w:rPr>
              <w:t>4</w:t>
            </w:r>
            <w:r>
              <w:rPr>
                <w:rFonts w:hint="eastAsia"/>
                <w:spacing w:val="-3"/>
                <w:szCs w:val="21"/>
              </w:rPr>
              <w:t>）</w:t>
            </w:r>
            <w:r>
              <w:rPr>
                <w:rFonts w:hint="eastAsia"/>
                <w:spacing w:val="-3"/>
                <w:szCs w:val="21"/>
                <w:lang w:eastAsia="zh-CN"/>
              </w:rPr>
              <w:t>交易响应单位</w:t>
            </w:r>
            <w:r>
              <w:rPr>
                <w:spacing w:val="-3"/>
                <w:szCs w:val="21"/>
              </w:rPr>
              <w:t>的类似项目业绩符合</w:t>
            </w:r>
            <w:r>
              <w:rPr>
                <w:rFonts w:hint="eastAsia"/>
                <w:spacing w:val="-3"/>
                <w:szCs w:val="21"/>
                <w:lang w:eastAsia="zh-CN"/>
              </w:rPr>
              <w:t>交易文件</w:t>
            </w:r>
            <w:r>
              <w:rPr>
                <w:spacing w:val="-3"/>
                <w:szCs w:val="21"/>
              </w:rPr>
              <w:t>规定。</w:t>
            </w:r>
          </w:p>
          <w:p>
            <w:pPr>
              <w:pStyle w:val="33"/>
              <w:tabs>
                <w:tab w:val="left" w:pos="1058"/>
              </w:tabs>
              <w:spacing w:before="91" w:line="340" w:lineRule="exact"/>
              <w:jc w:val="left"/>
              <w:rPr>
                <w:spacing w:val="-3"/>
                <w:szCs w:val="21"/>
              </w:rPr>
            </w:pPr>
            <w:r>
              <w:rPr>
                <w:rFonts w:hint="eastAsia"/>
                <w:spacing w:val="-3"/>
                <w:szCs w:val="21"/>
              </w:rPr>
              <w:t>（</w:t>
            </w:r>
            <w:r>
              <w:rPr>
                <w:rFonts w:hint="eastAsia"/>
                <w:spacing w:val="-3"/>
                <w:szCs w:val="21"/>
                <w:lang w:val="en-US"/>
              </w:rPr>
              <w:t>5</w:t>
            </w:r>
            <w:r>
              <w:rPr>
                <w:rFonts w:hint="eastAsia"/>
                <w:spacing w:val="-3"/>
                <w:szCs w:val="21"/>
              </w:rPr>
              <w:t>）</w:t>
            </w:r>
            <w:r>
              <w:rPr>
                <w:rFonts w:hint="eastAsia"/>
                <w:spacing w:val="-3"/>
                <w:szCs w:val="21"/>
                <w:lang w:eastAsia="zh-CN"/>
              </w:rPr>
              <w:t>交易响应单位</w:t>
            </w:r>
            <w:r>
              <w:rPr>
                <w:spacing w:val="-3"/>
                <w:szCs w:val="21"/>
              </w:rPr>
              <w:t>的信誉符合</w:t>
            </w:r>
            <w:r>
              <w:rPr>
                <w:rFonts w:hint="eastAsia"/>
                <w:spacing w:val="-3"/>
                <w:szCs w:val="21"/>
                <w:lang w:eastAsia="zh-CN"/>
              </w:rPr>
              <w:t>交易文件</w:t>
            </w:r>
            <w:r>
              <w:rPr>
                <w:spacing w:val="-3"/>
                <w:szCs w:val="21"/>
              </w:rPr>
              <w:t>规定。</w:t>
            </w:r>
          </w:p>
          <w:p>
            <w:pPr>
              <w:pStyle w:val="33"/>
              <w:tabs>
                <w:tab w:val="left" w:pos="1058"/>
              </w:tabs>
              <w:spacing w:before="89" w:line="340" w:lineRule="exact"/>
              <w:jc w:val="left"/>
              <w:rPr>
                <w:szCs w:val="21"/>
              </w:rPr>
            </w:pPr>
            <w:r>
              <w:rPr>
                <w:rFonts w:hint="eastAsia"/>
                <w:spacing w:val="-4"/>
                <w:szCs w:val="21"/>
              </w:rPr>
              <w:t>（</w:t>
            </w:r>
            <w:r>
              <w:rPr>
                <w:rFonts w:hint="eastAsia"/>
                <w:spacing w:val="-4"/>
                <w:szCs w:val="21"/>
                <w:lang w:val="en-US"/>
              </w:rPr>
              <w:t>6</w:t>
            </w:r>
            <w:r>
              <w:rPr>
                <w:rFonts w:hint="eastAsia"/>
                <w:spacing w:val="-4"/>
                <w:szCs w:val="21"/>
              </w:rPr>
              <w:t>）</w:t>
            </w:r>
            <w:r>
              <w:rPr>
                <w:rFonts w:hint="eastAsia"/>
                <w:spacing w:val="-4"/>
                <w:szCs w:val="21"/>
                <w:lang w:eastAsia="zh-CN"/>
              </w:rPr>
              <w:t>交易响应单位</w:t>
            </w:r>
            <w:r>
              <w:rPr>
                <w:spacing w:val="-4"/>
                <w:szCs w:val="21"/>
              </w:rPr>
              <w:t>的项目经理和</w:t>
            </w:r>
            <w:r>
              <w:rPr>
                <w:rFonts w:hint="eastAsia"/>
                <w:spacing w:val="-4"/>
                <w:szCs w:val="21"/>
                <w:lang w:eastAsia="zh-CN"/>
              </w:rPr>
              <w:t>项目总工程师</w:t>
            </w:r>
            <w:r>
              <w:rPr>
                <w:spacing w:val="-4"/>
                <w:szCs w:val="21"/>
              </w:rPr>
              <w:t>资格、在岗情况符合</w:t>
            </w:r>
            <w:r>
              <w:rPr>
                <w:rFonts w:hint="eastAsia"/>
                <w:spacing w:val="-4"/>
                <w:szCs w:val="21"/>
                <w:lang w:eastAsia="zh-CN"/>
              </w:rPr>
              <w:t>交易文件</w:t>
            </w:r>
            <w:r>
              <w:rPr>
                <w:spacing w:val="-4"/>
                <w:szCs w:val="21"/>
              </w:rPr>
              <w:t>规定。</w:t>
            </w:r>
          </w:p>
          <w:p>
            <w:pPr>
              <w:pStyle w:val="33"/>
              <w:tabs>
                <w:tab w:val="left" w:pos="1058"/>
              </w:tabs>
              <w:spacing w:line="340" w:lineRule="exact"/>
              <w:jc w:val="left"/>
              <w:rPr>
                <w:szCs w:val="21"/>
              </w:rPr>
            </w:pPr>
            <w:r>
              <w:rPr>
                <w:rFonts w:hint="eastAsia"/>
                <w:spacing w:val="-3"/>
                <w:szCs w:val="21"/>
              </w:rPr>
              <w:t>（</w:t>
            </w:r>
            <w:r>
              <w:rPr>
                <w:rFonts w:hint="eastAsia"/>
                <w:spacing w:val="-3"/>
                <w:szCs w:val="21"/>
                <w:lang w:val="en-US"/>
              </w:rPr>
              <w:t>7</w:t>
            </w:r>
            <w:r>
              <w:rPr>
                <w:rFonts w:hint="eastAsia"/>
                <w:spacing w:val="-3"/>
                <w:szCs w:val="21"/>
              </w:rPr>
              <w:t>）</w:t>
            </w:r>
            <w:r>
              <w:rPr>
                <w:rFonts w:hint="eastAsia"/>
                <w:spacing w:val="-3"/>
                <w:szCs w:val="21"/>
                <w:lang w:eastAsia="zh-CN"/>
              </w:rPr>
              <w:t>交易响应单位</w:t>
            </w:r>
            <w:r>
              <w:rPr>
                <w:spacing w:val="-3"/>
                <w:szCs w:val="21"/>
              </w:rPr>
              <w:t>的其他要求符合</w:t>
            </w:r>
            <w:r>
              <w:rPr>
                <w:rFonts w:hint="eastAsia"/>
                <w:spacing w:val="-3"/>
                <w:szCs w:val="21"/>
                <w:lang w:eastAsia="zh-CN"/>
              </w:rPr>
              <w:t>交易文件</w:t>
            </w:r>
            <w:r>
              <w:rPr>
                <w:spacing w:val="-3"/>
                <w:szCs w:val="21"/>
              </w:rPr>
              <w:t>规定。</w:t>
            </w:r>
          </w:p>
          <w:p>
            <w:pPr>
              <w:pStyle w:val="33"/>
              <w:tabs>
                <w:tab w:val="left" w:pos="1058"/>
              </w:tabs>
              <w:spacing w:before="91" w:line="340" w:lineRule="exact"/>
              <w:jc w:val="left"/>
              <w:rPr>
                <w:szCs w:val="21"/>
              </w:rPr>
            </w:pPr>
            <w:r>
              <w:rPr>
                <w:rFonts w:hint="eastAsia"/>
                <w:spacing w:val="-3"/>
                <w:szCs w:val="21"/>
              </w:rPr>
              <w:t>（</w:t>
            </w:r>
            <w:r>
              <w:rPr>
                <w:rFonts w:hint="eastAsia"/>
                <w:spacing w:val="-3"/>
                <w:szCs w:val="21"/>
                <w:lang w:val="en-US"/>
              </w:rPr>
              <w:t>8</w:t>
            </w:r>
            <w:r>
              <w:rPr>
                <w:rFonts w:hint="eastAsia"/>
                <w:spacing w:val="-3"/>
                <w:szCs w:val="21"/>
              </w:rPr>
              <w:t>）</w:t>
            </w:r>
            <w:r>
              <w:rPr>
                <w:rFonts w:hint="eastAsia"/>
                <w:spacing w:val="-3"/>
                <w:szCs w:val="21"/>
                <w:lang w:eastAsia="zh-CN"/>
              </w:rPr>
              <w:t>交易响应单位</w:t>
            </w:r>
            <w:r>
              <w:rPr>
                <w:spacing w:val="-3"/>
                <w:szCs w:val="21"/>
              </w:rPr>
              <w:t>不存在第二章</w:t>
            </w:r>
            <w:r>
              <w:rPr>
                <w:rFonts w:ascii="Times New Roman" w:hAnsi="Times New Roman" w:eastAsia="Times New Roman"/>
                <w:szCs w:val="21"/>
              </w:rPr>
              <w:t>“</w:t>
            </w:r>
            <w:r>
              <w:rPr>
                <w:rFonts w:hint="eastAsia"/>
                <w:spacing w:val="-3"/>
                <w:szCs w:val="21"/>
                <w:lang w:eastAsia="zh-CN"/>
              </w:rPr>
              <w:t>交易须知</w:t>
            </w:r>
            <w:r>
              <w:rPr>
                <w:rFonts w:ascii="Times New Roman" w:hAnsi="Times New Roman" w:eastAsia="Times New Roman"/>
                <w:szCs w:val="21"/>
              </w:rPr>
              <w:t>”</w:t>
            </w:r>
            <w:r>
              <w:rPr>
                <w:spacing w:val="-23"/>
                <w:szCs w:val="21"/>
              </w:rPr>
              <w:t xml:space="preserve">第 </w:t>
            </w:r>
            <w:r>
              <w:rPr>
                <w:rFonts w:ascii="Times New Roman" w:hAnsi="Times New Roman" w:eastAsia="Times New Roman"/>
                <w:szCs w:val="21"/>
              </w:rPr>
              <w:t>1.4.3</w:t>
            </w:r>
            <w:r>
              <w:rPr>
                <w:rFonts w:ascii="Times New Roman" w:hAnsi="Times New Roman" w:eastAsia="Times New Roman"/>
                <w:spacing w:val="5"/>
                <w:szCs w:val="21"/>
              </w:rPr>
              <w:t xml:space="preserve"> </w:t>
            </w:r>
            <w:r>
              <w:rPr>
                <w:spacing w:val="-13"/>
                <w:szCs w:val="21"/>
              </w:rPr>
              <w:t xml:space="preserve">项或第 </w:t>
            </w:r>
            <w:r>
              <w:rPr>
                <w:rFonts w:ascii="Times New Roman" w:hAnsi="Times New Roman" w:eastAsia="Times New Roman"/>
                <w:szCs w:val="21"/>
              </w:rPr>
              <w:t>1.4.4</w:t>
            </w:r>
            <w:r>
              <w:rPr>
                <w:rFonts w:ascii="Times New Roman" w:hAnsi="Times New Roman" w:eastAsia="Times New Roman"/>
                <w:spacing w:val="5"/>
                <w:szCs w:val="21"/>
              </w:rPr>
              <w:t xml:space="preserve"> </w:t>
            </w:r>
            <w:r>
              <w:rPr>
                <w:szCs w:val="21"/>
              </w:rPr>
              <w:t>项规</w:t>
            </w:r>
            <w:r>
              <w:rPr>
                <w:spacing w:val="-3"/>
                <w:szCs w:val="21"/>
              </w:rPr>
              <w:t>定的任何一种情形。</w:t>
            </w:r>
          </w:p>
          <w:p>
            <w:pPr>
              <w:pStyle w:val="33"/>
              <w:tabs>
                <w:tab w:val="left" w:pos="1058"/>
              </w:tabs>
              <w:spacing w:line="340" w:lineRule="exact"/>
              <w:jc w:val="left"/>
              <w:rPr>
                <w:szCs w:val="21"/>
              </w:rPr>
            </w:pPr>
            <w:r>
              <w:rPr>
                <w:rFonts w:hint="eastAsia"/>
                <w:spacing w:val="-3"/>
                <w:szCs w:val="21"/>
              </w:rPr>
              <w:t>（</w:t>
            </w:r>
            <w:r>
              <w:rPr>
                <w:rFonts w:hint="eastAsia"/>
                <w:spacing w:val="-3"/>
                <w:szCs w:val="21"/>
                <w:lang w:val="en-US"/>
              </w:rPr>
              <w:t>9</w:t>
            </w:r>
            <w:r>
              <w:rPr>
                <w:rFonts w:hint="eastAsia"/>
                <w:spacing w:val="-3"/>
                <w:szCs w:val="21"/>
              </w:rPr>
              <w:t>）</w:t>
            </w:r>
            <w:r>
              <w:rPr>
                <w:rFonts w:hint="eastAsia"/>
                <w:spacing w:val="-3"/>
                <w:szCs w:val="21"/>
                <w:lang w:eastAsia="zh-CN"/>
              </w:rPr>
              <w:t>交易响应单位</w:t>
            </w:r>
            <w:r>
              <w:rPr>
                <w:spacing w:val="-3"/>
                <w:szCs w:val="21"/>
              </w:rPr>
              <w:t>符合第二章</w:t>
            </w:r>
            <w:r>
              <w:rPr>
                <w:rFonts w:ascii="Times New Roman" w:hAnsi="Times New Roman" w:eastAsia="Times New Roman"/>
                <w:spacing w:val="-3"/>
                <w:szCs w:val="21"/>
              </w:rPr>
              <w:t>“</w:t>
            </w:r>
            <w:r>
              <w:rPr>
                <w:rFonts w:hint="eastAsia"/>
                <w:spacing w:val="-2"/>
                <w:szCs w:val="21"/>
                <w:lang w:eastAsia="zh-CN"/>
              </w:rPr>
              <w:t>交易须知</w:t>
            </w:r>
            <w:r>
              <w:rPr>
                <w:rFonts w:ascii="Times New Roman" w:hAnsi="Times New Roman" w:eastAsia="Times New Roman"/>
                <w:szCs w:val="21"/>
              </w:rPr>
              <w:t>”</w:t>
            </w:r>
            <w:r>
              <w:rPr>
                <w:spacing w:val="-27"/>
                <w:szCs w:val="21"/>
              </w:rPr>
              <w:t xml:space="preserve">第 </w:t>
            </w:r>
            <w:r>
              <w:rPr>
                <w:rFonts w:ascii="Times New Roman" w:hAnsi="Times New Roman" w:eastAsia="Times New Roman"/>
                <w:szCs w:val="21"/>
              </w:rPr>
              <w:t>1.4.5</w:t>
            </w:r>
            <w:r>
              <w:rPr>
                <w:rFonts w:ascii="Times New Roman" w:hAnsi="Times New Roman" w:eastAsia="Times New Roman"/>
                <w:spacing w:val="-2"/>
                <w:szCs w:val="21"/>
              </w:rPr>
              <w:t xml:space="preserve"> </w:t>
            </w:r>
            <w:r>
              <w:rPr>
                <w:spacing w:val="-3"/>
                <w:szCs w:val="21"/>
              </w:rPr>
              <w:t>项规定。</w:t>
            </w:r>
          </w:p>
          <w:p>
            <w:pPr>
              <w:pStyle w:val="33"/>
              <w:tabs>
                <w:tab w:val="left" w:pos="1058"/>
              </w:tabs>
              <w:spacing w:line="340" w:lineRule="exact"/>
              <w:jc w:val="left"/>
              <w:rPr>
                <w:spacing w:val="-3"/>
                <w:szCs w:val="21"/>
              </w:rPr>
            </w:pPr>
            <w:r>
              <w:rPr>
                <w:rFonts w:hint="eastAsia"/>
                <w:szCs w:val="21"/>
              </w:rPr>
              <w:t>（</w:t>
            </w:r>
            <w:r>
              <w:rPr>
                <w:rFonts w:hint="eastAsia"/>
                <w:szCs w:val="21"/>
                <w:lang w:val="en-US"/>
              </w:rPr>
              <w:t>10</w:t>
            </w:r>
            <w:r>
              <w:rPr>
                <w:rFonts w:hint="eastAsia"/>
                <w:szCs w:val="21"/>
              </w:rPr>
              <w:t>）</w:t>
            </w:r>
            <w:r>
              <w:rPr>
                <w:szCs w:val="21"/>
              </w:rPr>
              <w:t>以联合体形式参与投标的，联合体各方均未再以自己名义单独或参加其他联合体在同一标段中投标；独立参与投标的，</w:t>
            </w:r>
            <w:r>
              <w:rPr>
                <w:rFonts w:hint="eastAsia"/>
                <w:szCs w:val="21"/>
                <w:lang w:eastAsia="zh-CN"/>
              </w:rPr>
              <w:t>交易响应单位</w:t>
            </w:r>
            <w:r>
              <w:rPr>
                <w:spacing w:val="-3"/>
                <w:szCs w:val="21"/>
              </w:rPr>
              <w:t>未同时参加联合体在同一标段中投标。</w:t>
            </w:r>
          </w:p>
        </w:tc>
      </w:tr>
    </w:tbl>
    <w:p>
      <w:pPr>
        <w:rPr>
          <w:rFonts w:ascii="宋体" w:hAnsi="宋体" w:cs="宋体"/>
          <w:szCs w:val="21"/>
        </w:rPr>
      </w:pPr>
      <w:r>
        <w:rPr>
          <w:rFonts w:hint="eastAsia" w:ascii="宋体" w:hAnsi="宋体" w:cs="宋体"/>
          <w:szCs w:val="21"/>
        </w:rPr>
        <w:br w:type="page"/>
      </w:r>
    </w:p>
    <w:tbl>
      <w:tblPr>
        <w:tblStyle w:val="16"/>
        <w:tblW w:w="90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808"/>
        <w:gridCol w:w="555"/>
        <w:gridCol w:w="287"/>
        <w:gridCol w:w="200"/>
        <w:gridCol w:w="1666"/>
        <w:gridCol w:w="1640"/>
        <w:gridCol w:w="33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jc w:val="center"/>
        </w:trPr>
        <w:tc>
          <w:tcPr>
            <w:tcW w:w="600" w:type="dxa"/>
            <w:tcBorders>
              <w:tl2br w:val="nil"/>
              <w:tr2bl w:val="nil"/>
            </w:tcBorders>
            <w:vAlign w:val="center"/>
          </w:tcPr>
          <w:p>
            <w:pPr>
              <w:ind w:right="113"/>
              <w:jc w:val="center"/>
              <w:rPr>
                <w:rFonts w:ascii="宋体"/>
                <w:b/>
                <w:bCs/>
              </w:rPr>
            </w:pPr>
            <w:r>
              <w:rPr>
                <w:rFonts w:hint="eastAsia" w:ascii="宋体" w:hAnsi="宋体" w:cs="宋体"/>
                <w:b/>
                <w:bCs/>
              </w:rPr>
              <w:t>条款号</w:t>
            </w:r>
          </w:p>
        </w:tc>
        <w:tc>
          <w:tcPr>
            <w:tcW w:w="1650" w:type="dxa"/>
            <w:gridSpan w:val="3"/>
            <w:tcBorders>
              <w:tl2br w:val="nil"/>
              <w:tr2bl w:val="nil"/>
            </w:tcBorders>
            <w:vAlign w:val="center"/>
          </w:tcPr>
          <w:p>
            <w:pPr>
              <w:ind w:right="113"/>
              <w:jc w:val="center"/>
              <w:rPr>
                <w:rFonts w:ascii="宋体"/>
                <w:b/>
                <w:bCs/>
              </w:rPr>
            </w:pPr>
            <w:r>
              <w:rPr>
                <w:rFonts w:hint="eastAsia" w:ascii="宋体" w:hAnsi="宋体" w:cs="宋体"/>
                <w:b/>
                <w:bCs/>
              </w:rPr>
              <w:t>条款内容</w:t>
            </w:r>
          </w:p>
        </w:tc>
        <w:tc>
          <w:tcPr>
            <w:tcW w:w="6849" w:type="dxa"/>
            <w:gridSpan w:val="4"/>
            <w:tcBorders>
              <w:tl2br w:val="nil"/>
              <w:tr2bl w:val="nil"/>
            </w:tcBorders>
            <w:vAlign w:val="center"/>
          </w:tcPr>
          <w:p>
            <w:pPr>
              <w:ind w:right="113"/>
              <w:jc w:val="center"/>
              <w:rPr>
                <w:rFonts w:ascii="宋体"/>
                <w:b/>
                <w:bCs/>
              </w:rPr>
            </w:pPr>
            <w:r>
              <w:rPr>
                <w:rFonts w:hint="eastAsia" w:ascii="宋体" w:hAnsi="宋体" w:cs="宋体"/>
                <w:b/>
                <w:bCs/>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2" w:hRule="atLeast"/>
          <w:jc w:val="center"/>
        </w:trPr>
        <w:tc>
          <w:tcPr>
            <w:tcW w:w="600" w:type="dxa"/>
            <w:tcBorders>
              <w:tl2br w:val="nil"/>
              <w:tr2bl w:val="nil"/>
            </w:tcBorders>
            <w:vAlign w:val="center"/>
          </w:tcPr>
          <w:p>
            <w:pPr>
              <w:ind w:right="113"/>
              <w:jc w:val="center"/>
              <w:rPr>
                <w:rFonts w:ascii="宋体"/>
              </w:rPr>
            </w:pPr>
            <w:r>
              <w:rPr>
                <w:rFonts w:ascii="宋体" w:hAnsi="宋体" w:cs="宋体"/>
              </w:rPr>
              <w:t>2.2.1</w:t>
            </w:r>
          </w:p>
        </w:tc>
        <w:tc>
          <w:tcPr>
            <w:tcW w:w="1650" w:type="dxa"/>
            <w:gridSpan w:val="3"/>
            <w:tcBorders>
              <w:tl2br w:val="nil"/>
              <w:tr2bl w:val="nil"/>
            </w:tcBorders>
            <w:vAlign w:val="center"/>
          </w:tcPr>
          <w:p>
            <w:pPr>
              <w:snapToGrid w:val="0"/>
              <w:spacing w:line="288" w:lineRule="auto"/>
              <w:ind w:left="42" w:leftChars="20" w:right="42" w:rightChars="20"/>
              <w:contextualSpacing/>
              <w:jc w:val="center"/>
              <w:rPr>
                <w:rFonts w:ascii="宋体" w:hAnsi="宋体"/>
                <w:bCs/>
                <w:color w:val="auto"/>
                <w:szCs w:val="21"/>
              </w:rPr>
            </w:pPr>
            <w:r>
              <w:rPr>
                <w:rFonts w:hint="eastAsia" w:ascii="宋体" w:hAnsi="宋体"/>
                <w:bCs/>
                <w:color w:val="auto"/>
                <w:szCs w:val="21"/>
              </w:rPr>
              <w:t>第一个信封评分分值构成</w:t>
            </w:r>
          </w:p>
          <w:p>
            <w:pPr>
              <w:snapToGrid w:val="0"/>
              <w:spacing w:line="288" w:lineRule="auto"/>
              <w:ind w:left="42" w:leftChars="20" w:right="42" w:rightChars="20"/>
              <w:contextualSpacing/>
              <w:rPr>
                <w:rFonts w:ascii="宋体"/>
              </w:rPr>
            </w:pPr>
            <w:r>
              <w:rPr>
                <w:rFonts w:hint="eastAsia" w:ascii="宋体" w:hAnsi="宋体"/>
                <w:color w:val="auto"/>
                <w:szCs w:val="21"/>
              </w:rPr>
              <w:t>（总分100分）</w:t>
            </w:r>
          </w:p>
        </w:tc>
        <w:tc>
          <w:tcPr>
            <w:tcW w:w="684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eastAsia="宋体" w:cs="宋体"/>
                <w:b/>
                <w:color w:val="auto"/>
                <w:szCs w:val="21"/>
                <w:lang w:eastAsia="zh-CN"/>
              </w:rPr>
            </w:pPr>
            <w:r>
              <w:rPr>
                <w:rFonts w:hint="eastAsia" w:ascii="宋体" w:cs="宋体"/>
                <w:b/>
                <w:color w:val="auto"/>
                <w:szCs w:val="21"/>
              </w:rPr>
              <w:t>施工组织设计：</w:t>
            </w:r>
            <w:r>
              <w:rPr>
                <w:rFonts w:hint="eastAsia" w:ascii="宋体" w:cs="宋体"/>
                <w:b/>
                <w:color w:val="auto"/>
                <w:szCs w:val="21"/>
                <w:lang w:val="en-US" w:eastAsia="zh-CN"/>
              </w:rPr>
              <w:t>4</w:t>
            </w:r>
            <w:r>
              <w:rPr>
                <w:rFonts w:hint="eastAsia" w:ascii="宋体" w:cs="宋体"/>
                <w:b/>
                <w:color w:val="auto"/>
                <w:szCs w:val="21"/>
              </w:rPr>
              <w:t>0分</w:t>
            </w:r>
            <w:r>
              <w:rPr>
                <w:rFonts w:hint="eastAsia" w:ascii="宋体" w:cs="宋体"/>
                <w:b/>
                <w:color w:val="auto"/>
                <w:szCs w:val="21"/>
                <w:lang w:eastAsia="zh-CN"/>
              </w:rPr>
              <w:t>（</w:t>
            </w:r>
            <w:r>
              <w:rPr>
                <w:rFonts w:hint="eastAsia" w:ascii="宋体" w:cs="宋体"/>
                <w:b/>
                <w:color w:val="auto"/>
                <w:szCs w:val="21"/>
                <w:lang w:val="en-US" w:eastAsia="zh-CN"/>
              </w:rPr>
              <w:t>25-40分</w:t>
            </w:r>
            <w:r>
              <w:rPr>
                <w:rFonts w:hint="eastAsia" w:ascii="宋体" w:cs="宋体"/>
                <w:b/>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cs="宋体"/>
                <w:b/>
                <w:color w:val="auto"/>
                <w:szCs w:val="21"/>
                <w:lang w:val="en-US" w:eastAsia="zh-CN"/>
              </w:rPr>
            </w:pPr>
            <w:r>
              <w:rPr>
                <w:rFonts w:hint="eastAsia" w:ascii="宋体" w:cs="宋体"/>
                <w:b/>
                <w:color w:val="auto"/>
                <w:szCs w:val="21"/>
                <w:lang w:val="en-US" w:eastAsia="zh-CN"/>
              </w:rPr>
              <w:t>主要人员及技术能力：30分</w:t>
            </w:r>
            <w:r>
              <w:rPr>
                <w:rFonts w:hint="eastAsia" w:ascii="宋体" w:cs="宋体"/>
                <w:b/>
                <w:color w:val="auto"/>
                <w:szCs w:val="21"/>
                <w:lang w:eastAsia="zh-CN"/>
              </w:rPr>
              <w:t>（</w:t>
            </w:r>
            <w:r>
              <w:rPr>
                <w:rFonts w:hint="eastAsia" w:ascii="宋体" w:cs="宋体"/>
                <w:b/>
                <w:color w:val="auto"/>
                <w:szCs w:val="21"/>
                <w:lang w:val="en-US" w:eastAsia="zh-CN"/>
              </w:rPr>
              <w:t>25-40分</w:t>
            </w:r>
            <w:r>
              <w:rPr>
                <w:rFonts w:hint="eastAsia" w:ascii="宋体" w:cs="宋体"/>
                <w:b/>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cs="宋体"/>
                <w:b/>
                <w:color w:val="auto"/>
                <w:szCs w:val="21"/>
              </w:rPr>
            </w:pPr>
            <w:r>
              <w:rPr>
                <w:rFonts w:hint="eastAsia" w:ascii="宋体" w:cs="宋体"/>
                <w:b/>
                <w:color w:val="auto"/>
                <w:szCs w:val="21"/>
                <w:lang w:val="en-US" w:eastAsia="zh-CN"/>
              </w:rPr>
              <w:t>履约信誉：15</w:t>
            </w:r>
            <w:r>
              <w:rPr>
                <w:rFonts w:hint="eastAsia" w:ascii="宋体" w:cs="宋体"/>
                <w:b/>
                <w:color w:val="auto"/>
                <w:szCs w:val="21"/>
              </w:rPr>
              <w:t>分</w:t>
            </w:r>
            <w:r>
              <w:rPr>
                <w:rFonts w:hint="eastAsia" w:ascii="宋体" w:cs="宋体"/>
                <w:b/>
                <w:color w:val="auto"/>
                <w:szCs w:val="21"/>
                <w:lang w:eastAsia="zh-CN"/>
              </w:rPr>
              <w:t>（</w:t>
            </w:r>
            <w:r>
              <w:rPr>
                <w:rFonts w:hint="eastAsia" w:ascii="宋体" w:cs="宋体"/>
                <w:b/>
                <w:color w:val="auto"/>
                <w:szCs w:val="21"/>
                <w:lang w:val="en-US" w:eastAsia="zh-CN"/>
              </w:rPr>
              <w:t>15-25分</w:t>
            </w:r>
            <w:r>
              <w:rPr>
                <w:rFonts w:hint="eastAsia" w:ascii="宋体" w:cs="宋体"/>
                <w:b/>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right="42" w:rightChars="20"/>
              <w:textAlignment w:val="auto"/>
              <w:rPr>
                <w:rFonts w:ascii="宋体"/>
              </w:rPr>
            </w:pPr>
            <w:r>
              <w:rPr>
                <w:rFonts w:hint="eastAsia" w:ascii="宋体" w:cs="宋体"/>
                <w:b/>
                <w:color w:val="auto"/>
                <w:szCs w:val="21"/>
                <w:lang w:val="en-US" w:eastAsia="zh-CN"/>
              </w:rPr>
              <w:t>业绩</w:t>
            </w:r>
            <w:r>
              <w:rPr>
                <w:rFonts w:hint="eastAsia" w:ascii="宋体" w:cs="宋体"/>
                <w:b/>
                <w:color w:val="auto"/>
                <w:szCs w:val="21"/>
              </w:rPr>
              <w:t>：</w:t>
            </w:r>
            <w:r>
              <w:rPr>
                <w:rFonts w:hint="eastAsia" w:ascii="宋体" w:cs="宋体"/>
                <w:b/>
                <w:color w:val="auto"/>
                <w:szCs w:val="21"/>
                <w:lang w:val="en-US" w:eastAsia="zh-CN"/>
              </w:rPr>
              <w:t>15</w:t>
            </w:r>
            <w:r>
              <w:rPr>
                <w:rFonts w:hint="eastAsia" w:ascii="宋体" w:cs="宋体"/>
                <w:b/>
                <w:color w:val="auto"/>
                <w:szCs w:val="21"/>
              </w:rPr>
              <w:t>分</w:t>
            </w:r>
            <w:r>
              <w:rPr>
                <w:rFonts w:hint="eastAsia" w:ascii="宋体" w:cs="宋体"/>
                <w:b/>
                <w:color w:val="auto"/>
                <w:szCs w:val="21"/>
                <w:lang w:eastAsia="zh-CN"/>
              </w:rPr>
              <w:t>（</w:t>
            </w:r>
            <w:r>
              <w:rPr>
                <w:rFonts w:hint="eastAsia" w:ascii="宋体" w:cs="宋体"/>
                <w:b/>
                <w:color w:val="auto"/>
                <w:szCs w:val="21"/>
                <w:lang w:val="en-US" w:eastAsia="zh-CN"/>
              </w:rPr>
              <w:t>10-20分</w:t>
            </w:r>
            <w:r>
              <w:rPr>
                <w:rFonts w:hint="eastAsia" w:ascii="宋体" w:cs="宋体"/>
                <w:b/>
                <w:color w:val="auto"/>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jc w:val="center"/>
        </w:trPr>
        <w:tc>
          <w:tcPr>
            <w:tcW w:w="600" w:type="dxa"/>
            <w:tcBorders>
              <w:tl2br w:val="nil"/>
              <w:tr2bl w:val="nil"/>
            </w:tcBorders>
            <w:vAlign w:val="center"/>
          </w:tcPr>
          <w:p>
            <w:pPr>
              <w:ind w:right="113"/>
              <w:jc w:val="center"/>
              <w:rPr>
                <w:rFonts w:ascii="宋体"/>
              </w:rPr>
            </w:pPr>
            <w:r>
              <w:rPr>
                <w:rFonts w:ascii="宋体" w:hAnsi="宋体" w:cs="宋体"/>
              </w:rPr>
              <w:t>2.2.2</w:t>
            </w:r>
          </w:p>
        </w:tc>
        <w:tc>
          <w:tcPr>
            <w:tcW w:w="1650" w:type="dxa"/>
            <w:gridSpan w:val="3"/>
            <w:tcBorders>
              <w:tl2br w:val="nil"/>
              <w:tr2bl w:val="nil"/>
            </w:tcBorders>
            <w:vAlign w:val="center"/>
          </w:tcPr>
          <w:p>
            <w:pPr>
              <w:snapToGrid w:val="0"/>
              <w:spacing w:line="288" w:lineRule="auto"/>
              <w:ind w:left="252" w:leftChars="20" w:right="42" w:rightChars="20" w:hanging="210" w:hangingChars="100"/>
              <w:contextualSpacing/>
              <w:jc w:val="center"/>
              <w:rPr>
                <w:rFonts w:ascii="宋体"/>
              </w:rPr>
            </w:pPr>
            <w:r>
              <w:rPr>
                <w:rFonts w:hint="eastAsia" w:ascii="宋体" w:hAnsi="宋体"/>
                <w:bCs/>
                <w:color w:val="000000"/>
                <w:szCs w:val="21"/>
              </w:rPr>
              <w:t>第二个信封详细评审标准</w:t>
            </w:r>
          </w:p>
        </w:tc>
        <w:tc>
          <w:tcPr>
            <w:tcW w:w="6849" w:type="dxa"/>
            <w:gridSpan w:val="4"/>
            <w:tcBorders>
              <w:tl2br w:val="nil"/>
              <w:tr2bl w:val="nil"/>
            </w:tcBorders>
            <w:vAlign w:val="center"/>
          </w:tcPr>
          <w:p>
            <w:pPr>
              <w:spacing w:line="288" w:lineRule="auto"/>
              <w:ind w:left="42" w:leftChars="20" w:right="42" w:rightChars="20" w:firstLine="210" w:firstLineChars="100"/>
              <w:jc w:val="left"/>
              <w:rPr>
                <w:rFonts w:ascii="宋体"/>
              </w:rPr>
            </w:pPr>
            <w:r>
              <w:rPr>
                <w:rFonts w:hint="eastAsia" w:ascii="宋体" w:hAnsi="宋体"/>
                <w:color w:val="000000"/>
                <w:szCs w:val="21"/>
              </w:rPr>
              <w:t>经评审的投标报价（评标价） = 投标函文字报价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jc w:val="center"/>
        </w:trPr>
        <w:tc>
          <w:tcPr>
            <w:tcW w:w="600" w:type="dxa"/>
            <w:tcBorders>
              <w:tl2br w:val="nil"/>
              <w:tr2bl w:val="nil"/>
            </w:tcBorders>
            <w:vAlign w:val="center"/>
          </w:tcPr>
          <w:p>
            <w:pPr>
              <w:jc w:val="center"/>
              <w:rPr>
                <w:rFonts w:ascii="宋体" w:hAnsi="宋体" w:cs="宋体"/>
              </w:rPr>
            </w:pPr>
            <w:r>
              <w:rPr>
                <w:rFonts w:hint="eastAsia" w:ascii="宋体" w:hAnsi="宋体" w:cs="宋体"/>
              </w:rPr>
              <w:t>3.2.4</w:t>
            </w:r>
          </w:p>
        </w:tc>
        <w:tc>
          <w:tcPr>
            <w:tcW w:w="1650" w:type="dxa"/>
            <w:gridSpan w:val="3"/>
            <w:tcBorders>
              <w:tl2br w:val="nil"/>
              <w:tr2bl w:val="nil"/>
            </w:tcBorders>
            <w:vAlign w:val="center"/>
          </w:tcPr>
          <w:p>
            <w:pPr>
              <w:spacing w:line="288" w:lineRule="auto"/>
              <w:ind w:left="42" w:leftChars="20" w:right="42" w:rightChars="20" w:firstLine="210" w:firstLineChars="100"/>
              <w:rPr>
                <w:rFonts w:hint="eastAsia" w:ascii="宋体" w:hAnsi="宋体" w:eastAsia="宋体" w:cs="宋体"/>
                <w:color w:val="auto"/>
                <w:szCs w:val="21"/>
              </w:rPr>
            </w:pPr>
            <w:r>
              <w:rPr>
                <w:rFonts w:hint="eastAsia" w:ascii="宋体" w:hAnsi="宋体"/>
                <w:color w:val="000000"/>
                <w:szCs w:val="21"/>
              </w:rPr>
              <w:t>通过第一个信封详细评审的交易响应单位数量</w:t>
            </w:r>
          </w:p>
        </w:tc>
        <w:tc>
          <w:tcPr>
            <w:tcW w:w="6849" w:type="dxa"/>
            <w:gridSpan w:val="4"/>
            <w:tcBorders>
              <w:tl2br w:val="nil"/>
              <w:tr2bl w:val="nil"/>
            </w:tcBorders>
            <w:vAlign w:val="center"/>
          </w:tcPr>
          <w:p>
            <w:pPr>
              <w:spacing w:line="288" w:lineRule="auto"/>
              <w:ind w:right="42" w:rightChars="20" w:firstLine="105" w:firstLineChars="50"/>
              <w:rPr>
                <w:rFonts w:ascii="宋体" w:hAnsi="宋体" w:cs="宋体"/>
              </w:rPr>
            </w:pPr>
            <w:r>
              <w:rPr>
                <w:rFonts w:hint="eastAsia" w:ascii="宋体" w:hAnsi="宋体"/>
                <w:color w:val="000000"/>
                <w:szCs w:val="21"/>
              </w:rPr>
              <w:t>按照交易响应单位的商务和技术得分由高到低排序，选择前</w:t>
            </w:r>
            <w:r>
              <w:rPr>
                <w:rFonts w:hint="eastAsia" w:ascii="宋体" w:hAnsi="宋体"/>
                <w:color w:val="000000"/>
                <w:szCs w:val="21"/>
                <w:u w:val="single"/>
              </w:rPr>
              <w:t xml:space="preserve"> 3 </w:t>
            </w:r>
            <w:r>
              <w:rPr>
                <w:rFonts w:hint="eastAsia" w:ascii="宋体" w:hAnsi="宋体"/>
                <w:color w:val="000000"/>
                <w:szCs w:val="21"/>
              </w:rPr>
              <w:t>名通过详细评审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jc w:val="center"/>
        </w:trPr>
        <w:tc>
          <w:tcPr>
            <w:tcW w:w="600" w:type="dxa"/>
            <w:tcBorders>
              <w:tl2br w:val="nil"/>
              <w:tr2bl w:val="nil"/>
            </w:tcBorders>
            <w:vAlign w:val="center"/>
          </w:tcPr>
          <w:p>
            <w:pPr>
              <w:jc w:val="center"/>
              <w:rPr>
                <w:rFonts w:ascii="宋体"/>
                <w:b/>
                <w:bCs/>
              </w:rPr>
            </w:pPr>
            <w:r>
              <w:rPr>
                <w:rFonts w:hint="eastAsia" w:ascii="宋体" w:hAnsi="宋体" w:cs="宋体"/>
                <w:b/>
                <w:bCs/>
              </w:rPr>
              <w:t>条款号</w:t>
            </w:r>
          </w:p>
        </w:tc>
        <w:tc>
          <w:tcPr>
            <w:tcW w:w="1850" w:type="dxa"/>
            <w:gridSpan w:val="4"/>
            <w:tcBorders>
              <w:tl2br w:val="nil"/>
              <w:tr2bl w:val="nil"/>
            </w:tcBorders>
            <w:vAlign w:val="center"/>
          </w:tcPr>
          <w:p>
            <w:pPr>
              <w:jc w:val="center"/>
              <w:rPr>
                <w:rFonts w:ascii="宋体"/>
                <w:b/>
                <w:bCs/>
              </w:rPr>
            </w:pPr>
            <w:r>
              <w:rPr>
                <w:rFonts w:hint="eastAsia" w:ascii="宋体" w:hAnsi="宋体"/>
                <w:b/>
                <w:bCs/>
                <w:color w:val="000000"/>
                <w:szCs w:val="21"/>
              </w:rPr>
              <w:t>条款内容</w:t>
            </w:r>
          </w:p>
        </w:tc>
        <w:tc>
          <w:tcPr>
            <w:tcW w:w="1666" w:type="dxa"/>
            <w:tcBorders>
              <w:tl2br w:val="nil"/>
              <w:tr2bl w:val="nil"/>
            </w:tcBorders>
            <w:vAlign w:val="center"/>
          </w:tcPr>
          <w:p>
            <w:pPr>
              <w:jc w:val="center"/>
              <w:rPr>
                <w:rFonts w:ascii="宋体"/>
                <w:b/>
                <w:bCs/>
              </w:rPr>
            </w:pPr>
            <w:r>
              <w:rPr>
                <w:rFonts w:hint="eastAsia" w:ascii="宋体" w:hAnsi="宋体" w:cs="宋体"/>
                <w:b/>
                <w:bCs/>
              </w:rPr>
              <w:t>各评分因素</w:t>
            </w:r>
          </w:p>
          <w:p>
            <w:pPr>
              <w:jc w:val="center"/>
              <w:rPr>
                <w:rFonts w:ascii="宋体"/>
                <w:b/>
                <w:bCs/>
              </w:rPr>
            </w:pPr>
            <w:r>
              <w:rPr>
                <w:rFonts w:hint="eastAsia" w:ascii="宋体" w:hAnsi="宋体" w:cs="宋体"/>
                <w:b/>
                <w:bCs/>
              </w:rPr>
              <w:t>细分项</w:t>
            </w:r>
          </w:p>
        </w:tc>
        <w:tc>
          <w:tcPr>
            <w:tcW w:w="1640" w:type="dxa"/>
            <w:tcBorders>
              <w:tl2br w:val="nil"/>
              <w:tr2bl w:val="nil"/>
            </w:tcBorders>
            <w:vAlign w:val="center"/>
          </w:tcPr>
          <w:p>
            <w:pPr>
              <w:jc w:val="center"/>
              <w:rPr>
                <w:rFonts w:ascii="宋体"/>
                <w:b/>
                <w:bCs/>
              </w:rPr>
            </w:pPr>
            <w:r>
              <w:rPr>
                <w:rFonts w:hint="eastAsia" w:ascii="宋体" w:hAnsi="宋体" w:cs="宋体"/>
                <w:b/>
                <w:bCs/>
              </w:rPr>
              <w:t>分值</w:t>
            </w:r>
          </w:p>
        </w:tc>
        <w:tc>
          <w:tcPr>
            <w:tcW w:w="3343" w:type="dxa"/>
            <w:tcBorders>
              <w:tl2br w:val="nil"/>
              <w:tr2bl w:val="nil"/>
            </w:tcBorders>
            <w:vAlign w:val="center"/>
          </w:tcPr>
          <w:p>
            <w:pPr>
              <w:ind w:left="113" w:right="113"/>
              <w:jc w:val="center"/>
              <w:rPr>
                <w:rFonts w:ascii="宋体"/>
              </w:rPr>
            </w:pPr>
            <w:r>
              <w:rPr>
                <w:rFonts w:hint="eastAsia" w:ascii="宋体" w:hAnsi="宋体"/>
                <w:b/>
                <w:bCs/>
                <w:color w:val="000000"/>
                <w:szCs w:val="21"/>
              </w:rPr>
              <w:t>评 分 标 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5" w:hRule="exact"/>
          <w:jc w:val="center"/>
        </w:trPr>
        <w:tc>
          <w:tcPr>
            <w:tcW w:w="600" w:type="dxa"/>
            <w:vMerge w:val="restart"/>
            <w:tcBorders>
              <w:tl2br w:val="nil"/>
              <w:tr2bl w:val="nil"/>
            </w:tcBorders>
            <w:vAlign w:val="center"/>
          </w:tcPr>
          <w:p>
            <w:pPr>
              <w:spacing w:line="288" w:lineRule="auto"/>
              <w:ind w:left="42" w:leftChars="20" w:right="42" w:rightChars="20"/>
              <w:jc w:val="center"/>
              <w:rPr>
                <w:rFonts w:hint="eastAsia" w:ascii="宋体" w:hAnsi="宋体"/>
                <w:color w:val="000000"/>
                <w:szCs w:val="21"/>
              </w:rPr>
            </w:pPr>
            <w:r>
              <w:rPr>
                <w:rFonts w:hint="eastAsia" w:ascii="宋体" w:hAnsi="宋体"/>
                <w:color w:val="000000"/>
                <w:szCs w:val="21"/>
              </w:rPr>
              <w:t>2.2.2</w:t>
            </w:r>
          </w:p>
          <w:p>
            <w:pPr>
              <w:ind w:right="113"/>
              <w:jc w:val="center"/>
              <w:rPr>
                <w:rFonts w:ascii="宋体"/>
                <w:b/>
                <w:bCs/>
              </w:rPr>
            </w:pPr>
            <w:r>
              <w:rPr>
                <w:rFonts w:hint="eastAsia" w:ascii="宋体" w:hAnsi="宋体"/>
                <w:color w:val="000000"/>
                <w:szCs w:val="21"/>
              </w:rPr>
              <w:t>（1）</w:t>
            </w:r>
          </w:p>
        </w:tc>
        <w:tc>
          <w:tcPr>
            <w:tcW w:w="1850" w:type="dxa"/>
            <w:gridSpan w:val="4"/>
            <w:vMerge w:val="restart"/>
            <w:tcBorders>
              <w:tl2br w:val="nil"/>
              <w:tr2bl w:val="nil"/>
            </w:tcBorders>
            <w:vAlign w:val="center"/>
          </w:tcPr>
          <w:p>
            <w:pPr>
              <w:spacing w:line="280" w:lineRule="exact"/>
              <w:ind w:left="42" w:leftChars="20" w:right="42" w:rightChars="20"/>
              <w:jc w:val="center"/>
              <w:rPr>
                <w:rFonts w:hint="eastAsia" w:ascii="宋体" w:hAnsi="宋体"/>
                <w:color w:val="000000"/>
                <w:szCs w:val="21"/>
              </w:rPr>
            </w:pPr>
            <w:r>
              <w:rPr>
                <w:rFonts w:hint="eastAsia" w:ascii="宋体" w:hAnsi="宋体"/>
                <w:color w:val="000000"/>
                <w:szCs w:val="21"/>
              </w:rPr>
              <w:t>施工组织设计</w:t>
            </w:r>
          </w:p>
          <w:p>
            <w:pPr>
              <w:spacing w:line="280" w:lineRule="exact"/>
              <w:ind w:left="42" w:leftChars="20" w:right="42" w:rightChars="20"/>
              <w:jc w:val="center"/>
              <w:rPr>
                <w:rFonts w:ascii="宋体"/>
              </w:rPr>
            </w:pPr>
            <w:r>
              <w:rPr>
                <w:rFonts w:hint="eastAsia" w:ascii="宋体" w:hAnsi="宋体"/>
                <w:color w:val="000000"/>
                <w:szCs w:val="21"/>
              </w:rPr>
              <w:t>（</w:t>
            </w:r>
            <w:r>
              <w:rPr>
                <w:rFonts w:hint="eastAsia" w:ascii="宋体" w:hAnsi="宋体"/>
                <w:color w:val="000000"/>
                <w:szCs w:val="21"/>
                <w:lang w:val="en-US" w:eastAsia="zh-CN"/>
              </w:rPr>
              <w:t>40</w:t>
            </w:r>
            <w:r>
              <w:rPr>
                <w:rFonts w:hint="eastAsia" w:ascii="宋体" w:hAnsi="宋体"/>
                <w:color w:val="000000"/>
                <w:szCs w:val="21"/>
              </w:rPr>
              <w:t>分）</w:t>
            </w:r>
          </w:p>
        </w:tc>
        <w:tc>
          <w:tcPr>
            <w:tcW w:w="1666" w:type="dxa"/>
            <w:tcBorders>
              <w:tl2br w:val="nil"/>
              <w:tr2bl w:val="nil"/>
            </w:tcBorders>
            <w:vAlign w:val="center"/>
          </w:tcPr>
          <w:p>
            <w:pPr>
              <w:ind w:right="120" w:rightChars="57"/>
              <w:jc w:val="center"/>
              <w:rPr>
                <w:rFonts w:ascii="宋体"/>
              </w:rPr>
            </w:pPr>
            <w:r>
              <w:rPr>
                <w:rFonts w:hint="eastAsia" w:ascii="宋体" w:cs="宋体"/>
                <w:color w:val="000000"/>
                <w:szCs w:val="21"/>
              </w:rPr>
              <w:t>总体施工组织布置及规划</w:t>
            </w:r>
          </w:p>
        </w:tc>
        <w:tc>
          <w:tcPr>
            <w:tcW w:w="1640" w:type="dxa"/>
            <w:tcBorders>
              <w:tl2br w:val="nil"/>
              <w:tr2bl w:val="nil"/>
            </w:tcBorders>
            <w:vAlign w:val="center"/>
          </w:tcPr>
          <w:p>
            <w:pPr>
              <w:ind w:right="-108" w:rightChars="0"/>
              <w:jc w:val="center"/>
              <w:rPr>
                <w:rFonts w:ascii="宋体"/>
              </w:rPr>
            </w:pPr>
            <w:r>
              <w:rPr>
                <w:rFonts w:hint="eastAsia" w:ascii="宋体" w:cs="宋体"/>
                <w:color w:val="000000"/>
                <w:szCs w:val="21"/>
              </w:rPr>
              <w:t>8分</w:t>
            </w:r>
          </w:p>
        </w:tc>
        <w:tc>
          <w:tcPr>
            <w:tcW w:w="3343" w:type="dxa"/>
            <w:tcBorders>
              <w:tl2br w:val="nil"/>
              <w:tr2bl w:val="nil"/>
            </w:tcBorders>
            <w:vAlign w:val="center"/>
          </w:tcPr>
          <w:p>
            <w:pPr>
              <w:ind w:right="83" w:rightChars="0"/>
              <w:rPr>
                <w:rFonts w:ascii="宋体"/>
              </w:rPr>
            </w:pPr>
            <w:r>
              <w:rPr>
                <w:rFonts w:hint="eastAsia" w:ascii="宋体" w:cs="宋体"/>
                <w:color w:val="000000"/>
                <w:szCs w:val="21"/>
              </w:rPr>
              <w:t>内容齐全、充分考虑本工程水域地质条件和气候、环境因素、总体进度计划合理(含劳动力布置)、工程网络图和斜率图绘制正确，各施工工艺、工序说明详细、齐全、组织设计科学。优秀计8~7分，良好计6~5分，一般计4~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5" w:hRule="exact"/>
          <w:jc w:val="center"/>
        </w:trPr>
        <w:tc>
          <w:tcPr>
            <w:tcW w:w="600" w:type="dxa"/>
            <w:vMerge w:val="continue"/>
            <w:tcBorders>
              <w:tl2br w:val="nil"/>
              <w:tr2bl w:val="nil"/>
            </w:tcBorders>
            <w:vAlign w:val="center"/>
          </w:tcPr>
          <w:p>
            <w:pPr>
              <w:spacing w:line="360" w:lineRule="exact"/>
              <w:jc w:val="center"/>
              <w:rPr>
                <w:rFonts w:ascii="宋体"/>
                <w:b/>
                <w:bCs/>
              </w:rPr>
            </w:pPr>
          </w:p>
        </w:tc>
        <w:tc>
          <w:tcPr>
            <w:tcW w:w="1850" w:type="dxa"/>
            <w:gridSpan w:val="4"/>
            <w:vMerge w:val="continue"/>
            <w:tcBorders>
              <w:tl2br w:val="nil"/>
              <w:tr2bl w:val="nil"/>
            </w:tcBorders>
            <w:vAlign w:val="center"/>
          </w:tcPr>
          <w:p>
            <w:pPr>
              <w:spacing w:line="288" w:lineRule="auto"/>
              <w:ind w:left="42" w:leftChars="20" w:right="42" w:rightChars="20" w:firstLine="210" w:firstLineChars="100"/>
              <w:jc w:val="center"/>
              <w:rPr>
                <w:rFonts w:ascii="宋体"/>
                <w:u w:val="single"/>
              </w:rPr>
            </w:pPr>
          </w:p>
        </w:tc>
        <w:tc>
          <w:tcPr>
            <w:tcW w:w="1666" w:type="dxa"/>
            <w:tcBorders>
              <w:tl2br w:val="nil"/>
              <w:tr2bl w:val="nil"/>
            </w:tcBorders>
            <w:vAlign w:val="center"/>
          </w:tcPr>
          <w:p>
            <w:pPr>
              <w:ind w:right="120" w:rightChars="57"/>
              <w:jc w:val="center"/>
              <w:rPr>
                <w:rFonts w:ascii="宋体"/>
              </w:rPr>
            </w:pPr>
            <w:r>
              <w:rPr>
                <w:rFonts w:hint="eastAsia" w:ascii="宋体" w:cs="宋体"/>
                <w:color w:val="000000"/>
                <w:szCs w:val="21"/>
              </w:rPr>
              <w:t>主要工程项目的施工方案、方法与技术措施</w:t>
            </w:r>
          </w:p>
        </w:tc>
        <w:tc>
          <w:tcPr>
            <w:tcW w:w="1640" w:type="dxa"/>
            <w:tcBorders>
              <w:tl2br w:val="nil"/>
              <w:tr2bl w:val="nil"/>
            </w:tcBorders>
            <w:vAlign w:val="center"/>
          </w:tcPr>
          <w:p>
            <w:pPr>
              <w:ind w:right="-108" w:rightChars="0"/>
              <w:jc w:val="center"/>
              <w:rPr>
                <w:rFonts w:ascii="宋体"/>
              </w:rPr>
            </w:pPr>
            <w:r>
              <w:rPr>
                <w:rFonts w:hint="eastAsia" w:ascii="宋体" w:cs="宋体"/>
                <w:color w:val="000000"/>
                <w:szCs w:val="21"/>
              </w:rPr>
              <w:t>8分</w:t>
            </w:r>
          </w:p>
        </w:tc>
        <w:tc>
          <w:tcPr>
            <w:tcW w:w="3343" w:type="dxa"/>
            <w:tcBorders>
              <w:tl2br w:val="nil"/>
              <w:tr2bl w:val="nil"/>
            </w:tcBorders>
            <w:vAlign w:val="center"/>
          </w:tcPr>
          <w:p>
            <w:pPr>
              <w:ind w:right="83" w:rightChars="0"/>
              <w:rPr>
                <w:rFonts w:ascii="宋体"/>
              </w:rPr>
            </w:pPr>
            <w:r>
              <w:rPr>
                <w:rFonts w:hint="eastAsia" w:ascii="宋体" w:cs="宋体"/>
                <w:color w:val="000000"/>
                <w:szCs w:val="21"/>
              </w:rPr>
              <w:t>主要工程项目的施工方案清晰、施工方法先进、可行，并充分考虑本工程水域地质条件和气候、环境因素，能结合本项目的特点、难点，对施工具有高度的指导性。优秀计8~7分，良好计6~5分，一般计4~3分。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3" w:hRule="exact"/>
          <w:jc w:val="center"/>
        </w:trPr>
        <w:tc>
          <w:tcPr>
            <w:tcW w:w="600" w:type="dxa"/>
            <w:vMerge w:val="continue"/>
            <w:tcBorders>
              <w:tl2br w:val="nil"/>
              <w:tr2bl w:val="nil"/>
            </w:tcBorders>
            <w:vAlign w:val="center"/>
          </w:tcPr>
          <w:p>
            <w:pPr>
              <w:spacing w:line="360" w:lineRule="exact"/>
              <w:jc w:val="center"/>
              <w:rPr>
                <w:rFonts w:ascii="宋体"/>
                <w:b/>
                <w:bCs/>
              </w:rPr>
            </w:pPr>
          </w:p>
        </w:tc>
        <w:tc>
          <w:tcPr>
            <w:tcW w:w="1850" w:type="dxa"/>
            <w:gridSpan w:val="4"/>
            <w:vMerge w:val="continue"/>
            <w:tcBorders>
              <w:tl2br w:val="nil"/>
              <w:tr2bl w:val="nil"/>
            </w:tcBorders>
            <w:vAlign w:val="center"/>
          </w:tcPr>
          <w:p>
            <w:pPr>
              <w:spacing w:line="288" w:lineRule="auto"/>
              <w:ind w:left="42" w:leftChars="20" w:right="42" w:rightChars="20" w:firstLine="210" w:firstLineChars="100"/>
              <w:jc w:val="center"/>
              <w:rPr>
                <w:rFonts w:ascii="宋体"/>
                <w:u w:val="single"/>
              </w:rPr>
            </w:pPr>
          </w:p>
        </w:tc>
        <w:tc>
          <w:tcPr>
            <w:tcW w:w="1666" w:type="dxa"/>
            <w:tcBorders>
              <w:tl2br w:val="nil"/>
              <w:tr2bl w:val="nil"/>
            </w:tcBorders>
            <w:vAlign w:val="center"/>
          </w:tcPr>
          <w:p>
            <w:pPr>
              <w:ind w:right="120" w:rightChars="57"/>
              <w:jc w:val="center"/>
              <w:rPr>
                <w:rFonts w:ascii="宋体"/>
              </w:rPr>
            </w:pPr>
            <w:r>
              <w:rPr>
                <w:rFonts w:hint="eastAsia" w:ascii="宋体" w:cs="宋体"/>
                <w:color w:val="000000"/>
                <w:szCs w:val="21"/>
              </w:rPr>
              <w:t>工期保证体系及保证措施</w:t>
            </w:r>
          </w:p>
        </w:tc>
        <w:tc>
          <w:tcPr>
            <w:tcW w:w="1640" w:type="dxa"/>
            <w:tcBorders>
              <w:tl2br w:val="nil"/>
              <w:tr2bl w:val="nil"/>
            </w:tcBorders>
            <w:vAlign w:val="center"/>
          </w:tcPr>
          <w:p>
            <w:pPr>
              <w:ind w:right="-108" w:rightChars="0"/>
              <w:jc w:val="center"/>
              <w:rPr>
                <w:rFonts w:ascii="宋体"/>
              </w:rPr>
            </w:pPr>
            <w:r>
              <w:rPr>
                <w:rFonts w:hint="eastAsia" w:ascii="宋体" w:cs="宋体"/>
                <w:color w:val="000000"/>
                <w:szCs w:val="21"/>
              </w:rPr>
              <w:t>4分</w:t>
            </w:r>
          </w:p>
        </w:tc>
        <w:tc>
          <w:tcPr>
            <w:tcW w:w="3343" w:type="dxa"/>
            <w:tcBorders>
              <w:tl2br w:val="nil"/>
              <w:tr2bl w:val="nil"/>
            </w:tcBorders>
            <w:vAlign w:val="center"/>
          </w:tcPr>
          <w:p>
            <w:pPr>
              <w:ind w:right="83" w:rightChars="0"/>
              <w:rPr>
                <w:rFonts w:ascii="宋体"/>
              </w:rPr>
            </w:pPr>
            <w:r>
              <w:rPr>
                <w:rFonts w:hint="eastAsia" w:ascii="宋体" w:cs="宋体"/>
                <w:color w:val="000000"/>
                <w:szCs w:val="21"/>
              </w:rPr>
              <w:t>工期安排合理，明确提出保障工期的措施，且控制措施得当，对本工程水域地形地貌特征、重点工序、汛期等问题有切实可行的应对或应急方案，确保按时完工或提前完工可靠性高。优秀计4~3分，良好计2分，一般计1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2" w:hRule="exact"/>
          <w:jc w:val="center"/>
        </w:trPr>
        <w:tc>
          <w:tcPr>
            <w:tcW w:w="600" w:type="dxa"/>
            <w:vMerge w:val="continue"/>
            <w:tcBorders>
              <w:tl2br w:val="nil"/>
              <w:tr2bl w:val="nil"/>
            </w:tcBorders>
            <w:vAlign w:val="center"/>
          </w:tcPr>
          <w:p>
            <w:pPr>
              <w:spacing w:line="360" w:lineRule="exact"/>
              <w:jc w:val="center"/>
              <w:rPr>
                <w:rFonts w:ascii="宋体"/>
                <w:b/>
                <w:bCs/>
              </w:rPr>
            </w:pPr>
          </w:p>
        </w:tc>
        <w:tc>
          <w:tcPr>
            <w:tcW w:w="1850" w:type="dxa"/>
            <w:gridSpan w:val="4"/>
            <w:vMerge w:val="continue"/>
            <w:tcBorders>
              <w:tl2br w:val="nil"/>
              <w:tr2bl w:val="nil"/>
            </w:tcBorders>
            <w:vAlign w:val="center"/>
          </w:tcPr>
          <w:p>
            <w:pPr>
              <w:spacing w:line="288" w:lineRule="auto"/>
              <w:ind w:left="42" w:leftChars="20" w:right="42" w:rightChars="20" w:firstLine="210" w:firstLineChars="100"/>
              <w:jc w:val="center"/>
              <w:rPr>
                <w:rFonts w:ascii="宋体"/>
                <w:u w:val="single"/>
              </w:rPr>
            </w:pPr>
          </w:p>
        </w:tc>
        <w:tc>
          <w:tcPr>
            <w:tcW w:w="1666" w:type="dxa"/>
            <w:tcBorders>
              <w:tl2br w:val="nil"/>
              <w:tr2bl w:val="nil"/>
            </w:tcBorders>
            <w:vAlign w:val="center"/>
          </w:tcPr>
          <w:p>
            <w:pPr>
              <w:ind w:right="120" w:rightChars="57"/>
              <w:jc w:val="center"/>
              <w:rPr>
                <w:rFonts w:ascii="宋体"/>
              </w:rPr>
            </w:pPr>
            <w:r>
              <w:rPr>
                <w:rFonts w:hint="eastAsia" w:ascii="宋体" w:cs="宋体"/>
                <w:color w:val="000000"/>
                <w:szCs w:val="21"/>
              </w:rPr>
              <w:t>工程质量管理体系及保证措施</w:t>
            </w:r>
          </w:p>
        </w:tc>
        <w:tc>
          <w:tcPr>
            <w:tcW w:w="1640" w:type="dxa"/>
            <w:tcBorders>
              <w:tl2br w:val="nil"/>
              <w:tr2bl w:val="nil"/>
            </w:tcBorders>
            <w:vAlign w:val="center"/>
          </w:tcPr>
          <w:p>
            <w:pPr>
              <w:ind w:right="-108" w:rightChars="0"/>
              <w:jc w:val="center"/>
              <w:rPr>
                <w:rFonts w:ascii="宋体"/>
              </w:rPr>
            </w:pPr>
            <w:r>
              <w:rPr>
                <w:rFonts w:hint="eastAsia" w:ascii="宋体" w:cs="宋体"/>
                <w:color w:val="000000"/>
                <w:szCs w:val="21"/>
              </w:rPr>
              <w:t>4分</w:t>
            </w:r>
          </w:p>
        </w:tc>
        <w:tc>
          <w:tcPr>
            <w:tcW w:w="3343" w:type="dxa"/>
            <w:tcBorders>
              <w:tl2br w:val="nil"/>
              <w:tr2bl w:val="nil"/>
            </w:tcBorders>
            <w:vAlign w:val="center"/>
          </w:tcPr>
          <w:p>
            <w:pPr>
              <w:ind w:right="83" w:rightChars="0"/>
              <w:rPr>
                <w:rFonts w:ascii="宋体"/>
              </w:rPr>
            </w:pPr>
            <w:r>
              <w:rPr>
                <w:rFonts w:hint="eastAsia" w:ascii="宋体" w:cs="宋体"/>
                <w:color w:val="000000"/>
                <w:szCs w:val="21"/>
              </w:rPr>
              <w:t>质量管理方面的措施具体有效、有独创性、有明确管理目标，管理体系、组织措施功能完善，质量管理措施有较强的针对性和可操作性；技术、工艺上的措施针对消除质量通病、保证工程内在质量、提高外观质量等方面采取有效的措施。优秀计4~3分，良好计2分，一般计1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3" w:hRule="exact"/>
          <w:jc w:val="center"/>
        </w:trPr>
        <w:tc>
          <w:tcPr>
            <w:tcW w:w="600" w:type="dxa"/>
            <w:vMerge w:val="continue"/>
            <w:tcBorders>
              <w:tl2br w:val="nil"/>
              <w:tr2bl w:val="nil"/>
            </w:tcBorders>
            <w:vAlign w:val="center"/>
          </w:tcPr>
          <w:p>
            <w:pPr>
              <w:spacing w:line="360" w:lineRule="exact"/>
              <w:jc w:val="center"/>
              <w:rPr>
                <w:rFonts w:ascii="宋体"/>
                <w:b/>
                <w:bCs/>
              </w:rPr>
            </w:pPr>
          </w:p>
        </w:tc>
        <w:tc>
          <w:tcPr>
            <w:tcW w:w="1850" w:type="dxa"/>
            <w:gridSpan w:val="4"/>
            <w:vMerge w:val="continue"/>
            <w:tcBorders>
              <w:tl2br w:val="nil"/>
              <w:tr2bl w:val="nil"/>
            </w:tcBorders>
            <w:vAlign w:val="center"/>
          </w:tcPr>
          <w:p>
            <w:pPr>
              <w:spacing w:line="288" w:lineRule="auto"/>
              <w:ind w:left="42" w:leftChars="20" w:right="42" w:rightChars="20" w:firstLine="210" w:firstLineChars="100"/>
              <w:jc w:val="center"/>
              <w:rPr>
                <w:rFonts w:ascii="宋体"/>
                <w:u w:val="single"/>
              </w:rPr>
            </w:pPr>
          </w:p>
        </w:tc>
        <w:tc>
          <w:tcPr>
            <w:tcW w:w="1666" w:type="dxa"/>
            <w:tcBorders>
              <w:tl2br w:val="nil"/>
              <w:tr2bl w:val="nil"/>
            </w:tcBorders>
            <w:vAlign w:val="center"/>
          </w:tcPr>
          <w:p>
            <w:pPr>
              <w:ind w:right="120" w:rightChars="57"/>
              <w:jc w:val="center"/>
              <w:rPr>
                <w:rFonts w:ascii="宋体"/>
              </w:rPr>
            </w:pPr>
            <w:r>
              <w:rPr>
                <w:rFonts w:hint="eastAsia" w:ascii="宋体" w:cs="宋体"/>
                <w:color w:val="000000"/>
                <w:szCs w:val="21"/>
              </w:rPr>
              <w:t>安全生产管理体系及保证措施</w:t>
            </w:r>
          </w:p>
        </w:tc>
        <w:tc>
          <w:tcPr>
            <w:tcW w:w="1640" w:type="dxa"/>
            <w:tcBorders>
              <w:tl2br w:val="nil"/>
              <w:tr2bl w:val="nil"/>
            </w:tcBorders>
            <w:vAlign w:val="center"/>
          </w:tcPr>
          <w:p>
            <w:pPr>
              <w:ind w:right="-108" w:rightChars="0"/>
              <w:jc w:val="center"/>
              <w:rPr>
                <w:rFonts w:ascii="宋体"/>
              </w:rPr>
            </w:pPr>
            <w:r>
              <w:rPr>
                <w:rFonts w:hint="eastAsia" w:ascii="宋体" w:cs="宋体"/>
                <w:color w:val="000000"/>
                <w:szCs w:val="21"/>
              </w:rPr>
              <w:t>4分</w:t>
            </w:r>
          </w:p>
        </w:tc>
        <w:tc>
          <w:tcPr>
            <w:tcW w:w="3343" w:type="dxa"/>
            <w:tcBorders>
              <w:tl2br w:val="nil"/>
              <w:tr2bl w:val="nil"/>
            </w:tcBorders>
            <w:vAlign w:val="center"/>
          </w:tcPr>
          <w:p>
            <w:pPr>
              <w:ind w:right="83" w:rightChars="0"/>
              <w:rPr>
                <w:rFonts w:ascii="宋体"/>
              </w:rPr>
            </w:pPr>
            <w:r>
              <w:rPr>
                <w:rFonts w:hint="eastAsia" w:ascii="宋体" w:cs="宋体"/>
                <w:color w:val="000000"/>
                <w:szCs w:val="21"/>
              </w:rPr>
              <w:t>保证措施制度健全、合理，责任落实。优秀计4分，良好计3~2分，一般计1分。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0" w:hRule="exact"/>
          <w:jc w:val="center"/>
        </w:trPr>
        <w:tc>
          <w:tcPr>
            <w:tcW w:w="600" w:type="dxa"/>
            <w:vMerge w:val="continue"/>
            <w:tcBorders>
              <w:tl2br w:val="nil"/>
              <w:tr2bl w:val="nil"/>
            </w:tcBorders>
            <w:vAlign w:val="center"/>
          </w:tcPr>
          <w:p>
            <w:pPr>
              <w:spacing w:line="360" w:lineRule="exact"/>
              <w:jc w:val="center"/>
              <w:rPr>
                <w:rFonts w:ascii="宋体"/>
                <w:b/>
                <w:bCs/>
              </w:rPr>
            </w:pPr>
          </w:p>
        </w:tc>
        <w:tc>
          <w:tcPr>
            <w:tcW w:w="1850" w:type="dxa"/>
            <w:gridSpan w:val="4"/>
            <w:vMerge w:val="continue"/>
            <w:tcBorders>
              <w:tl2br w:val="nil"/>
              <w:tr2bl w:val="nil"/>
            </w:tcBorders>
            <w:vAlign w:val="center"/>
          </w:tcPr>
          <w:p>
            <w:pPr>
              <w:spacing w:line="288" w:lineRule="auto"/>
              <w:ind w:left="42" w:leftChars="20" w:right="42" w:rightChars="20" w:firstLine="210" w:firstLineChars="100"/>
              <w:jc w:val="center"/>
              <w:rPr>
                <w:rFonts w:ascii="宋体"/>
              </w:rPr>
            </w:pPr>
          </w:p>
        </w:tc>
        <w:tc>
          <w:tcPr>
            <w:tcW w:w="1666" w:type="dxa"/>
            <w:tcBorders>
              <w:tl2br w:val="nil"/>
              <w:tr2bl w:val="nil"/>
            </w:tcBorders>
            <w:vAlign w:val="center"/>
          </w:tcPr>
          <w:p>
            <w:pPr>
              <w:ind w:right="120" w:rightChars="57"/>
              <w:jc w:val="center"/>
              <w:rPr>
                <w:rFonts w:ascii="宋体"/>
              </w:rPr>
            </w:pPr>
            <w:r>
              <w:rPr>
                <w:rFonts w:hint="eastAsia" w:ascii="宋体" w:cs="宋体"/>
                <w:color w:val="000000"/>
                <w:szCs w:val="21"/>
              </w:rPr>
              <w:t>环境保护、水土保持保证体系及保证措施</w:t>
            </w:r>
          </w:p>
        </w:tc>
        <w:tc>
          <w:tcPr>
            <w:tcW w:w="1640" w:type="dxa"/>
            <w:tcBorders>
              <w:tl2br w:val="nil"/>
              <w:tr2bl w:val="nil"/>
            </w:tcBorders>
            <w:vAlign w:val="center"/>
          </w:tcPr>
          <w:p>
            <w:pPr>
              <w:ind w:right="-108" w:rightChars="0"/>
              <w:jc w:val="center"/>
              <w:rPr>
                <w:rFonts w:ascii="宋体"/>
              </w:rPr>
            </w:pPr>
            <w:r>
              <w:rPr>
                <w:rFonts w:hint="eastAsia" w:ascii="宋体" w:cs="宋体"/>
                <w:color w:val="000000"/>
                <w:szCs w:val="21"/>
              </w:rPr>
              <w:t>3分</w:t>
            </w:r>
          </w:p>
        </w:tc>
        <w:tc>
          <w:tcPr>
            <w:tcW w:w="3343" w:type="dxa"/>
            <w:tcBorders>
              <w:tl2br w:val="nil"/>
              <w:tr2bl w:val="nil"/>
            </w:tcBorders>
            <w:vAlign w:val="center"/>
          </w:tcPr>
          <w:p>
            <w:pPr>
              <w:ind w:right="83" w:rightChars="0"/>
              <w:rPr>
                <w:rFonts w:ascii="宋体"/>
              </w:rPr>
            </w:pPr>
            <w:r>
              <w:rPr>
                <w:rFonts w:hint="eastAsia" w:ascii="宋体" w:cs="宋体"/>
                <w:color w:val="000000"/>
                <w:szCs w:val="21"/>
              </w:rPr>
              <w:t>保证措施制度健全、合理，责任落实。优秀计3分，良好计2分，一般计1分。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1" w:hRule="exact"/>
          <w:jc w:val="center"/>
        </w:trPr>
        <w:tc>
          <w:tcPr>
            <w:tcW w:w="600" w:type="dxa"/>
            <w:vMerge w:val="continue"/>
            <w:tcBorders>
              <w:tl2br w:val="nil"/>
              <w:tr2bl w:val="nil"/>
            </w:tcBorders>
            <w:vAlign w:val="center"/>
          </w:tcPr>
          <w:p>
            <w:pPr>
              <w:spacing w:line="360" w:lineRule="exact"/>
              <w:jc w:val="center"/>
              <w:rPr>
                <w:rFonts w:ascii="宋体"/>
                <w:b/>
                <w:bCs/>
              </w:rPr>
            </w:pPr>
          </w:p>
        </w:tc>
        <w:tc>
          <w:tcPr>
            <w:tcW w:w="1850" w:type="dxa"/>
            <w:gridSpan w:val="4"/>
            <w:vMerge w:val="continue"/>
            <w:tcBorders>
              <w:tl2br w:val="nil"/>
              <w:tr2bl w:val="nil"/>
            </w:tcBorders>
            <w:vAlign w:val="center"/>
          </w:tcPr>
          <w:p>
            <w:pPr>
              <w:spacing w:line="288" w:lineRule="auto"/>
              <w:ind w:left="42" w:leftChars="20" w:right="42" w:rightChars="20" w:firstLine="210" w:firstLineChars="100"/>
              <w:jc w:val="center"/>
              <w:rPr>
                <w:rFonts w:ascii="宋体"/>
              </w:rPr>
            </w:pPr>
          </w:p>
        </w:tc>
        <w:tc>
          <w:tcPr>
            <w:tcW w:w="1666" w:type="dxa"/>
            <w:tcBorders>
              <w:tl2br w:val="nil"/>
              <w:tr2bl w:val="nil"/>
            </w:tcBorders>
            <w:vAlign w:val="center"/>
          </w:tcPr>
          <w:p>
            <w:pPr>
              <w:ind w:right="120" w:rightChars="57"/>
              <w:jc w:val="center"/>
              <w:rPr>
                <w:rFonts w:ascii="宋体"/>
              </w:rPr>
            </w:pPr>
            <w:r>
              <w:rPr>
                <w:rFonts w:hint="eastAsia" w:ascii="宋体" w:cs="宋体"/>
                <w:color w:val="000000"/>
                <w:szCs w:val="21"/>
              </w:rPr>
              <w:t>文明施工、文物保护保证体系及保证措施</w:t>
            </w:r>
          </w:p>
        </w:tc>
        <w:tc>
          <w:tcPr>
            <w:tcW w:w="1640" w:type="dxa"/>
            <w:tcBorders>
              <w:tl2br w:val="nil"/>
              <w:tr2bl w:val="nil"/>
            </w:tcBorders>
            <w:vAlign w:val="center"/>
          </w:tcPr>
          <w:p>
            <w:pPr>
              <w:ind w:right="-108" w:rightChars="0"/>
              <w:jc w:val="center"/>
              <w:rPr>
                <w:rFonts w:ascii="宋体"/>
              </w:rPr>
            </w:pPr>
            <w:r>
              <w:rPr>
                <w:rFonts w:hint="eastAsia" w:ascii="宋体" w:cs="宋体"/>
                <w:color w:val="000000"/>
                <w:szCs w:val="21"/>
              </w:rPr>
              <w:t>2分</w:t>
            </w:r>
          </w:p>
        </w:tc>
        <w:tc>
          <w:tcPr>
            <w:tcW w:w="3343" w:type="dxa"/>
            <w:tcBorders>
              <w:tl2br w:val="nil"/>
              <w:tr2bl w:val="nil"/>
            </w:tcBorders>
            <w:vAlign w:val="center"/>
          </w:tcPr>
          <w:p>
            <w:pPr>
              <w:ind w:right="83" w:rightChars="0"/>
              <w:rPr>
                <w:rFonts w:ascii="宋体"/>
              </w:rPr>
            </w:pPr>
            <w:r>
              <w:rPr>
                <w:rFonts w:hint="eastAsia" w:ascii="宋体" w:cs="宋体"/>
                <w:color w:val="000000"/>
                <w:szCs w:val="21"/>
              </w:rPr>
              <w:t>保证措施制度健全、合理，责任落实。优秀计2分，良好计1.5分，一般计1分。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2" w:hRule="exact"/>
          <w:jc w:val="center"/>
        </w:trPr>
        <w:tc>
          <w:tcPr>
            <w:tcW w:w="600" w:type="dxa"/>
            <w:vMerge w:val="continue"/>
            <w:tcBorders>
              <w:tl2br w:val="nil"/>
              <w:tr2bl w:val="nil"/>
            </w:tcBorders>
            <w:vAlign w:val="center"/>
          </w:tcPr>
          <w:p>
            <w:pPr>
              <w:spacing w:line="360" w:lineRule="exact"/>
              <w:jc w:val="center"/>
              <w:rPr>
                <w:rFonts w:ascii="宋体"/>
                <w:b/>
                <w:bCs/>
              </w:rPr>
            </w:pPr>
          </w:p>
        </w:tc>
        <w:tc>
          <w:tcPr>
            <w:tcW w:w="1850" w:type="dxa"/>
            <w:gridSpan w:val="4"/>
            <w:vMerge w:val="continue"/>
            <w:tcBorders>
              <w:tl2br w:val="nil"/>
              <w:tr2bl w:val="nil"/>
            </w:tcBorders>
            <w:vAlign w:val="center"/>
          </w:tcPr>
          <w:p>
            <w:pPr>
              <w:spacing w:line="288" w:lineRule="auto"/>
              <w:ind w:left="42" w:leftChars="20" w:right="42" w:rightChars="20" w:firstLine="210" w:firstLineChars="100"/>
              <w:jc w:val="center"/>
              <w:rPr>
                <w:rFonts w:ascii="宋体"/>
              </w:rPr>
            </w:pPr>
          </w:p>
        </w:tc>
        <w:tc>
          <w:tcPr>
            <w:tcW w:w="1666" w:type="dxa"/>
            <w:tcBorders>
              <w:tl2br w:val="nil"/>
              <w:tr2bl w:val="nil"/>
            </w:tcBorders>
            <w:vAlign w:val="center"/>
          </w:tcPr>
          <w:p>
            <w:pPr>
              <w:ind w:right="120" w:rightChars="57"/>
              <w:jc w:val="center"/>
              <w:rPr>
                <w:rFonts w:ascii="宋体"/>
              </w:rPr>
            </w:pPr>
            <w:r>
              <w:rPr>
                <w:rFonts w:hint="eastAsia" w:ascii="宋体" w:cs="宋体"/>
                <w:color w:val="000000"/>
                <w:szCs w:val="21"/>
              </w:rPr>
              <w:t>项目风险预测与防范，事故应急预案</w:t>
            </w:r>
          </w:p>
        </w:tc>
        <w:tc>
          <w:tcPr>
            <w:tcW w:w="1640" w:type="dxa"/>
            <w:tcBorders>
              <w:tl2br w:val="nil"/>
              <w:tr2bl w:val="nil"/>
            </w:tcBorders>
            <w:vAlign w:val="center"/>
          </w:tcPr>
          <w:p>
            <w:pPr>
              <w:ind w:right="-108" w:rightChars="0"/>
              <w:jc w:val="center"/>
              <w:rPr>
                <w:rFonts w:ascii="宋体"/>
              </w:rPr>
            </w:pPr>
            <w:r>
              <w:rPr>
                <w:rFonts w:hint="eastAsia" w:ascii="宋体" w:cs="宋体"/>
                <w:color w:val="000000"/>
                <w:szCs w:val="21"/>
                <w:lang w:val="en-US" w:eastAsia="zh-CN"/>
              </w:rPr>
              <w:t>6</w:t>
            </w:r>
            <w:r>
              <w:rPr>
                <w:rFonts w:hint="eastAsia" w:ascii="宋体" w:cs="宋体"/>
                <w:color w:val="000000"/>
                <w:szCs w:val="21"/>
              </w:rPr>
              <w:t>分</w:t>
            </w:r>
          </w:p>
        </w:tc>
        <w:tc>
          <w:tcPr>
            <w:tcW w:w="3343" w:type="dxa"/>
            <w:tcBorders>
              <w:tl2br w:val="nil"/>
              <w:tr2bl w:val="nil"/>
            </w:tcBorders>
            <w:vAlign w:val="center"/>
          </w:tcPr>
          <w:p>
            <w:pPr>
              <w:ind w:right="83" w:rightChars="0"/>
              <w:rPr>
                <w:rFonts w:ascii="宋体"/>
              </w:rPr>
            </w:pPr>
            <w:r>
              <w:rPr>
                <w:rFonts w:hint="eastAsia" w:ascii="宋体" w:cs="宋体"/>
                <w:color w:val="000000"/>
                <w:szCs w:val="21"/>
              </w:rPr>
              <w:t>保证措施制度健全、合理，责任落实。优秀计</w:t>
            </w:r>
            <w:r>
              <w:rPr>
                <w:rFonts w:hint="eastAsia" w:ascii="宋体" w:cs="宋体"/>
                <w:color w:val="000000"/>
                <w:szCs w:val="21"/>
                <w:lang w:val="en-US" w:eastAsia="zh-CN"/>
              </w:rPr>
              <w:t>6－5</w:t>
            </w:r>
            <w:r>
              <w:rPr>
                <w:rFonts w:hint="eastAsia" w:ascii="宋体" w:cs="宋体"/>
                <w:color w:val="000000"/>
                <w:szCs w:val="21"/>
              </w:rPr>
              <w:t>分，良好计</w:t>
            </w:r>
            <w:r>
              <w:rPr>
                <w:rFonts w:hint="eastAsia" w:ascii="宋体" w:cs="宋体"/>
                <w:color w:val="000000"/>
                <w:szCs w:val="21"/>
                <w:lang w:val="en-US" w:eastAsia="zh-CN"/>
              </w:rPr>
              <w:t>4－3</w:t>
            </w:r>
            <w:r>
              <w:rPr>
                <w:rFonts w:hint="eastAsia" w:ascii="宋体" w:cs="宋体"/>
                <w:color w:val="000000"/>
                <w:szCs w:val="21"/>
              </w:rPr>
              <w:t>分，一般计</w:t>
            </w:r>
            <w:r>
              <w:rPr>
                <w:rFonts w:hint="eastAsia" w:ascii="宋体" w:cs="宋体"/>
                <w:color w:val="000000"/>
                <w:szCs w:val="21"/>
                <w:lang w:val="en-US" w:eastAsia="zh-CN"/>
              </w:rPr>
              <w:t>2－1</w:t>
            </w:r>
            <w:r>
              <w:rPr>
                <w:rFonts w:hint="eastAsia" w:ascii="宋体" w:cs="宋体"/>
                <w:color w:val="000000"/>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1408" w:type="dxa"/>
            <w:gridSpan w:val="2"/>
            <w:vMerge w:val="restart"/>
            <w:tcBorders>
              <w:tl2br w:val="nil"/>
              <w:tr2bl w:val="nil"/>
            </w:tcBorders>
            <w:vAlign w:val="center"/>
          </w:tcPr>
          <w:p>
            <w:pPr>
              <w:spacing w:line="288" w:lineRule="auto"/>
              <w:ind w:left="42" w:leftChars="20" w:right="42" w:rightChars="20"/>
              <w:jc w:val="center"/>
              <w:rPr>
                <w:rFonts w:hint="eastAsia" w:ascii="宋体" w:eastAsia="宋体"/>
                <w:lang w:eastAsia="zh-CN"/>
              </w:rPr>
            </w:pPr>
            <w:r>
              <w:rPr>
                <w:rFonts w:hint="eastAsia" w:ascii="宋体" w:hAnsi="宋体"/>
                <w:color w:val="000000"/>
                <w:szCs w:val="21"/>
              </w:rPr>
              <w:t xml:space="preserve"> 2.2.2（2）</w:t>
            </w:r>
          </w:p>
        </w:tc>
        <w:tc>
          <w:tcPr>
            <w:tcW w:w="1042" w:type="dxa"/>
            <w:gridSpan w:val="3"/>
            <w:vMerge w:val="restart"/>
            <w:tcBorders>
              <w:tl2br w:val="nil"/>
              <w:tr2bl w:val="nil"/>
            </w:tcBorders>
            <w:vAlign w:val="center"/>
          </w:tcPr>
          <w:p>
            <w:pPr>
              <w:spacing w:line="280" w:lineRule="exact"/>
              <w:ind w:right="42" w:rightChars="20"/>
              <w:rPr>
                <w:rFonts w:ascii="宋体" w:hAnsi="宋体"/>
                <w:color w:val="000000"/>
                <w:szCs w:val="21"/>
              </w:rPr>
            </w:pPr>
            <w:r>
              <w:rPr>
                <w:rFonts w:hint="eastAsia" w:ascii="宋体" w:hAnsi="宋体"/>
                <w:color w:val="000000"/>
                <w:szCs w:val="21"/>
              </w:rPr>
              <w:t>主要人员</w:t>
            </w:r>
          </w:p>
          <w:p>
            <w:pPr>
              <w:spacing w:line="280" w:lineRule="exact"/>
              <w:ind w:right="42" w:rightChars="20"/>
              <w:rPr>
                <w:rFonts w:ascii="宋体"/>
              </w:rPr>
            </w:pPr>
            <w:r>
              <w:rPr>
                <w:rFonts w:hint="eastAsia" w:ascii="宋体" w:hAnsi="宋体"/>
                <w:color w:val="000000"/>
                <w:szCs w:val="21"/>
              </w:rPr>
              <w:t>（</w:t>
            </w:r>
            <w:r>
              <w:rPr>
                <w:rFonts w:hint="eastAsia" w:ascii="宋体" w:hAnsi="宋体"/>
                <w:color w:val="000000"/>
                <w:szCs w:val="21"/>
                <w:lang w:val="en-US" w:eastAsia="zh-CN"/>
              </w:rPr>
              <w:t>30</w:t>
            </w:r>
            <w:r>
              <w:rPr>
                <w:rFonts w:hint="eastAsia" w:ascii="宋体" w:hAnsi="宋体"/>
                <w:color w:val="000000"/>
                <w:szCs w:val="21"/>
              </w:rPr>
              <w:t>分）</w:t>
            </w:r>
          </w:p>
        </w:tc>
        <w:tc>
          <w:tcPr>
            <w:tcW w:w="1666" w:type="dxa"/>
            <w:tcBorders>
              <w:tl2br w:val="nil"/>
              <w:tr2bl w:val="nil"/>
            </w:tcBorders>
            <w:vAlign w:val="center"/>
          </w:tcPr>
          <w:p>
            <w:pPr>
              <w:ind w:right="120" w:rightChars="57"/>
              <w:jc w:val="center"/>
              <w:rPr>
                <w:rFonts w:ascii="宋体"/>
              </w:rPr>
            </w:pPr>
            <w:r>
              <w:rPr>
                <w:rFonts w:hint="eastAsia" w:ascii="宋体" w:cs="宋体"/>
                <w:color w:val="000000"/>
                <w:szCs w:val="21"/>
              </w:rPr>
              <w:t>项目经理任职资格</w:t>
            </w:r>
          </w:p>
        </w:tc>
        <w:tc>
          <w:tcPr>
            <w:tcW w:w="1640" w:type="dxa"/>
            <w:tcBorders>
              <w:tl2br w:val="nil"/>
              <w:tr2bl w:val="nil"/>
            </w:tcBorders>
            <w:vAlign w:val="center"/>
          </w:tcPr>
          <w:p>
            <w:pPr>
              <w:ind w:right="-108" w:rightChars="0"/>
              <w:jc w:val="center"/>
              <w:rPr>
                <w:rFonts w:ascii="宋体"/>
              </w:rPr>
            </w:pPr>
            <w:r>
              <w:rPr>
                <w:rFonts w:hint="eastAsia" w:ascii="宋体" w:cs="宋体"/>
                <w:color w:val="000000"/>
                <w:szCs w:val="21"/>
              </w:rPr>
              <w:t>1</w:t>
            </w:r>
            <w:r>
              <w:rPr>
                <w:rFonts w:hint="eastAsia" w:ascii="宋体" w:cs="宋体"/>
                <w:color w:val="000000"/>
                <w:szCs w:val="21"/>
                <w:lang w:val="en-US" w:eastAsia="zh-CN"/>
              </w:rPr>
              <w:t>5</w:t>
            </w:r>
            <w:r>
              <w:rPr>
                <w:rFonts w:hint="eastAsia" w:ascii="宋体" w:cs="宋体"/>
                <w:color w:val="000000"/>
                <w:szCs w:val="21"/>
              </w:rPr>
              <w:t>分</w:t>
            </w:r>
          </w:p>
        </w:tc>
        <w:tc>
          <w:tcPr>
            <w:tcW w:w="3343" w:type="dxa"/>
            <w:tcBorders>
              <w:tl2br w:val="nil"/>
              <w:tr2bl w:val="nil"/>
            </w:tcBorders>
            <w:vAlign w:val="center"/>
          </w:tcPr>
          <w:p>
            <w:pPr>
              <w:pStyle w:val="9"/>
              <w:jc w:val="both"/>
              <w:rPr>
                <w:rFonts w:hint="eastAsia" w:ascii="宋体" w:hAnsi="宋体" w:cs="宋体"/>
                <w:lang w:val="en-US" w:eastAsia="zh-CN"/>
              </w:rPr>
            </w:pPr>
            <w:r>
              <w:rPr>
                <w:rFonts w:hint="eastAsia" w:ascii="宋体" w:cs="宋体"/>
                <w:color w:val="auto"/>
                <w:highlight w:val="none"/>
              </w:rPr>
              <w:t>任职资格满足最低要求计</w:t>
            </w:r>
            <w:r>
              <w:rPr>
                <w:rFonts w:hint="eastAsia" w:ascii="宋体" w:cs="宋体"/>
                <w:color w:val="auto"/>
                <w:highlight w:val="none"/>
                <w:lang w:val="en-US" w:eastAsia="zh-CN"/>
              </w:rPr>
              <w:t>15</w:t>
            </w:r>
            <w:r>
              <w:rPr>
                <w:rFonts w:hint="eastAsia" w:ascii="宋体" w:cs="宋体"/>
                <w:color w:val="auto"/>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1408" w:type="dxa"/>
            <w:gridSpan w:val="2"/>
            <w:vMerge w:val="continue"/>
            <w:tcBorders>
              <w:tl2br w:val="nil"/>
              <w:tr2bl w:val="nil"/>
            </w:tcBorders>
            <w:vAlign w:val="center"/>
          </w:tcPr>
          <w:p>
            <w:pPr>
              <w:spacing w:line="288" w:lineRule="auto"/>
              <w:ind w:left="42" w:leftChars="20" w:right="42" w:rightChars="20"/>
              <w:jc w:val="center"/>
              <w:rPr>
                <w:rFonts w:ascii="宋体"/>
                <w:b/>
                <w:bCs/>
              </w:rPr>
            </w:pPr>
          </w:p>
        </w:tc>
        <w:tc>
          <w:tcPr>
            <w:tcW w:w="1042" w:type="dxa"/>
            <w:gridSpan w:val="3"/>
            <w:vMerge w:val="continue"/>
            <w:tcBorders>
              <w:tl2br w:val="nil"/>
              <w:tr2bl w:val="nil"/>
            </w:tcBorders>
            <w:vAlign w:val="center"/>
          </w:tcPr>
          <w:p>
            <w:pPr>
              <w:spacing w:line="280" w:lineRule="exact"/>
              <w:ind w:left="42" w:leftChars="20" w:right="42" w:rightChars="20" w:firstLine="210" w:firstLineChars="100"/>
              <w:rPr>
                <w:rFonts w:ascii="宋体"/>
              </w:rPr>
            </w:pPr>
          </w:p>
        </w:tc>
        <w:tc>
          <w:tcPr>
            <w:tcW w:w="1666" w:type="dxa"/>
            <w:tcBorders>
              <w:tl2br w:val="nil"/>
              <w:tr2bl w:val="nil"/>
            </w:tcBorders>
            <w:vAlign w:val="center"/>
          </w:tcPr>
          <w:p>
            <w:pPr>
              <w:ind w:right="120" w:rightChars="57"/>
              <w:jc w:val="center"/>
              <w:rPr>
                <w:rFonts w:hint="eastAsia" w:ascii="宋体" w:hAnsi="宋体" w:cs="宋体"/>
              </w:rPr>
            </w:pPr>
            <w:r>
              <w:rPr>
                <w:rFonts w:hint="eastAsia" w:ascii="宋体" w:cs="宋体"/>
                <w:color w:val="000000"/>
                <w:szCs w:val="21"/>
              </w:rPr>
              <w:t>项目总工任职资格</w:t>
            </w:r>
          </w:p>
        </w:tc>
        <w:tc>
          <w:tcPr>
            <w:tcW w:w="1640" w:type="dxa"/>
            <w:tcBorders>
              <w:tl2br w:val="nil"/>
              <w:tr2bl w:val="nil"/>
            </w:tcBorders>
            <w:vAlign w:val="center"/>
          </w:tcPr>
          <w:p>
            <w:pPr>
              <w:ind w:right="-108" w:rightChars="0"/>
              <w:jc w:val="center"/>
              <w:rPr>
                <w:rFonts w:ascii="宋体" w:hAnsi="宋体" w:cs="宋体"/>
              </w:rPr>
            </w:pPr>
            <w:r>
              <w:rPr>
                <w:rFonts w:hint="eastAsia" w:ascii="宋体" w:cs="宋体"/>
                <w:color w:val="000000"/>
                <w:szCs w:val="21"/>
              </w:rPr>
              <w:t>1</w:t>
            </w:r>
            <w:r>
              <w:rPr>
                <w:rFonts w:hint="eastAsia" w:ascii="宋体" w:cs="宋体"/>
                <w:color w:val="000000"/>
                <w:szCs w:val="21"/>
                <w:lang w:val="en-US" w:eastAsia="zh-CN"/>
              </w:rPr>
              <w:t>5</w:t>
            </w:r>
            <w:r>
              <w:rPr>
                <w:rFonts w:hint="eastAsia" w:ascii="宋体" w:cs="宋体"/>
                <w:color w:val="000000"/>
                <w:szCs w:val="21"/>
              </w:rPr>
              <w:t>分</w:t>
            </w:r>
          </w:p>
        </w:tc>
        <w:tc>
          <w:tcPr>
            <w:tcW w:w="3343" w:type="dxa"/>
            <w:tcBorders>
              <w:tl2br w:val="nil"/>
              <w:tr2bl w:val="nil"/>
            </w:tcBorders>
            <w:vAlign w:val="center"/>
          </w:tcPr>
          <w:p>
            <w:pPr>
              <w:pStyle w:val="9"/>
              <w:rPr>
                <w:rFonts w:hint="eastAsia" w:ascii="宋体" w:hAnsi="宋体" w:cs="宋体" w:eastAsiaTheme="minorEastAsia"/>
                <w:lang w:eastAsia="zh-CN"/>
              </w:rPr>
            </w:pPr>
            <w:r>
              <w:rPr>
                <w:rFonts w:hint="eastAsia" w:ascii="宋体" w:cs="宋体"/>
                <w:color w:val="auto"/>
                <w:highlight w:val="none"/>
              </w:rPr>
              <w:t>任职资格满足最低要求计</w:t>
            </w:r>
            <w:r>
              <w:rPr>
                <w:rFonts w:hint="eastAsia" w:ascii="宋体" w:cs="宋体"/>
                <w:color w:val="auto"/>
                <w:highlight w:val="none"/>
                <w:lang w:val="en-US" w:eastAsia="zh-CN"/>
              </w:rPr>
              <w:t>15</w:t>
            </w:r>
            <w:r>
              <w:rPr>
                <w:rFonts w:hint="eastAsia" w:ascii="宋体" w:cs="宋体"/>
                <w:color w:val="auto"/>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1408" w:type="dxa"/>
            <w:gridSpan w:val="2"/>
            <w:vMerge w:val="continue"/>
            <w:tcBorders>
              <w:tl2br w:val="nil"/>
              <w:tr2bl w:val="nil"/>
            </w:tcBorders>
            <w:vAlign w:val="center"/>
          </w:tcPr>
          <w:p>
            <w:pPr>
              <w:spacing w:line="288" w:lineRule="auto"/>
              <w:ind w:left="42" w:leftChars="20" w:right="42" w:rightChars="20" w:firstLine="211" w:firstLineChars="100"/>
              <w:rPr>
                <w:rFonts w:ascii="宋体"/>
                <w:b/>
                <w:bCs/>
              </w:rPr>
            </w:pPr>
          </w:p>
        </w:tc>
        <w:tc>
          <w:tcPr>
            <w:tcW w:w="1042" w:type="dxa"/>
            <w:gridSpan w:val="3"/>
            <w:vMerge w:val="continue"/>
            <w:tcBorders>
              <w:tl2br w:val="nil"/>
              <w:tr2bl w:val="nil"/>
            </w:tcBorders>
            <w:vAlign w:val="center"/>
          </w:tcPr>
          <w:p>
            <w:pPr>
              <w:spacing w:line="280" w:lineRule="exact"/>
              <w:ind w:left="42" w:leftChars="20" w:right="42" w:rightChars="20" w:firstLine="210" w:firstLineChars="100"/>
              <w:rPr>
                <w:rFonts w:ascii="宋体"/>
              </w:rPr>
            </w:pPr>
          </w:p>
        </w:tc>
        <w:tc>
          <w:tcPr>
            <w:tcW w:w="1666" w:type="dxa"/>
            <w:tcBorders>
              <w:tl2br w:val="nil"/>
              <w:tr2bl w:val="nil"/>
            </w:tcBorders>
            <w:vAlign w:val="center"/>
          </w:tcPr>
          <w:p>
            <w:pPr>
              <w:ind w:right="-108" w:rightChars="0"/>
              <w:jc w:val="center"/>
              <w:rPr>
                <w:rFonts w:hint="eastAsia" w:ascii="宋体" w:hAnsi="宋体" w:cs="宋体"/>
                <w:lang w:eastAsia="zh-CN"/>
              </w:rPr>
            </w:pPr>
            <w:r>
              <w:rPr>
                <w:rFonts w:hint="eastAsia" w:ascii="宋体" w:hAnsi="宋体"/>
                <w:color w:val="000000"/>
                <w:szCs w:val="21"/>
              </w:rPr>
              <w:t>履约信誉</w:t>
            </w:r>
          </w:p>
        </w:tc>
        <w:tc>
          <w:tcPr>
            <w:tcW w:w="1640" w:type="dxa"/>
            <w:tcBorders>
              <w:tl2br w:val="nil"/>
              <w:tr2bl w:val="nil"/>
            </w:tcBorders>
            <w:vAlign w:val="center"/>
          </w:tcPr>
          <w:p>
            <w:pPr>
              <w:ind w:right="-108" w:rightChars="0"/>
              <w:jc w:val="center"/>
              <w:rPr>
                <w:rFonts w:hint="eastAsia" w:ascii="宋体" w:hAnsi="宋体" w:cs="宋体"/>
                <w:lang w:val="en-US" w:eastAsia="zh-CN"/>
              </w:rPr>
            </w:pPr>
            <w:r>
              <w:rPr>
                <w:rFonts w:hint="eastAsia" w:ascii="宋体" w:hAnsi="宋体"/>
                <w:color w:val="000000"/>
                <w:szCs w:val="21"/>
                <w:lang w:val="en-US" w:eastAsia="zh-CN"/>
              </w:rPr>
              <w:t>15</w:t>
            </w:r>
            <w:r>
              <w:rPr>
                <w:rFonts w:hint="eastAsia" w:ascii="宋体" w:hAnsi="宋体"/>
                <w:color w:val="000000"/>
                <w:szCs w:val="21"/>
              </w:rPr>
              <w:t>分</w:t>
            </w:r>
          </w:p>
        </w:tc>
        <w:tc>
          <w:tcPr>
            <w:tcW w:w="3343" w:type="dxa"/>
            <w:tcBorders>
              <w:tl2br w:val="nil"/>
              <w:tr2bl w:val="nil"/>
            </w:tcBorders>
            <w:vAlign w:val="center"/>
          </w:tcPr>
          <w:p>
            <w:pPr>
              <w:spacing w:line="300" w:lineRule="exact"/>
              <w:rPr>
                <w:rFonts w:hint="eastAsia" w:ascii="宋体" w:hAnsi="宋体" w:cs="宋体" w:eastAsiaTheme="minorEastAsia"/>
                <w:lang w:eastAsia="zh-CN"/>
              </w:rPr>
            </w:pPr>
            <w:r>
              <w:rPr>
                <w:rFonts w:hint="eastAsia" w:ascii="宋体" w:hAnsi="宋体" w:cs="宋体"/>
                <w:color w:val="000000"/>
                <w:szCs w:val="21"/>
                <w:lang w:val="en-US" w:eastAsia="zh-CN"/>
              </w:rPr>
              <w:t>1、</w:t>
            </w:r>
            <w:r>
              <w:rPr>
                <w:rFonts w:hint="eastAsia" w:ascii="宋体" w:hAnsi="宋体" w:cs="宋体"/>
                <w:color w:val="000000"/>
                <w:szCs w:val="21"/>
              </w:rPr>
              <w:t>被省级及以上交通运输主管部门</w:t>
            </w:r>
            <w:r>
              <w:rPr>
                <w:rFonts w:hint="eastAsia" w:ascii="宋体" w:hAnsi="宋体" w:cs="宋体"/>
                <w:color w:val="000000"/>
                <w:szCs w:val="21"/>
                <w:lang w:eastAsia="zh-CN"/>
              </w:rPr>
              <w:t>没有</w:t>
            </w:r>
            <w:r>
              <w:rPr>
                <w:rFonts w:hint="eastAsia" w:ascii="宋体" w:hAnsi="宋体" w:cs="宋体"/>
                <w:color w:val="000000"/>
                <w:szCs w:val="21"/>
              </w:rPr>
              <w:t>取消招标项目所在地的投标资格且处于有效期内；</w:t>
            </w:r>
            <w:r>
              <w:rPr>
                <w:rFonts w:hint="eastAsia" w:ascii="宋体" w:hAnsi="宋体" w:cs="宋体"/>
                <w:color w:val="000000"/>
                <w:szCs w:val="21"/>
                <w:lang w:val="en-US" w:eastAsia="zh-CN"/>
              </w:rPr>
              <w:t>2、没有</w:t>
            </w:r>
            <w:r>
              <w:rPr>
                <w:rFonts w:hint="eastAsia" w:ascii="宋体" w:hAnsi="宋体" w:cs="宋体"/>
                <w:color w:val="000000"/>
                <w:szCs w:val="21"/>
              </w:rPr>
              <w:t>被责令停业，暂扣或吊销执照，或吊销资质证书；</w:t>
            </w:r>
            <w:r>
              <w:rPr>
                <w:rFonts w:hint="eastAsia" w:ascii="宋体" w:hAnsi="宋体" w:cs="宋体"/>
                <w:color w:val="000000"/>
                <w:szCs w:val="21"/>
                <w:lang w:val="en-US" w:eastAsia="zh-CN"/>
              </w:rPr>
              <w:t>3、没有</w:t>
            </w:r>
            <w:r>
              <w:rPr>
                <w:rFonts w:hint="eastAsia" w:ascii="宋体" w:hAnsi="宋体" w:cs="宋体"/>
                <w:color w:val="000000"/>
                <w:szCs w:val="21"/>
              </w:rPr>
              <w:t>进入清算程序，或被宣告破产，或其他丧失履约能力的情形；</w:t>
            </w:r>
            <w:r>
              <w:rPr>
                <w:rFonts w:hint="eastAsia" w:ascii="宋体" w:hAnsi="宋体" w:cs="宋体"/>
                <w:color w:val="000000"/>
                <w:szCs w:val="21"/>
                <w:lang w:val="en-US" w:eastAsia="zh-CN"/>
              </w:rPr>
              <w:t>4、</w:t>
            </w:r>
            <w:r>
              <w:rPr>
                <w:rFonts w:hint="eastAsia" w:ascii="宋体" w:hAnsi="宋体" w:cs="宋体"/>
                <w:color w:val="000000"/>
                <w:szCs w:val="21"/>
              </w:rPr>
              <w:t>在国家企业信用信息公示系统中</w:t>
            </w:r>
            <w:r>
              <w:rPr>
                <w:rFonts w:hint="eastAsia" w:ascii="宋体" w:hAnsi="宋体" w:cs="宋体"/>
                <w:color w:val="000000"/>
                <w:szCs w:val="21"/>
                <w:lang w:eastAsia="zh-CN"/>
              </w:rPr>
              <w:t>没</w:t>
            </w:r>
            <w:r>
              <w:rPr>
                <w:rFonts w:hint="eastAsia" w:ascii="宋体" w:hAnsi="宋体" w:cs="宋体"/>
                <w:color w:val="000000"/>
                <w:szCs w:val="21"/>
              </w:rPr>
              <w:t>被</w:t>
            </w:r>
            <w:r>
              <w:rPr>
                <w:rFonts w:hint="eastAsia" w:ascii="宋体" w:hAnsi="宋体" w:cs="宋体"/>
                <w:color w:val="000000"/>
                <w:szCs w:val="21"/>
                <w:lang w:val="zh-CN"/>
              </w:rPr>
              <w:t>列入严重违法失信企业名单</w:t>
            </w:r>
            <w:r>
              <w:rPr>
                <w:rFonts w:hint="eastAsia" w:ascii="宋体" w:hAnsi="宋体" w:cs="宋体"/>
                <w:color w:val="000000"/>
                <w:szCs w:val="21"/>
              </w:rPr>
              <w:t>；</w:t>
            </w:r>
            <w:r>
              <w:rPr>
                <w:rFonts w:hint="eastAsia" w:ascii="宋体" w:hAnsi="宋体" w:cs="宋体"/>
                <w:color w:val="000000"/>
                <w:szCs w:val="21"/>
                <w:lang w:val="zh-CN"/>
              </w:rPr>
              <w:t>在</w:t>
            </w:r>
            <w:r>
              <w:rPr>
                <w:rFonts w:hint="eastAsia" w:ascii="宋体" w:hAnsi="宋体" w:cs="宋体"/>
                <w:color w:val="000000"/>
                <w:szCs w:val="21"/>
              </w:rPr>
              <w:t>“</w:t>
            </w:r>
            <w:r>
              <w:rPr>
                <w:rFonts w:hint="eastAsia" w:ascii="宋体" w:hAnsi="宋体" w:cs="宋体"/>
                <w:color w:val="000000"/>
                <w:szCs w:val="21"/>
                <w:lang w:val="zh-CN"/>
              </w:rPr>
              <w:t>信用中国</w:t>
            </w:r>
            <w:r>
              <w:rPr>
                <w:rFonts w:hint="eastAsia" w:ascii="宋体" w:hAnsi="宋体" w:cs="宋体"/>
                <w:color w:val="000000"/>
                <w:szCs w:val="21"/>
              </w:rPr>
              <w:t>”</w:t>
            </w:r>
            <w:r>
              <w:rPr>
                <w:rFonts w:hint="eastAsia" w:ascii="宋体" w:hAnsi="宋体" w:cs="宋体"/>
                <w:color w:val="000000"/>
                <w:szCs w:val="21"/>
                <w:lang w:val="zh-CN"/>
              </w:rPr>
              <w:t>网站中没被列入失信被执行人名单</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lang w:val="zh-CN"/>
              </w:rPr>
              <w:t>投标人或其法定代表人、拟委任的项目经理在近三年内没有行贿犯罪行为的；每样加</w:t>
            </w:r>
            <w:r>
              <w:rPr>
                <w:rFonts w:hint="eastAsia" w:ascii="宋体" w:hAnsi="宋体" w:cs="宋体"/>
                <w:color w:val="000000"/>
                <w:szCs w:val="21"/>
                <w:lang w:val="en-US" w:eastAsia="zh-CN"/>
              </w:rPr>
              <w:t>3分，最多加15分。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600" w:type="dxa"/>
            <w:tcBorders>
              <w:bottom w:val="single" w:color="auto" w:sz="4" w:space="0"/>
              <w:tl2br w:val="nil"/>
              <w:tr2bl w:val="nil"/>
            </w:tcBorders>
            <w:vAlign w:val="center"/>
          </w:tcPr>
          <w:p>
            <w:pPr>
              <w:ind w:right="113"/>
              <w:jc w:val="center"/>
              <w:rPr>
                <w:rFonts w:ascii="宋体"/>
                <w:b/>
                <w:szCs w:val="21"/>
              </w:rPr>
            </w:pPr>
          </w:p>
        </w:tc>
        <w:tc>
          <w:tcPr>
            <w:tcW w:w="808" w:type="dxa"/>
            <w:tcBorders>
              <w:bottom w:val="single" w:color="auto" w:sz="4" w:space="0"/>
              <w:tl2br w:val="nil"/>
              <w:tr2bl w:val="nil"/>
            </w:tcBorders>
            <w:vAlign w:val="center"/>
          </w:tcPr>
          <w:p>
            <w:pPr>
              <w:spacing w:line="360" w:lineRule="exact"/>
              <w:jc w:val="center"/>
              <w:rPr>
                <w:rFonts w:hint="eastAsia" w:ascii="宋体" w:eastAsia="宋体"/>
                <w:b/>
                <w:szCs w:val="21"/>
                <w:lang w:val="en-US" w:eastAsia="zh-CN"/>
              </w:rPr>
            </w:pPr>
          </w:p>
        </w:tc>
        <w:tc>
          <w:tcPr>
            <w:tcW w:w="555" w:type="dxa"/>
            <w:tcBorders>
              <w:bottom w:val="single" w:color="auto" w:sz="4" w:space="0"/>
              <w:tl2br w:val="nil"/>
              <w:tr2bl w:val="nil"/>
            </w:tcBorders>
            <w:vAlign w:val="center"/>
          </w:tcPr>
          <w:p>
            <w:pPr>
              <w:ind w:right="-108" w:rightChars="0"/>
              <w:jc w:val="center"/>
              <w:rPr>
                <w:rFonts w:ascii="宋体"/>
                <w:b/>
                <w:szCs w:val="21"/>
              </w:rPr>
            </w:pPr>
            <w:r>
              <w:rPr>
                <w:rFonts w:hint="eastAsia" w:ascii="宋体" w:hAnsi="宋体"/>
                <w:color w:val="000000"/>
                <w:szCs w:val="21"/>
                <w:lang w:eastAsia="zh-CN"/>
              </w:rPr>
              <w:t>业绩</w:t>
            </w:r>
          </w:p>
        </w:tc>
        <w:tc>
          <w:tcPr>
            <w:tcW w:w="487" w:type="dxa"/>
            <w:gridSpan w:val="2"/>
            <w:tcBorders>
              <w:tl2br w:val="nil"/>
              <w:tr2bl w:val="nil"/>
            </w:tcBorders>
            <w:vAlign w:val="center"/>
          </w:tcPr>
          <w:p>
            <w:pPr>
              <w:ind w:right="-108" w:rightChars="0"/>
              <w:jc w:val="center"/>
              <w:rPr>
                <w:rFonts w:ascii="宋体"/>
                <w:color w:val="auto"/>
                <w:szCs w:val="21"/>
              </w:rPr>
            </w:pPr>
            <w:r>
              <w:rPr>
                <w:rFonts w:hint="eastAsia" w:ascii="宋体" w:hAnsi="宋体"/>
                <w:color w:val="000000"/>
                <w:szCs w:val="21"/>
                <w:lang w:val="en-US" w:eastAsia="zh-CN"/>
              </w:rPr>
              <w:t>15分</w:t>
            </w:r>
          </w:p>
        </w:tc>
        <w:tc>
          <w:tcPr>
            <w:tcW w:w="6649" w:type="dxa"/>
            <w:gridSpan w:val="3"/>
            <w:tcBorders>
              <w:tl2br w:val="nil"/>
              <w:tr2bl w:val="nil"/>
            </w:tcBorders>
            <w:vAlign w:val="center"/>
          </w:tcPr>
          <w:p>
            <w:pPr>
              <w:ind w:left="216" w:leftChars="103" w:right="283" w:rightChars="0" w:firstLine="2" w:firstLineChars="0"/>
              <w:rPr>
                <w:rFonts w:ascii="宋体" w:cs="MingLiU"/>
                <w:color w:val="auto"/>
                <w:spacing w:val="1"/>
                <w:kern w:val="0"/>
                <w:szCs w:val="21"/>
              </w:rPr>
            </w:pPr>
            <w:r>
              <w:rPr>
                <w:rFonts w:hint="eastAsia" w:ascii="宋体" w:hAnsi="宋体" w:cs="宋体"/>
                <w:color w:val="000000"/>
                <w:szCs w:val="21"/>
                <w:lang w:eastAsia="zh-CN"/>
              </w:rPr>
              <w:t>具有公路类似业绩且金额达到</w:t>
            </w:r>
            <w:r>
              <w:rPr>
                <w:rFonts w:hint="eastAsia" w:ascii="宋体" w:hAnsi="宋体" w:cs="宋体"/>
                <w:color w:val="000000"/>
                <w:szCs w:val="21"/>
                <w:lang w:val="en-US" w:eastAsia="zh-CN"/>
              </w:rPr>
              <w:t>80万元以上，第一个计10分，第二个计5分，最多计15分。</w:t>
            </w:r>
          </w:p>
        </w:tc>
      </w:tr>
    </w:tbl>
    <w:p>
      <w:pPr>
        <w:spacing w:line="400" w:lineRule="atLeast"/>
        <w:jc w:val="center"/>
        <w:rPr>
          <w:rFonts w:ascii="宋体" w:hAnsi="宋体" w:cs="宋体"/>
          <w:b/>
          <w:bCs/>
          <w:kern w:val="0"/>
          <w:sz w:val="36"/>
          <w:szCs w:val="36"/>
        </w:rPr>
      </w:pPr>
      <w:r>
        <w:rPr>
          <w:rFonts w:hint="eastAsia" w:ascii="宋体" w:hAnsi="宋体" w:cs="宋体"/>
          <w:b/>
          <w:bCs/>
          <w:kern w:val="0"/>
          <w:sz w:val="36"/>
          <w:szCs w:val="36"/>
        </w:rPr>
        <w:br w:type="page"/>
      </w:r>
    </w:p>
    <w:p>
      <w:pPr>
        <w:spacing w:line="400" w:lineRule="atLeast"/>
        <w:jc w:val="center"/>
        <w:rPr>
          <w:rFonts w:ascii="宋体" w:hAnsi="宋体" w:cs="宋体"/>
          <w:b/>
          <w:bCs/>
          <w:sz w:val="20"/>
        </w:rPr>
      </w:pPr>
      <w:r>
        <w:rPr>
          <w:rFonts w:hint="eastAsia" w:ascii="宋体" w:hAnsi="宋体" w:cs="宋体"/>
          <w:b/>
          <w:bCs/>
          <w:kern w:val="0"/>
          <w:sz w:val="36"/>
          <w:szCs w:val="36"/>
        </w:rPr>
        <w:t>评标办法和评审程序</w:t>
      </w:r>
    </w:p>
    <w:p>
      <w:pPr>
        <w:pStyle w:val="4"/>
        <w:spacing w:beforeLines="50" w:line="360" w:lineRule="auto"/>
        <w:ind w:left="358" w:hanging="358"/>
        <w:jc w:val="left"/>
        <w:rPr>
          <w:rFonts w:ascii="宋体" w:hAnsi="宋体"/>
          <w:sz w:val="24"/>
          <w:szCs w:val="24"/>
        </w:rPr>
      </w:pPr>
      <w:r>
        <w:rPr>
          <w:rFonts w:ascii="宋体" w:hAnsi="宋体"/>
          <w:sz w:val="24"/>
          <w:szCs w:val="24"/>
        </w:rPr>
        <w:t>1. 评标方法</w:t>
      </w:r>
    </w:p>
    <w:p>
      <w:pPr>
        <w:spacing w:line="360" w:lineRule="auto"/>
        <w:ind w:firstLine="480" w:firstLineChars="200"/>
        <w:rPr>
          <w:rFonts w:ascii="宋体" w:hAnsi="宋体"/>
          <w:sz w:val="24"/>
          <w:szCs w:val="24"/>
        </w:rPr>
      </w:pPr>
      <w:r>
        <w:rPr>
          <w:rFonts w:ascii="宋体" w:hAnsi="宋体"/>
          <w:sz w:val="24"/>
          <w:szCs w:val="24"/>
        </w:rPr>
        <w:t>本次评标采用</w:t>
      </w:r>
      <w:r>
        <w:rPr>
          <w:rFonts w:hint="eastAsia" w:ascii="宋体" w:hAnsi="宋体"/>
          <w:sz w:val="24"/>
          <w:szCs w:val="24"/>
          <w:lang w:eastAsia="zh-CN"/>
        </w:rPr>
        <w:t>技术评分最低价</w:t>
      </w:r>
      <w:r>
        <w:rPr>
          <w:rFonts w:ascii="宋体" w:hAnsi="宋体"/>
          <w:sz w:val="24"/>
          <w:szCs w:val="24"/>
        </w:rPr>
        <w:t>法。评标委员会对满足</w:t>
      </w:r>
      <w:r>
        <w:rPr>
          <w:rFonts w:hint="eastAsia" w:ascii="宋体" w:hAnsi="宋体"/>
          <w:sz w:val="24"/>
          <w:szCs w:val="24"/>
          <w:lang w:eastAsia="zh-CN"/>
        </w:rPr>
        <w:t>交易文件</w:t>
      </w:r>
      <w:r>
        <w:rPr>
          <w:rFonts w:ascii="宋体" w:hAnsi="宋体"/>
          <w:sz w:val="24"/>
          <w:szCs w:val="24"/>
        </w:rPr>
        <w:t>实质性要求的</w:t>
      </w:r>
      <w:r>
        <w:rPr>
          <w:rFonts w:hint="eastAsia" w:ascii="宋体" w:hAnsi="宋体"/>
          <w:sz w:val="24"/>
          <w:szCs w:val="24"/>
          <w:lang w:eastAsia="zh-CN"/>
        </w:rPr>
        <w:t>交易响应文件</w:t>
      </w:r>
      <w:r>
        <w:rPr>
          <w:rFonts w:ascii="宋体" w:hAnsi="宋体"/>
          <w:sz w:val="24"/>
          <w:szCs w:val="24"/>
        </w:rPr>
        <w:t>，按照本章第2.2款规定的评分标准进行打分，并按得分由高到低顺序推荐中标候选人，或根据招标人授权直接确定中标人，但投标报价低于其成本的除外。综合评分相等时，</w:t>
      </w:r>
      <w:r>
        <w:rPr>
          <w:rFonts w:hint="eastAsia" w:ascii="宋体" w:hAnsi="宋体"/>
          <w:sz w:val="24"/>
          <w:szCs w:val="24"/>
        </w:rPr>
        <w:t>评标委员会</w:t>
      </w:r>
      <w:r>
        <w:rPr>
          <w:rFonts w:ascii="宋体" w:hAnsi="宋体"/>
          <w:sz w:val="24"/>
          <w:szCs w:val="24"/>
        </w:rPr>
        <w:t>应按照评标办法前附表</w:t>
      </w:r>
      <w:r>
        <w:rPr>
          <w:rFonts w:hint="eastAsia" w:ascii="宋体" w:hAnsi="宋体"/>
          <w:sz w:val="24"/>
          <w:szCs w:val="24"/>
        </w:rPr>
        <w:t>规定</w:t>
      </w:r>
      <w:r>
        <w:rPr>
          <w:rFonts w:ascii="宋体" w:hAnsi="宋体"/>
          <w:sz w:val="24"/>
          <w:szCs w:val="24"/>
        </w:rPr>
        <w:t>的优先次序</w:t>
      </w:r>
      <w:r>
        <w:rPr>
          <w:rFonts w:hint="eastAsia" w:ascii="宋体" w:hAnsi="宋体"/>
          <w:sz w:val="24"/>
          <w:szCs w:val="24"/>
        </w:rPr>
        <w:t>推荐中标候选人或</w:t>
      </w:r>
      <w:r>
        <w:rPr>
          <w:rFonts w:ascii="宋体" w:hAnsi="宋体"/>
          <w:sz w:val="24"/>
          <w:szCs w:val="24"/>
        </w:rPr>
        <w:t>确定中标人</w:t>
      </w:r>
      <w:r>
        <w:rPr>
          <w:rFonts w:hint="eastAsia" w:ascii="宋体" w:hAnsi="宋体"/>
          <w:sz w:val="24"/>
          <w:szCs w:val="24"/>
        </w:rPr>
        <w:t>。</w:t>
      </w:r>
    </w:p>
    <w:p>
      <w:pPr>
        <w:pStyle w:val="4"/>
        <w:spacing w:beforeLines="50" w:line="360" w:lineRule="auto"/>
        <w:ind w:left="358" w:hanging="358"/>
        <w:jc w:val="left"/>
        <w:rPr>
          <w:rFonts w:ascii="宋体" w:hAnsi="宋体"/>
          <w:sz w:val="24"/>
          <w:szCs w:val="24"/>
        </w:rPr>
      </w:pPr>
      <w:bookmarkStart w:id="141" w:name="_Toc387757618"/>
      <w:bookmarkStart w:id="142" w:name="_Toc452454281"/>
      <w:bookmarkStart w:id="143" w:name="_Toc234382665"/>
      <w:r>
        <w:rPr>
          <w:rFonts w:ascii="宋体" w:hAnsi="宋体"/>
          <w:sz w:val="24"/>
          <w:szCs w:val="24"/>
        </w:rPr>
        <w:t>2. 评审标准</w:t>
      </w:r>
      <w:bookmarkEnd w:id="141"/>
      <w:bookmarkEnd w:id="142"/>
      <w:bookmarkEnd w:id="143"/>
    </w:p>
    <w:p>
      <w:pPr>
        <w:pStyle w:val="4"/>
        <w:spacing w:line="360" w:lineRule="auto"/>
        <w:ind w:left="358" w:hanging="358"/>
        <w:jc w:val="left"/>
        <w:rPr>
          <w:rFonts w:ascii="宋体" w:hAnsi="宋体"/>
          <w:sz w:val="24"/>
          <w:szCs w:val="24"/>
        </w:rPr>
      </w:pPr>
      <w:bookmarkStart w:id="144" w:name="_Toc387757619"/>
      <w:bookmarkStart w:id="145" w:name="_Toc234382666"/>
      <w:bookmarkStart w:id="146" w:name="_Toc452454282"/>
      <w:r>
        <w:rPr>
          <w:rFonts w:ascii="宋体" w:hAnsi="宋体"/>
          <w:sz w:val="24"/>
          <w:szCs w:val="24"/>
        </w:rPr>
        <w:t>2.1 初步评审标准</w:t>
      </w:r>
      <w:bookmarkEnd w:id="144"/>
      <w:bookmarkEnd w:id="145"/>
      <w:bookmarkEnd w:id="146"/>
    </w:p>
    <w:p>
      <w:pPr>
        <w:spacing w:line="360" w:lineRule="auto"/>
        <w:ind w:firstLine="480" w:firstLineChars="200"/>
        <w:rPr>
          <w:rFonts w:ascii="宋体" w:hAnsi="宋体"/>
          <w:sz w:val="24"/>
          <w:szCs w:val="24"/>
        </w:rPr>
      </w:pPr>
      <w:r>
        <w:rPr>
          <w:rFonts w:ascii="宋体" w:hAnsi="宋体"/>
          <w:sz w:val="24"/>
          <w:szCs w:val="24"/>
        </w:rPr>
        <w:t>2.1.1 形式评审标准：见评标办法前附表。</w:t>
      </w:r>
    </w:p>
    <w:p>
      <w:pPr>
        <w:spacing w:line="360" w:lineRule="auto"/>
        <w:ind w:firstLine="480" w:firstLineChars="200"/>
        <w:rPr>
          <w:rFonts w:ascii="宋体" w:hAnsi="宋体"/>
          <w:sz w:val="24"/>
          <w:szCs w:val="24"/>
        </w:rPr>
      </w:pPr>
      <w:r>
        <w:rPr>
          <w:rFonts w:ascii="宋体" w:hAnsi="宋体"/>
          <w:sz w:val="24"/>
          <w:szCs w:val="24"/>
        </w:rPr>
        <w:t>2.1.2 资格评审标准：见评标办法前附表。</w:t>
      </w:r>
    </w:p>
    <w:p>
      <w:pPr>
        <w:spacing w:line="360" w:lineRule="auto"/>
        <w:ind w:firstLine="480" w:firstLineChars="200"/>
        <w:rPr>
          <w:rFonts w:ascii="宋体" w:hAnsi="宋体"/>
          <w:sz w:val="24"/>
          <w:szCs w:val="24"/>
        </w:rPr>
      </w:pPr>
      <w:r>
        <w:rPr>
          <w:rFonts w:ascii="宋体" w:hAnsi="宋体"/>
          <w:sz w:val="24"/>
          <w:szCs w:val="24"/>
        </w:rPr>
        <w:t>2.1.3 响应性评审标准：见评标办法前附表。</w:t>
      </w:r>
    </w:p>
    <w:p>
      <w:pPr>
        <w:pStyle w:val="4"/>
        <w:spacing w:beforeLines="50" w:line="360" w:lineRule="auto"/>
        <w:ind w:left="358" w:hanging="358"/>
        <w:jc w:val="left"/>
        <w:rPr>
          <w:rFonts w:ascii="宋体" w:hAnsi="宋体"/>
          <w:sz w:val="24"/>
          <w:szCs w:val="24"/>
        </w:rPr>
      </w:pPr>
      <w:bookmarkStart w:id="147" w:name="_Toc452454283"/>
      <w:bookmarkStart w:id="148" w:name="_Toc387757620"/>
      <w:bookmarkStart w:id="149" w:name="_Toc234382667"/>
      <w:r>
        <w:rPr>
          <w:rFonts w:ascii="宋体" w:hAnsi="宋体"/>
          <w:sz w:val="24"/>
          <w:szCs w:val="24"/>
        </w:rPr>
        <w:t>2.2 分值构成与评分标准</w:t>
      </w:r>
      <w:bookmarkEnd w:id="147"/>
      <w:bookmarkEnd w:id="148"/>
      <w:bookmarkEnd w:id="149"/>
    </w:p>
    <w:p>
      <w:pPr>
        <w:spacing w:line="360" w:lineRule="auto"/>
        <w:ind w:firstLine="480" w:firstLineChars="200"/>
        <w:rPr>
          <w:rFonts w:ascii="宋体" w:hAnsi="宋体"/>
          <w:sz w:val="24"/>
          <w:szCs w:val="24"/>
        </w:rPr>
      </w:pPr>
      <w:r>
        <w:rPr>
          <w:rFonts w:ascii="宋体" w:hAnsi="宋体"/>
          <w:sz w:val="24"/>
          <w:szCs w:val="24"/>
        </w:rPr>
        <w:t>2.2.1 分值构成</w:t>
      </w:r>
    </w:p>
    <w:p>
      <w:pPr>
        <w:spacing w:line="360" w:lineRule="auto"/>
        <w:ind w:firstLine="480" w:firstLineChars="200"/>
        <w:rPr>
          <w:rFonts w:ascii="宋体" w:hAnsi="宋体"/>
          <w:sz w:val="24"/>
          <w:szCs w:val="24"/>
        </w:rPr>
      </w:pPr>
      <w:r>
        <w:rPr>
          <w:rFonts w:ascii="宋体" w:hAnsi="宋体"/>
          <w:sz w:val="24"/>
          <w:szCs w:val="24"/>
        </w:rPr>
        <w:t>（1）施工组织设计：见评标办法前附表；</w:t>
      </w:r>
    </w:p>
    <w:p>
      <w:pPr>
        <w:spacing w:line="360" w:lineRule="auto"/>
        <w:ind w:firstLine="480" w:firstLineChars="200"/>
        <w:rPr>
          <w:rFonts w:ascii="宋体" w:hAnsi="宋体"/>
          <w:sz w:val="24"/>
          <w:szCs w:val="24"/>
        </w:rPr>
      </w:pPr>
      <w:r>
        <w:rPr>
          <w:rFonts w:ascii="宋体" w:hAnsi="宋体"/>
          <w:sz w:val="24"/>
          <w:szCs w:val="24"/>
        </w:rPr>
        <w:t>（2）主要人员：见评标办法前附表；</w:t>
      </w:r>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评标价</w:t>
      </w:r>
      <w:r>
        <w:rPr>
          <w:rFonts w:ascii="宋体" w:hAnsi="宋体"/>
          <w:sz w:val="24"/>
          <w:szCs w:val="24"/>
        </w:rPr>
        <w:t>：见评标办法前附表；</w:t>
      </w:r>
    </w:p>
    <w:p>
      <w:pPr>
        <w:spacing w:line="360" w:lineRule="auto"/>
        <w:ind w:firstLine="480" w:firstLineChars="200"/>
        <w:rPr>
          <w:rFonts w:ascii="宋体" w:hAnsi="宋体"/>
          <w:sz w:val="24"/>
          <w:szCs w:val="24"/>
        </w:rPr>
      </w:pPr>
      <w:r>
        <w:rPr>
          <w:rFonts w:ascii="宋体" w:hAnsi="宋体"/>
          <w:sz w:val="24"/>
          <w:szCs w:val="24"/>
        </w:rPr>
        <w:t>（4）其他评分因素：见评标办法前附表。</w:t>
      </w:r>
    </w:p>
    <w:p>
      <w:pPr>
        <w:spacing w:line="360" w:lineRule="auto"/>
        <w:ind w:firstLine="480" w:firstLineChars="200"/>
        <w:rPr>
          <w:rFonts w:ascii="宋体" w:hAnsi="宋体"/>
          <w:sz w:val="24"/>
          <w:szCs w:val="24"/>
        </w:rPr>
      </w:pPr>
      <w:r>
        <w:rPr>
          <w:rFonts w:ascii="宋体" w:hAnsi="宋体"/>
          <w:sz w:val="24"/>
          <w:szCs w:val="24"/>
        </w:rPr>
        <w:t>2.2.2  评标基准价计算</w:t>
      </w:r>
    </w:p>
    <w:p>
      <w:pPr>
        <w:spacing w:line="360" w:lineRule="auto"/>
        <w:ind w:firstLine="480" w:firstLineChars="200"/>
        <w:rPr>
          <w:rFonts w:ascii="宋体" w:hAnsi="宋体"/>
          <w:sz w:val="24"/>
          <w:szCs w:val="24"/>
        </w:rPr>
      </w:pPr>
      <w:r>
        <w:rPr>
          <w:rFonts w:ascii="宋体" w:hAnsi="宋体"/>
          <w:sz w:val="24"/>
          <w:szCs w:val="24"/>
        </w:rPr>
        <w:t>评标基准价计算方法：见评标办法前附表。</w:t>
      </w:r>
    </w:p>
    <w:p>
      <w:pPr>
        <w:spacing w:line="360" w:lineRule="auto"/>
        <w:ind w:firstLine="480" w:firstLineChars="200"/>
        <w:rPr>
          <w:rFonts w:ascii="宋体" w:hAnsi="宋体"/>
          <w:sz w:val="24"/>
          <w:szCs w:val="24"/>
        </w:rPr>
      </w:pPr>
      <w:r>
        <w:rPr>
          <w:rFonts w:ascii="宋体" w:hAnsi="宋体"/>
          <w:sz w:val="24"/>
          <w:szCs w:val="24"/>
        </w:rPr>
        <w:t>2.2.3  投标报价的偏差率计算</w:t>
      </w:r>
    </w:p>
    <w:p>
      <w:pPr>
        <w:spacing w:line="360" w:lineRule="auto"/>
        <w:ind w:firstLine="480" w:firstLineChars="200"/>
        <w:rPr>
          <w:rFonts w:ascii="宋体" w:hAnsi="宋体"/>
          <w:sz w:val="24"/>
          <w:szCs w:val="24"/>
        </w:rPr>
      </w:pPr>
      <w:r>
        <w:rPr>
          <w:rFonts w:ascii="宋体" w:hAnsi="宋体"/>
          <w:sz w:val="24"/>
          <w:szCs w:val="24"/>
        </w:rPr>
        <w:t>投标报价的偏差率计算公式：见评标办法前附表。</w:t>
      </w:r>
    </w:p>
    <w:p>
      <w:pPr>
        <w:spacing w:line="360" w:lineRule="auto"/>
        <w:ind w:firstLine="480" w:firstLineChars="200"/>
        <w:rPr>
          <w:rFonts w:ascii="宋体" w:hAnsi="宋体"/>
          <w:sz w:val="24"/>
          <w:szCs w:val="24"/>
        </w:rPr>
      </w:pPr>
      <w:r>
        <w:rPr>
          <w:rFonts w:ascii="宋体" w:hAnsi="宋体"/>
          <w:sz w:val="24"/>
          <w:szCs w:val="24"/>
        </w:rPr>
        <w:t>2.2.4  评分标准</w:t>
      </w:r>
      <w:bookmarkStart w:id="150" w:name="_Toc387757621"/>
      <w:bookmarkStart w:id="151" w:name="_Toc452454284"/>
      <w:bookmarkStart w:id="152" w:name="_Toc234382668"/>
    </w:p>
    <w:p>
      <w:pPr>
        <w:spacing w:line="360" w:lineRule="auto"/>
        <w:ind w:firstLine="480" w:firstLineChars="200"/>
        <w:rPr>
          <w:rFonts w:ascii="宋体" w:hAnsi="宋体"/>
          <w:bCs/>
          <w:sz w:val="24"/>
          <w:szCs w:val="24"/>
        </w:rPr>
      </w:pPr>
      <w:r>
        <w:rPr>
          <w:rFonts w:ascii="宋体" w:hAnsi="宋体"/>
          <w:bCs/>
          <w:sz w:val="24"/>
          <w:szCs w:val="24"/>
        </w:rPr>
        <w:t>（1）施工组织设计评分标准：见评标办法前附表；</w:t>
      </w:r>
    </w:p>
    <w:p>
      <w:pPr>
        <w:spacing w:line="360" w:lineRule="auto"/>
        <w:ind w:firstLine="480" w:firstLineChars="200"/>
        <w:rPr>
          <w:rFonts w:ascii="宋体" w:hAnsi="宋体"/>
          <w:bCs/>
          <w:sz w:val="24"/>
          <w:szCs w:val="24"/>
        </w:rPr>
      </w:pPr>
      <w:r>
        <w:rPr>
          <w:rFonts w:ascii="宋体" w:hAnsi="宋体"/>
          <w:bCs/>
          <w:sz w:val="24"/>
          <w:szCs w:val="24"/>
        </w:rPr>
        <w:t>（2）主要人员评分标准：见评标办法前附表；</w:t>
      </w:r>
    </w:p>
    <w:p>
      <w:pPr>
        <w:spacing w:line="360" w:lineRule="auto"/>
        <w:ind w:firstLine="480" w:firstLineChars="200"/>
        <w:rPr>
          <w:rFonts w:ascii="宋体" w:hAnsi="宋体"/>
          <w:bCs/>
          <w:sz w:val="24"/>
          <w:szCs w:val="24"/>
        </w:rPr>
      </w:pPr>
      <w:r>
        <w:rPr>
          <w:rFonts w:ascii="宋体" w:hAnsi="宋体"/>
          <w:bCs/>
          <w:sz w:val="24"/>
          <w:szCs w:val="24"/>
        </w:rPr>
        <w:t>（3）</w:t>
      </w:r>
      <w:r>
        <w:rPr>
          <w:rFonts w:hint="eastAsia" w:ascii="宋体" w:hAnsi="宋体"/>
          <w:bCs/>
          <w:sz w:val="24"/>
          <w:szCs w:val="24"/>
        </w:rPr>
        <w:t>评标价</w:t>
      </w:r>
      <w:r>
        <w:rPr>
          <w:rFonts w:ascii="宋体" w:hAnsi="宋体"/>
          <w:bCs/>
          <w:sz w:val="24"/>
          <w:szCs w:val="24"/>
        </w:rPr>
        <w:t>评分标准：见评标办法前附表；</w:t>
      </w:r>
    </w:p>
    <w:p>
      <w:pPr>
        <w:spacing w:line="360" w:lineRule="auto"/>
        <w:ind w:firstLine="480" w:firstLineChars="200"/>
        <w:rPr>
          <w:rFonts w:ascii="宋体" w:hAnsi="宋体"/>
          <w:bCs/>
          <w:sz w:val="24"/>
          <w:szCs w:val="24"/>
        </w:rPr>
      </w:pPr>
      <w:r>
        <w:rPr>
          <w:rFonts w:ascii="宋体" w:hAnsi="宋体"/>
          <w:bCs/>
          <w:sz w:val="24"/>
          <w:szCs w:val="24"/>
        </w:rPr>
        <w:t>（4）其他因素评分标准：见评标办法前附表。</w:t>
      </w:r>
    </w:p>
    <w:p>
      <w:pPr>
        <w:spacing w:line="360" w:lineRule="auto"/>
        <w:ind w:firstLine="482" w:firstLineChars="200"/>
        <w:rPr>
          <w:rFonts w:ascii="宋体" w:hAnsi="宋体"/>
          <w:b/>
          <w:sz w:val="24"/>
          <w:szCs w:val="24"/>
        </w:rPr>
      </w:pPr>
      <w:r>
        <w:rPr>
          <w:rFonts w:ascii="宋体" w:hAnsi="宋体"/>
          <w:b/>
          <w:sz w:val="24"/>
          <w:szCs w:val="24"/>
        </w:rPr>
        <w:t>3. 评标程序</w:t>
      </w:r>
      <w:bookmarkEnd w:id="150"/>
      <w:bookmarkEnd w:id="151"/>
      <w:bookmarkEnd w:id="152"/>
      <w:bookmarkStart w:id="153" w:name="_Toc501257163"/>
    </w:p>
    <w:p>
      <w:pPr>
        <w:spacing w:line="360" w:lineRule="auto"/>
        <w:ind w:firstLine="480" w:firstLineChars="200"/>
        <w:rPr>
          <w:rFonts w:ascii="宋体" w:hAnsi="宋体"/>
          <w:sz w:val="24"/>
          <w:szCs w:val="24"/>
        </w:rPr>
      </w:pPr>
      <w:r>
        <w:rPr>
          <w:rFonts w:ascii="宋体" w:hAnsi="宋体"/>
          <w:sz w:val="24"/>
          <w:szCs w:val="24"/>
        </w:rPr>
        <w:t>3.1</w:t>
      </w:r>
      <w:r>
        <w:rPr>
          <w:rFonts w:hint="eastAsia" w:ascii="宋体" w:hAnsi="宋体"/>
          <w:sz w:val="24"/>
          <w:szCs w:val="24"/>
        </w:rPr>
        <w:t xml:space="preserve"> 第一个信封</w:t>
      </w:r>
      <w:r>
        <w:rPr>
          <w:rFonts w:ascii="宋体" w:hAnsi="宋体"/>
          <w:sz w:val="24"/>
          <w:szCs w:val="24"/>
        </w:rPr>
        <w:t>初步评审</w:t>
      </w:r>
      <w:bookmarkEnd w:id="153"/>
    </w:p>
    <w:p>
      <w:pPr>
        <w:spacing w:line="360" w:lineRule="auto"/>
        <w:ind w:firstLine="480" w:firstLineChars="200"/>
        <w:rPr>
          <w:rFonts w:ascii="宋体" w:hAnsi="宋体"/>
          <w:sz w:val="24"/>
          <w:szCs w:val="24"/>
        </w:rPr>
      </w:pPr>
      <w:r>
        <w:rPr>
          <w:rFonts w:ascii="宋体" w:hAnsi="宋体"/>
          <w:sz w:val="24"/>
          <w:szCs w:val="24"/>
        </w:rPr>
        <w:t>3.1.1 评标委员会可以要求</w:t>
      </w:r>
      <w:r>
        <w:rPr>
          <w:rFonts w:hint="eastAsia" w:ascii="宋体" w:hAnsi="宋体"/>
          <w:sz w:val="24"/>
          <w:szCs w:val="24"/>
          <w:lang w:eastAsia="zh-CN"/>
        </w:rPr>
        <w:t>交易响应单位</w:t>
      </w:r>
      <w:r>
        <w:rPr>
          <w:rFonts w:ascii="宋体" w:hAnsi="宋体"/>
          <w:sz w:val="24"/>
          <w:szCs w:val="24"/>
        </w:rPr>
        <w:t>提交第二章“</w:t>
      </w:r>
      <w:r>
        <w:rPr>
          <w:rFonts w:hint="eastAsia" w:ascii="宋体" w:hAnsi="宋体"/>
          <w:sz w:val="24"/>
          <w:szCs w:val="24"/>
          <w:lang w:eastAsia="zh-CN"/>
        </w:rPr>
        <w:t>交易须知</w:t>
      </w:r>
      <w:r>
        <w:rPr>
          <w:rFonts w:ascii="宋体" w:hAnsi="宋体"/>
          <w:sz w:val="24"/>
          <w:szCs w:val="24"/>
        </w:rPr>
        <w:t>”第3.5.1项至第3.5.</w:t>
      </w:r>
      <w:r>
        <w:rPr>
          <w:rFonts w:hint="eastAsia" w:ascii="宋体" w:hAnsi="宋体"/>
          <w:sz w:val="24"/>
          <w:szCs w:val="24"/>
        </w:rPr>
        <w:t>6</w:t>
      </w:r>
      <w:r>
        <w:rPr>
          <w:rFonts w:ascii="宋体" w:hAnsi="宋体"/>
          <w:sz w:val="24"/>
          <w:szCs w:val="24"/>
        </w:rPr>
        <w:t>项规定的有关证明和证件的原件，以便核验。评标委员会依据本章第2.1款规定的标准对</w:t>
      </w:r>
      <w:r>
        <w:rPr>
          <w:rFonts w:hint="eastAsia" w:ascii="宋体" w:hAnsi="宋体"/>
          <w:sz w:val="24"/>
          <w:szCs w:val="24"/>
          <w:lang w:eastAsia="zh-CN"/>
        </w:rPr>
        <w:t>交易响应文件</w:t>
      </w:r>
      <w:r>
        <w:rPr>
          <w:rFonts w:hint="eastAsia" w:ascii="宋体" w:hAnsi="宋体"/>
          <w:sz w:val="24"/>
          <w:szCs w:val="24"/>
        </w:rPr>
        <w:t>第一个信封（商务及技术文件）</w:t>
      </w:r>
      <w:r>
        <w:rPr>
          <w:rFonts w:ascii="宋体" w:hAnsi="宋体"/>
          <w:sz w:val="24"/>
          <w:szCs w:val="24"/>
        </w:rPr>
        <w:t>进行初步评审。有一项不符合评审标准的，</w:t>
      </w:r>
      <w:r>
        <w:rPr>
          <w:rFonts w:hint="eastAsia" w:ascii="宋体" w:hAnsi="宋体"/>
          <w:sz w:val="24"/>
          <w:szCs w:val="24"/>
        </w:rPr>
        <w:t>评标委员会应否决其投标</w:t>
      </w:r>
      <w:r>
        <w:rPr>
          <w:rFonts w:ascii="宋体" w:hAnsi="宋体"/>
          <w:sz w:val="24"/>
          <w:szCs w:val="24"/>
        </w:rPr>
        <w:t>。</w:t>
      </w:r>
    </w:p>
    <w:p>
      <w:pPr>
        <w:spacing w:line="360" w:lineRule="auto"/>
        <w:ind w:left="358" w:hanging="358"/>
        <w:rPr>
          <w:rFonts w:ascii="宋体" w:hAnsi="宋体"/>
          <w:b/>
          <w:bCs/>
          <w:kern w:val="44"/>
          <w:sz w:val="24"/>
          <w:szCs w:val="24"/>
        </w:rPr>
      </w:pPr>
      <w:bookmarkStart w:id="154" w:name="_Toc501257164"/>
      <w:r>
        <w:rPr>
          <w:rFonts w:hint="eastAsia" w:ascii="宋体" w:hAnsi="宋体"/>
          <w:b/>
          <w:bCs/>
          <w:kern w:val="44"/>
          <w:sz w:val="24"/>
          <w:szCs w:val="24"/>
        </w:rPr>
        <w:t>3.2 第一个信封详细评审</w:t>
      </w:r>
      <w:bookmarkEnd w:id="154"/>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2</w:t>
      </w:r>
      <w:r>
        <w:rPr>
          <w:rFonts w:ascii="宋体" w:hAnsi="宋体"/>
          <w:sz w:val="24"/>
          <w:szCs w:val="24"/>
        </w:rPr>
        <w:t>.1 评标委员会按本章第2.2款规定的量化因素和分值进行打分，并计算出</w:t>
      </w:r>
      <w:r>
        <w:rPr>
          <w:rFonts w:hint="eastAsia" w:ascii="宋体" w:hAnsi="宋体"/>
          <w:sz w:val="24"/>
          <w:szCs w:val="24"/>
        </w:rPr>
        <w:t>各</w:t>
      </w:r>
      <w:r>
        <w:rPr>
          <w:rFonts w:hint="eastAsia" w:ascii="宋体" w:hAnsi="宋体"/>
          <w:sz w:val="24"/>
          <w:szCs w:val="24"/>
          <w:lang w:eastAsia="zh-CN"/>
        </w:rPr>
        <w:t>交易响应单位</w:t>
      </w:r>
      <w:r>
        <w:rPr>
          <w:rFonts w:hint="eastAsia" w:ascii="宋体" w:hAnsi="宋体"/>
          <w:sz w:val="24"/>
          <w:szCs w:val="24"/>
        </w:rPr>
        <w:t>的商务和技术</w:t>
      </w:r>
      <w:r>
        <w:rPr>
          <w:rFonts w:ascii="宋体" w:hAnsi="宋体"/>
          <w:sz w:val="24"/>
          <w:szCs w:val="24"/>
        </w:rPr>
        <w:t>得分。</w:t>
      </w:r>
    </w:p>
    <w:p>
      <w:pPr>
        <w:spacing w:line="360" w:lineRule="auto"/>
        <w:ind w:firstLine="480" w:firstLineChars="200"/>
        <w:rPr>
          <w:rFonts w:ascii="宋体" w:hAnsi="宋体"/>
          <w:sz w:val="24"/>
          <w:szCs w:val="24"/>
        </w:rPr>
      </w:pPr>
      <w:r>
        <w:rPr>
          <w:rFonts w:ascii="宋体" w:hAnsi="宋体"/>
          <w:sz w:val="24"/>
          <w:szCs w:val="24"/>
        </w:rPr>
        <w:t>（1）按本章第2.2.4项（1）目规定的评审因素和分值对施工组织设计部分计算出得分A；</w:t>
      </w:r>
    </w:p>
    <w:p>
      <w:pPr>
        <w:spacing w:line="360" w:lineRule="auto"/>
        <w:ind w:firstLine="480" w:firstLineChars="200"/>
        <w:rPr>
          <w:rFonts w:ascii="宋体" w:hAnsi="宋体"/>
          <w:sz w:val="24"/>
          <w:szCs w:val="24"/>
        </w:rPr>
      </w:pPr>
      <w:r>
        <w:rPr>
          <w:rFonts w:ascii="宋体" w:hAnsi="宋体"/>
          <w:sz w:val="24"/>
          <w:szCs w:val="24"/>
        </w:rPr>
        <w:t>（2）按本章第2.2.4项（2）目规定的评审因素和分值对主要人员部分计算出得分B；</w:t>
      </w:r>
    </w:p>
    <w:p>
      <w:pPr>
        <w:spacing w:line="360" w:lineRule="auto"/>
        <w:ind w:firstLine="480" w:firstLineChars="200"/>
        <w:rPr>
          <w:rFonts w:ascii="宋体" w:hAnsi="宋体"/>
          <w:sz w:val="24"/>
          <w:szCs w:val="24"/>
        </w:rPr>
      </w:pPr>
      <w:r>
        <w:rPr>
          <w:rFonts w:ascii="宋体" w:hAnsi="宋体"/>
          <w:sz w:val="24"/>
          <w:szCs w:val="24"/>
        </w:rPr>
        <w:t>（3）按本章第2.2.4项（4）目规定的评审因素和分值对其他部分计算出得分D。</w:t>
      </w:r>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2</w:t>
      </w:r>
      <w:r>
        <w:rPr>
          <w:rFonts w:ascii="宋体" w:hAnsi="宋体"/>
          <w:sz w:val="24"/>
          <w:szCs w:val="24"/>
        </w:rPr>
        <w:t xml:space="preserve">.2 </w:t>
      </w:r>
      <w:r>
        <w:rPr>
          <w:rFonts w:hint="eastAsia" w:ascii="宋体" w:hAnsi="宋体"/>
          <w:sz w:val="24"/>
          <w:szCs w:val="24"/>
          <w:lang w:eastAsia="zh-CN"/>
        </w:rPr>
        <w:t>交易响应单位</w:t>
      </w:r>
      <w:r>
        <w:rPr>
          <w:rFonts w:hint="eastAsia" w:ascii="宋体" w:hAnsi="宋体"/>
          <w:sz w:val="24"/>
          <w:szCs w:val="24"/>
        </w:rPr>
        <w:t>的商务和技术得分</w:t>
      </w:r>
      <w:r>
        <w:rPr>
          <w:rFonts w:ascii="宋体" w:hAnsi="宋体"/>
          <w:sz w:val="24"/>
          <w:szCs w:val="24"/>
        </w:rPr>
        <w:t>分值计算保留小数点后两位，小数点后第三位“四舍五入”。</w:t>
      </w:r>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2</w:t>
      </w:r>
      <w:r>
        <w:rPr>
          <w:rFonts w:ascii="宋体" w:hAnsi="宋体"/>
          <w:sz w:val="24"/>
          <w:szCs w:val="24"/>
        </w:rPr>
        <w:t xml:space="preserve">.3 </w:t>
      </w:r>
      <w:r>
        <w:rPr>
          <w:rFonts w:hint="eastAsia" w:ascii="宋体" w:hAnsi="宋体"/>
          <w:sz w:val="24"/>
          <w:szCs w:val="24"/>
          <w:lang w:eastAsia="zh-CN"/>
        </w:rPr>
        <w:t>交易响应单位</w:t>
      </w:r>
      <w:r>
        <w:rPr>
          <w:rFonts w:hint="eastAsia" w:ascii="宋体" w:hAnsi="宋体"/>
          <w:sz w:val="24"/>
          <w:szCs w:val="24"/>
        </w:rPr>
        <w:t>的商务和技术</w:t>
      </w:r>
      <w:r>
        <w:rPr>
          <w:rFonts w:ascii="宋体" w:hAnsi="宋体"/>
          <w:sz w:val="24"/>
          <w:szCs w:val="24"/>
        </w:rPr>
        <w:t>得分=A+B+D。</w:t>
      </w:r>
    </w:p>
    <w:p>
      <w:pPr>
        <w:spacing w:line="360" w:lineRule="auto"/>
        <w:ind w:left="358" w:hanging="358"/>
        <w:rPr>
          <w:rFonts w:ascii="宋体" w:hAnsi="宋体"/>
          <w:b/>
          <w:bCs/>
          <w:kern w:val="44"/>
          <w:sz w:val="24"/>
          <w:szCs w:val="24"/>
        </w:rPr>
      </w:pPr>
      <w:bookmarkStart w:id="155" w:name="_Toc501257165"/>
      <w:r>
        <w:rPr>
          <w:rFonts w:hint="eastAsia" w:ascii="宋体" w:hAnsi="宋体"/>
          <w:b/>
          <w:bCs/>
          <w:kern w:val="44"/>
          <w:sz w:val="24"/>
          <w:szCs w:val="24"/>
        </w:rPr>
        <w:t>3.3 第二个信封开标</w:t>
      </w:r>
      <w:bookmarkEnd w:id="155"/>
    </w:p>
    <w:p>
      <w:pPr>
        <w:spacing w:line="360" w:lineRule="auto"/>
        <w:ind w:firstLine="480" w:firstLineChars="200"/>
        <w:rPr>
          <w:rFonts w:ascii="宋体" w:hAnsi="宋体"/>
          <w:sz w:val="24"/>
          <w:szCs w:val="24"/>
        </w:rPr>
      </w:pPr>
      <w:r>
        <w:rPr>
          <w:rFonts w:ascii="宋体" w:hAnsi="宋体"/>
          <w:sz w:val="24"/>
          <w:szCs w:val="24"/>
        </w:rPr>
        <w:t>第一</w:t>
      </w:r>
      <w:r>
        <w:rPr>
          <w:rFonts w:hint="eastAsia" w:ascii="宋体" w:hAnsi="宋体"/>
          <w:sz w:val="24"/>
          <w:szCs w:val="24"/>
        </w:rPr>
        <w:t>个</w:t>
      </w:r>
      <w:r>
        <w:rPr>
          <w:rFonts w:ascii="宋体" w:hAnsi="宋体"/>
          <w:sz w:val="24"/>
          <w:szCs w:val="24"/>
        </w:rPr>
        <w:t>信封（商务及技术文件）评审结束后，招标人将按照</w:t>
      </w:r>
      <w:r>
        <w:rPr>
          <w:rFonts w:hint="eastAsia" w:ascii="宋体" w:hAnsi="宋体"/>
          <w:sz w:val="24"/>
          <w:szCs w:val="24"/>
        </w:rPr>
        <w:t>第二章</w:t>
      </w:r>
      <w:r>
        <w:rPr>
          <w:rFonts w:ascii="宋体" w:hAnsi="宋体"/>
          <w:sz w:val="24"/>
          <w:szCs w:val="24"/>
        </w:rPr>
        <w:t>“</w:t>
      </w:r>
      <w:r>
        <w:rPr>
          <w:rFonts w:hint="eastAsia" w:ascii="宋体" w:hAnsi="宋体"/>
          <w:sz w:val="24"/>
          <w:szCs w:val="24"/>
          <w:lang w:eastAsia="zh-CN"/>
        </w:rPr>
        <w:t>交易须知</w:t>
      </w:r>
      <w:r>
        <w:rPr>
          <w:rFonts w:ascii="宋体" w:hAnsi="宋体"/>
          <w:sz w:val="24"/>
          <w:szCs w:val="24"/>
        </w:rPr>
        <w:t>”</w:t>
      </w:r>
      <w:r>
        <w:rPr>
          <w:rFonts w:hint="eastAsia" w:ascii="宋体" w:hAnsi="宋体"/>
          <w:sz w:val="24"/>
          <w:szCs w:val="24"/>
        </w:rPr>
        <w:t>第5.1款</w:t>
      </w:r>
      <w:r>
        <w:rPr>
          <w:rFonts w:ascii="宋体" w:hAnsi="宋体"/>
          <w:sz w:val="24"/>
          <w:szCs w:val="24"/>
        </w:rPr>
        <w:t>规定的时间和地点</w:t>
      </w:r>
      <w:r>
        <w:rPr>
          <w:rFonts w:hint="eastAsia" w:ascii="宋体" w:hAnsi="宋体"/>
          <w:sz w:val="24"/>
          <w:szCs w:val="24"/>
        </w:rPr>
        <w:t>对</w:t>
      </w:r>
      <w:r>
        <w:rPr>
          <w:rFonts w:ascii="宋体" w:hAnsi="宋体"/>
          <w:sz w:val="24"/>
          <w:szCs w:val="24"/>
        </w:rPr>
        <w:t>通过</w:t>
      </w:r>
      <w:r>
        <w:rPr>
          <w:rFonts w:hint="eastAsia" w:ascii="宋体" w:hAnsi="宋体"/>
          <w:sz w:val="24"/>
          <w:szCs w:val="24"/>
          <w:lang w:eastAsia="zh-CN"/>
        </w:rPr>
        <w:t>交易响应文件</w:t>
      </w:r>
      <w:r>
        <w:rPr>
          <w:rFonts w:ascii="宋体" w:hAnsi="宋体"/>
          <w:sz w:val="24"/>
          <w:szCs w:val="24"/>
        </w:rPr>
        <w:t>第一</w:t>
      </w:r>
      <w:r>
        <w:rPr>
          <w:rFonts w:hint="eastAsia" w:ascii="宋体" w:hAnsi="宋体"/>
          <w:sz w:val="24"/>
          <w:szCs w:val="24"/>
        </w:rPr>
        <w:t>个</w:t>
      </w:r>
      <w:r>
        <w:rPr>
          <w:rFonts w:ascii="宋体" w:hAnsi="宋体"/>
          <w:sz w:val="24"/>
          <w:szCs w:val="24"/>
        </w:rPr>
        <w:t>信封（商务及技术文件）评审的</w:t>
      </w:r>
      <w:r>
        <w:rPr>
          <w:rFonts w:hint="eastAsia" w:ascii="宋体" w:hAnsi="宋体"/>
          <w:sz w:val="24"/>
          <w:szCs w:val="24"/>
          <w:lang w:eastAsia="zh-CN"/>
        </w:rPr>
        <w:t>交易响应文件</w:t>
      </w:r>
      <w:r>
        <w:rPr>
          <w:rFonts w:ascii="宋体" w:hAnsi="宋体"/>
          <w:sz w:val="24"/>
          <w:szCs w:val="24"/>
        </w:rPr>
        <w:t>第二</w:t>
      </w:r>
      <w:r>
        <w:rPr>
          <w:rFonts w:hint="eastAsia" w:ascii="宋体" w:hAnsi="宋体"/>
          <w:sz w:val="24"/>
          <w:szCs w:val="24"/>
        </w:rPr>
        <w:t>个</w:t>
      </w:r>
      <w:r>
        <w:rPr>
          <w:rFonts w:ascii="宋体" w:hAnsi="宋体"/>
          <w:sz w:val="24"/>
          <w:szCs w:val="24"/>
        </w:rPr>
        <w:t>信封（报价</w:t>
      </w:r>
      <w:r>
        <w:rPr>
          <w:rFonts w:hint="eastAsia" w:ascii="宋体" w:hAnsi="宋体"/>
          <w:sz w:val="24"/>
          <w:szCs w:val="24"/>
        </w:rPr>
        <w:t>文件</w:t>
      </w:r>
      <w:r>
        <w:rPr>
          <w:rFonts w:ascii="宋体" w:hAnsi="宋体"/>
          <w:sz w:val="24"/>
          <w:szCs w:val="24"/>
        </w:rPr>
        <w:t>）进行开标。</w:t>
      </w:r>
    </w:p>
    <w:p>
      <w:pPr>
        <w:spacing w:line="360" w:lineRule="auto"/>
        <w:ind w:left="358" w:hanging="358"/>
        <w:rPr>
          <w:rFonts w:ascii="宋体" w:hAnsi="宋体"/>
          <w:b/>
          <w:bCs/>
          <w:kern w:val="44"/>
          <w:sz w:val="24"/>
          <w:szCs w:val="24"/>
        </w:rPr>
      </w:pPr>
      <w:bookmarkStart w:id="156" w:name="_Toc501257166"/>
      <w:r>
        <w:rPr>
          <w:rFonts w:hint="eastAsia" w:ascii="宋体" w:hAnsi="宋体"/>
          <w:b/>
          <w:bCs/>
          <w:kern w:val="44"/>
          <w:sz w:val="24"/>
          <w:szCs w:val="24"/>
        </w:rPr>
        <w:t>3.4第二个信封初步评审</w:t>
      </w:r>
      <w:bookmarkEnd w:id="156"/>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4</w:t>
      </w:r>
      <w:r>
        <w:rPr>
          <w:rFonts w:ascii="宋体" w:hAnsi="宋体"/>
          <w:sz w:val="24"/>
          <w:szCs w:val="24"/>
        </w:rPr>
        <w:t>.1 评标委员会依据本章第2.1.1项、第2.1.3项规定的评审标准对</w:t>
      </w:r>
      <w:r>
        <w:rPr>
          <w:rFonts w:hint="eastAsia" w:ascii="宋体" w:hAnsi="宋体"/>
          <w:sz w:val="24"/>
          <w:szCs w:val="24"/>
          <w:lang w:eastAsia="zh-CN"/>
        </w:rPr>
        <w:t>交易响应文件</w:t>
      </w:r>
      <w:r>
        <w:rPr>
          <w:rFonts w:hint="eastAsia" w:ascii="宋体" w:hAnsi="宋体"/>
          <w:sz w:val="24"/>
          <w:szCs w:val="24"/>
        </w:rPr>
        <w:t>第二个信封（报价文件）</w:t>
      </w:r>
      <w:r>
        <w:rPr>
          <w:rFonts w:ascii="宋体" w:hAnsi="宋体"/>
          <w:sz w:val="24"/>
          <w:szCs w:val="24"/>
        </w:rPr>
        <w:t>进行初步评审。有一项不符合评审标准的，</w:t>
      </w:r>
      <w:r>
        <w:rPr>
          <w:rFonts w:hint="eastAsia" w:ascii="宋体" w:hAnsi="宋体"/>
          <w:sz w:val="24"/>
          <w:szCs w:val="24"/>
        </w:rPr>
        <w:t>评标委员会应否决其投标</w:t>
      </w:r>
      <w:r>
        <w:rPr>
          <w:rFonts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4</w:t>
      </w:r>
      <w:r>
        <w:rPr>
          <w:rFonts w:ascii="宋体" w:hAnsi="宋体"/>
          <w:sz w:val="24"/>
          <w:szCs w:val="24"/>
        </w:rPr>
        <w:t>.</w:t>
      </w:r>
      <w:r>
        <w:rPr>
          <w:rFonts w:hint="eastAsia" w:ascii="宋体" w:hAnsi="宋体"/>
          <w:sz w:val="24"/>
          <w:szCs w:val="24"/>
        </w:rPr>
        <w:t>2</w:t>
      </w:r>
      <w:r>
        <w:rPr>
          <w:rFonts w:ascii="宋体" w:hAnsi="宋体"/>
          <w:sz w:val="24"/>
          <w:szCs w:val="24"/>
        </w:rPr>
        <w:t xml:space="preserve"> 投标报价有算术错误的，评标委员会按以下原则对投标报价进行修正，修正的价格经</w:t>
      </w:r>
      <w:r>
        <w:rPr>
          <w:rFonts w:hint="eastAsia" w:ascii="宋体" w:hAnsi="宋体"/>
          <w:sz w:val="24"/>
          <w:szCs w:val="24"/>
          <w:lang w:eastAsia="zh-CN"/>
        </w:rPr>
        <w:t>交易响应单位</w:t>
      </w:r>
      <w:r>
        <w:rPr>
          <w:rFonts w:ascii="宋体" w:hAnsi="宋体"/>
          <w:sz w:val="24"/>
          <w:szCs w:val="24"/>
        </w:rPr>
        <w:t>书面确认后具有约束力。</w:t>
      </w:r>
      <w:r>
        <w:rPr>
          <w:rFonts w:hint="eastAsia" w:ascii="宋体" w:hAnsi="宋体"/>
          <w:sz w:val="24"/>
          <w:szCs w:val="24"/>
          <w:lang w:eastAsia="zh-CN"/>
        </w:rPr>
        <w:t>交易响应单位</w:t>
      </w:r>
      <w:r>
        <w:rPr>
          <w:rFonts w:ascii="宋体" w:hAnsi="宋体"/>
          <w:sz w:val="24"/>
          <w:szCs w:val="24"/>
        </w:rPr>
        <w:t>不接受修正价格的，</w:t>
      </w:r>
      <w:r>
        <w:rPr>
          <w:rFonts w:hint="eastAsia" w:ascii="宋体" w:hAnsi="宋体"/>
          <w:sz w:val="24"/>
          <w:szCs w:val="24"/>
        </w:rPr>
        <w:t>评标委员会应否决其投标。</w:t>
      </w:r>
    </w:p>
    <w:p>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lang w:eastAsia="zh-CN"/>
        </w:rPr>
        <w:t>交易响应文件</w:t>
      </w:r>
      <w:r>
        <w:rPr>
          <w:rFonts w:ascii="宋体" w:hAnsi="宋体"/>
          <w:sz w:val="24"/>
          <w:szCs w:val="24"/>
        </w:rPr>
        <w:t>中的大写金额与小写金额不一致的，以大写金额为准；</w:t>
      </w:r>
    </w:p>
    <w:p>
      <w:pPr>
        <w:spacing w:line="360" w:lineRule="auto"/>
        <w:ind w:firstLine="480" w:firstLineChars="200"/>
        <w:rPr>
          <w:rFonts w:ascii="宋体" w:hAnsi="宋体"/>
          <w:sz w:val="24"/>
          <w:szCs w:val="24"/>
        </w:rPr>
      </w:pPr>
      <w:r>
        <w:rPr>
          <w:rFonts w:ascii="宋体" w:hAnsi="宋体"/>
          <w:sz w:val="24"/>
          <w:szCs w:val="24"/>
        </w:rPr>
        <w:t>（2）总价金额与依据单价计算出的结果不一致的，以单价金额为准修正总价，但单价金额小数点有明显错误的除外;</w:t>
      </w:r>
    </w:p>
    <w:p>
      <w:pPr>
        <w:spacing w:line="360" w:lineRule="auto"/>
        <w:ind w:firstLine="480" w:firstLineChars="200"/>
        <w:rPr>
          <w:rFonts w:ascii="宋体" w:hAnsi="宋体"/>
          <w:sz w:val="24"/>
          <w:szCs w:val="24"/>
        </w:rPr>
      </w:pPr>
      <w:r>
        <w:rPr>
          <w:rFonts w:hint="eastAsia" w:ascii="宋体" w:hAnsi="宋体"/>
          <w:sz w:val="24"/>
          <w:szCs w:val="24"/>
        </w:rPr>
        <w:t>（3）当单价与数量相乘不等于合价时，以单价计算为准，如果单价有明显的小数点位置差错，应以标出的合价为准，同时对单价予以修正；</w:t>
      </w:r>
    </w:p>
    <w:p>
      <w:pPr>
        <w:spacing w:line="360" w:lineRule="auto"/>
        <w:ind w:firstLine="480" w:firstLineChars="200"/>
        <w:rPr>
          <w:rFonts w:ascii="宋体" w:hAnsi="宋体"/>
          <w:sz w:val="24"/>
          <w:szCs w:val="24"/>
        </w:rPr>
      </w:pPr>
      <w:r>
        <w:rPr>
          <w:rFonts w:hint="eastAsia" w:ascii="宋体" w:hAnsi="宋体"/>
          <w:sz w:val="24"/>
          <w:szCs w:val="24"/>
        </w:rPr>
        <w:t>（4）当各子目的合价累计不等于总价时，应以各子目合价累计数为准，修正总价。</w:t>
      </w:r>
    </w:p>
    <w:p>
      <w:pPr>
        <w:spacing w:line="360" w:lineRule="auto"/>
        <w:ind w:firstLine="480" w:firstLineChars="200"/>
        <w:rPr>
          <w:rFonts w:ascii="宋体" w:hAnsi="宋体"/>
          <w:sz w:val="24"/>
          <w:szCs w:val="24"/>
        </w:rPr>
      </w:pPr>
      <w:r>
        <w:rPr>
          <w:rFonts w:hint="eastAsia" w:ascii="宋体" w:hAnsi="宋体"/>
          <w:sz w:val="24"/>
          <w:szCs w:val="24"/>
        </w:rPr>
        <w:t>3.4.3 工程量清单中的投标报价有其他错误的，评标委员会按以下原则对投标报价进行修正，修正的价格经</w:t>
      </w:r>
      <w:r>
        <w:rPr>
          <w:rFonts w:hint="eastAsia" w:ascii="宋体" w:hAnsi="宋体"/>
          <w:sz w:val="24"/>
          <w:szCs w:val="24"/>
          <w:lang w:eastAsia="zh-CN"/>
        </w:rPr>
        <w:t>交易响应单位</w:t>
      </w:r>
      <w:r>
        <w:rPr>
          <w:rFonts w:hint="eastAsia" w:ascii="宋体" w:hAnsi="宋体"/>
          <w:sz w:val="24"/>
          <w:szCs w:val="24"/>
        </w:rPr>
        <w:t>书面确认后具有约束力。</w:t>
      </w:r>
      <w:r>
        <w:rPr>
          <w:rFonts w:hint="eastAsia" w:ascii="宋体" w:hAnsi="宋体"/>
          <w:sz w:val="24"/>
          <w:szCs w:val="24"/>
          <w:lang w:eastAsia="zh-CN"/>
        </w:rPr>
        <w:t>交易响应单位</w:t>
      </w:r>
      <w:r>
        <w:rPr>
          <w:rFonts w:hint="eastAsia" w:ascii="宋体" w:hAnsi="宋体"/>
          <w:sz w:val="24"/>
          <w:szCs w:val="24"/>
        </w:rPr>
        <w:t>不接受修正价格的，评标委员会应否决其投标。</w:t>
      </w:r>
    </w:p>
    <w:p>
      <w:pPr>
        <w:spacing w:line="360" w:lineRule="auto"/>
        <w:ind w:firstLine="480" w:firstLineChars="200"/>
        <w:rPr>
          <w:rFonts w:ascii="宋体" w:hAnsi="宋体"/>
          <w:sz w:val="24"/>
          <w:szCs w:val="24"/>
        </w:rPr>
      </w:pPr>
      <w:r>
        <w:rPr>
          <w:rFonts w:hint="eastAsia" w:ascii="宋体" w:hAnsi="宋体"/>
          <w:sz w:val="24"/>
          <w:szCs w:val="24"/>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auto"/>
        <w:ind w:firstLine="480" w:firstLineChars="200"/>
        <w:rPr>
          <w:rFonts w:ascii="宋体" w:hAnsi="宋体"/>
          <w:sz w:val="24"/>
          <w:szCs w:val="24"/>
        </w:rPr>
      </w:pPr>
      <w:r>
        <w:rPr>
          <w:rFonts w:hint="eastAsia" w:ascii="宋体" w:hAnsi="宋体"/>
          <w:sz w:val="24"/>
          <w:szCs w:val="24"/>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360" w:lineRule="auto"/>
        <w:ind w:firstLine="480" w:firstLineChars="200"/>
        <w:rPr>
          <w:rFonts w:ascii="宋体" w:hAnsi="宋体"/>
          <w:sz w:val="24"/>
          <w:szCs w:val="24"/>
        </w:rPr>
      </w:pPr>
      <w:r>
        <w:rPr>
          <w:rFonts w:hint="eastAsia" w:ascii="宋体" w:hAnsi="宋体"/>
          <w:sz w:val="24"/>
          <w:szCs w:val="24"/>
        </w:rPr>
        <w:t>（3）当单价与数量的乘积与合价（金额）虽然一致，但</w:t>
      </w:r>
      <w:r>
        <w:rPr>
          <w:rFonts w:hint="eastAsia" w:ascii="宋体" w:hAnsi="宋体"/>
          <w:sz w:val="24"/>
          <w:szCs w:val="24"/>
          <w:lang w:eastAsia="zh-CN"/>
        </w:rPr>
        <w:t>交易响应单位</w:t>
      </w:r>
      <w:r>
        <w:rPr>
          <w:rFonts w:hint="eastAsia" w:ascii="宋体" w:hAnsi="宋体"/>
          <w:sz w:val="24"/>
          <w:szCs w:val="24"/>
        </w:rPr>
        <w:t>修改了该子目的工程数量，则其合价按招标人给定的工程数量乘以</w:t>
      </w:r>
      <w:r>
        <w:rPr>
          <w:rFonts w:hint="eastAsia" w:ascii="宋体" w:hAnsi="宋体"/>
          <w:sz w:val="24"/>
          <w:szCs w:val="24"/>
          <w:lang w:eastAsia="zh-CN"/>
        </w:rPr>
        <w:t>交易响应单位</w:t>
      </w:r>
      <w:r>
        <w:rPr>
          <w:rFonts w:hint="eastAsia" w:ascii="宋体" w:hAnsi="宋体"/>
          <w:sz w:val="24"/>
          <w:szCs w:val="24"/>
        </w:rPr>
        <w:t>所报单价予以修正。</w:t>
      </w:r>
    </w:p>
    <w:p>
      <w:pPr>
        <w:spacing w:line="360" w:lineRule="auto"/>
        <w:ind w:firstLine="480" w:firstLineChars="200"/>
        <w:rPr>
          <w:rFonts w:ascii="宋体" w:hAnsi="宋体"/>
          <w:sz w:val="24"/>
          <w:szCs w:val="24"/>
        </w:rPr>
      </w:pPr>
      <w:r>
        <w:rPr>
          <w:rFonts w:hint="eastAsia" w:ascii="宋体" w:hAnsi="宋体"/>
          <w:sz w:val="24"/>
          <w:szCs w:val="24"/>
        </w:rPr>
        <w:t>3.4.4 修正后的最终投标报价若超过最高投标限价（如有），评标委员会应否决其投标。</w:t>
      </w:r>
    </w:p>
    <w:p>
      <w:pPr>
        <w:spacing w:line="360" w:lineRule="auto"/>
        <w:ind w:firstLine="482" w:firstLineChars="200"/>
        <w:rPr>
          <w:rFonts w:ascii="宋体" w:hAnsi="宋体"/>
          <w:b/>
          <w:bCs/>
          <w:sz w:val="24"/>
          <w:szCs w:val="24"/>
        </w:rPr>
      </w:pPr>
      <w:r>
        <w:rPr>
          <w:rFonts w:hint="eastAsia" w:ascii="宋体" w:hAnsi="宋体"/>
          <w:b/>
          <w:bCs/>
          <w:sz w:val="24"/>
          <w:szCs w:val="24"/>
        </w:rPr>
        <w:t>3.4.5 修正后的最终投标报价仅作为签订合同的一个依据，不参与评标价得分的计算。</w:t>
      </w:r>
    </w:p>
    <w:p>
      <w:pPr>
        <w:spacing w:line="360" w:lineRule="auto"/>
        <w:ind w:left="358" w:hanging="358"/>
        <w:rPr>
          <w:rFonts w:ascii="宋体" w:hAnsi="宋体"/>
          <w:b/>
          <w:bCs/>
          <w:kern w:val="44"/>
          <w:sz w:val="24"/>
          <w:szCs w:val="24"/>
        </w:rPr>
      </w:pPr>
      <w:bookmarkStart w:id="157" w:name="_Toc501257167"/>
      <w:r>
        <w:rPr>
          <w:rFonts w:hint="eastAsia" w:ascii="宋体" w:hAnsi="宋体"/>
          <w:b/>
          <w:bCs/>
          <w:kern w:val="44"/>
          <w:sz w:val="24"/>
          <w:szCs w:val="24"/>
        </w:rPr>
        <w:t>3.5 第二个信封详细评审</w:t>
      </w:r>
      <w:bookmarkEnd w:id="157"/>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5</w:t>
      </w:r>
      <w:r>
        <w:rPr>
          <w:rFonts w:ascii="宋体" w:hAnsi="宋体"/>
          <w:sz w:val="24"/>
          <w:szCs w:val="24"/>
        </w:rPr>
        <w:t>.1 评标委员会按本章第2.2.4（3）目规定的评审因素和分值对</w:t>
      </w:r>
      <w:r>
        <w:rPr>
          <w:rFonts w:hint="eastAsia" w:ascii="宋体" w:hAnsi="宋体"/>
          <w:sz w:val="24"/>
          <w:szCs w:val="24"/>
        </w:rPr>
        <w:t>评标价</w:t>
      </w:r>
      <w:r>
        <w:rPr>
          <w:rFonts w:ascii="宋体" w:hAnsi="宋体"/>
          <w:sz w:val="24"/>
          <w:szCs w:val="24"/>
        </w:rPr>
        <w:t>计算出得分C</w:t>
      </w:r>
      <w:r>
        <w:rPr>
          <w:rFonts w:hint="eastAsia" w:ascii="宋体" w:hAnsi="宋体"/>
          <w:sz w:val="24"/>
          <w:szCs w:val="24"/>
        </w:rPr>
        <w:t>。评标价得</w:t>
      </w:r>
      <w:r>
        <w:rPr>
          <w:rFonts w:ascii="宋体" w:hAnsi="宋体"/>
          <w:sz w:val="24"/>
          <w:szCs w:val="24"/>
        </w:rPr>
        <w:t>分分值计算保留小数点后两位，小数点后第三位“四舍五入”。</w:t>
      </w:r>
    </w:p>
    <w:p>
      <w:pPr>
        <w:spacing w:line="360" w:lineRule="auto"/>
        <w:ind w:firstLine="480" w:firstLineChars="200"/>
        <w:rPr>
          <w:rFonts w:ascii="宋体" w:hAnsi="宋体"/>
          <w:sz w:val="24"/>
          <w:szCs w:val="24"/>
        </w:rPr>
      </w:pPr>
      <w:r>
        <w:rPr>
          <w:rFonts w:hint="eastAsia" w:ascii="宋体" w:hAnsi="宋体"/>
          <w:sz w:val="24"/>
          <w:szCs w:val="24"/>
        </w:rPr>
        <w:t xml:space="preserve">3.5.2 </w:t>
      </w:r>
      <w:r>
        <w:rPr>
          <w:rFonts w:hint="eastAsia" w:ascii="宋体" w:hAnsi="宋体"/>
          <w:sz w:val="24"/>
          <w:szCs w:val="24"/>
          <w:lang w:eastAsia="zh-CN"/>
        </w:rPr>
        <w:t>交易响应单位</w:t>
      </w:r>
      <w:r>
        <w:rPr>
          <w:rFonts w:ascii="宋体" w:hAnsi="宋体"/>
          <w:sz w:val="24"/>
          <w:szCs w:val="24"/>
        </w:rPr>
        <w:t>综合得分=</w:t>
      </w:r>
      <w:r>
        <w:rPr>
          <w:rFonts w:hint="eastAsia" w:ascii="宋体" w:hAnsi="宋体"/>
          <w:sz w:val="24"/>
          <w:szCs w:val="24"/>
          <w:lang w:eastAsia="zh-CN"/>
        </w:rPr>
        <w:t>交易响应单位</w:t>
      </w:r>
      <w:r>
        <w:rPr>
          <w:rFonts w:hint="eastAsia" w:ascii="宋体" w:hAnsi="宋体"/>
          <w:sz w:val="24"/>
          <w:szCs w:val="24"/>
        </w:rPr>
        <w:t>的商务和技术得分</w:t>
      </w:r>
      <w:r>
        <w:rPr>
          <w:rFonts w:ascii="宋体" w:hAnsi="宋体"/>
          <w:sz w:val="24"/>
          <w:szCs w:val="24"/>
        </w:rPr>
        <w:t>+C。</w:t>
      </w:r>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5</w:t>
      </w:r>
      <w:r>
        <w:rPr>
          <w:rFonts w:ascii="宋体" w:hAnsi="宋体"/>
          <w:sz w:val="24"/>
          <w:szCs w:val="24"/>
        </w:rPr>
        <w:t>.</w:t>
      </w:r>
      <w:r>
        <w:rPr>
          <w:rFonts w:hint="eastAsia" w:ascii="宋体" w:hAnsi="宋体"/>
          <w:sz w:val="24"/>
          <w:szCs w:val="24"/>
        </w:rPr>
        <w:t xml:space="preserve">3 </w:t>
      </w:r>
      <w:r>
        <w:rPr>
          <w:rFonts w:ascii="宋体" w:hAnsi="宋体"/>
          <w:sz w:val="24"/>
          <w:szCs w:val="24"/>
        </w:rPr>
        <w:t>评标委员会发现</w:t>
      </w:r>
      <w:r>
        <w:rPr>
          <w:rFonts w:hint="eastAsia" w:ascii="宋体" w:hAnsi="宋体"/>
          <w:sz w:val="24"/>
          <w:szCs w:val="24"/>
          <w:lang w:eastAsia="zh-CN"/>
        </w:rPr>
        <w:t>交易响应单位</w:t>
      </w:r>
      <w:r>
        <w:rPr>
          <w:rFonts w:ascii="宋体" w:hAnsi="宋体"/>
          <w:sz w:val="24"/>
          <w:szCs w:val="24"/>
        </w:rPr>
        <w:t>的报价明显低于其他投标报价，使得其投标报价可能低于其个别成本的，应要求该</w:t>
      </w:r>
      <w:r>
        <w:rPr>
          <w:rFonts w:hint="eastAsia" w:ascii="宋体" w:hAnsi="宋体"/>
          <w:sz w:val="24"/>
          <w:szCs w:val="24"/>
          <w:lang w:eastAsia="zh-CN"/>
        </w:rPr>
        <w:t>交易响应单位</w:t>
      </w:r>
      <w:r>
        <w:rPr>
          <w:rFonts w:ascii="宋体" w:hAnsi="宋体"/>
          <w:sz w:val="24"/>
          <w:szCs w:val="24"/>
        </w:rPr>
        <w:t>作出书面说明并提供相应的证明材料。</w:t>
      </w:r>
      <w:r>
        <w:rPr>
          <w:rFonts w:hint="eastAsia" w:ascii="宋体" w:hAnsi="宋体"/>
          <w:sz w:val="24"/>
          <w:szCs w:val="24"/>
          <w:lang w:eastAsia="zh-CN"/>
        </w:rPr>
        <w:t>交易响应单位</w:t>
      </w:r>
      <w:r>
        <w:rPr>
          <w:rFonts w:ascii="宋体" w:hAnsi="宋体"/>
          <w:sz w:val="24"/>
          <w:szCs w:val="24"/>
        </w:rPr>
        <w:t>不能合理说明或不能提供相应证明材料的，评标委员会应认定该</w:t>
      </w:r>
      <w:r>
        <w:rPr>
          <w:rFonts w:hint="eastAsia" w:ascii="宋体" w:hAnsi="宋体"/>
          <w:sz w:val="24"/>
          <w:szCs w:val="24"/>
          <w:lang w:eastAsia="zh-CN"/>
        </w:rPr>
        <w:t>交易响应单位</w:t>
      </w:r>
      <w:r>
        <w:rPr>
          <w:rFonts w:ascii="宋体" w:hAnsi="宋体"/>
          <w:sz w:val="24"/>
          <w:szCs w:val="24"/>
        </w:rPr>
        <w:t>以低于成本报价竞标，</w:t>
      </w:r>
      <w:r>
        <w:rPr>
          <w:rFonts w:hint="eastAsia" w:ascii="宋体" w:hAnsi="宋体"/>
          <w:sz w:val="24"/>
          <w:szCs w:val="24"/>
        </w:rPr>
        <w:t>并否决其投标</w:t>
      </w:r>
      <w:r>
        <w:rPr>
          <w:rFonts w:ascii="宋体" w:hAnsi="宋体"/>
          <w:sz w:val="24"/>
          <w:szCs w:val="24"/>
        </w:rPr>
        <w:t>。</w:t>
      </w:r>
    </w:p>
    <w:p>
      <w:pPr>
        <w:spacing w:line="360" w:lineRule="auto"/>
        <w:ind w:left="358" w:hanging="358"/>
        <w:rPr>
          <w:rFonts w:ascii="宋体" w:hAnsi="宋体"/>
          <w:b/>
          <w:bCs/>
          <w:kern w:val="44"/>
          <w:sz w:val="24"/>
          <w:szCs w:val="24"/>
        </w:rPr>
      </w:pPr>
      <w:bookmarkStart w:id="158" w:name="_Toc501257168"/>
      <w:r>
        <w:rPr>
          <w:rFonts w:hint="eastAsia" w:ascii="宋体" w:hAnsi="宋体"/>
          <w:b/>
          <w:bCs/>
          <w:kern w:val="44"/>
          <w:sz w:val="24"/>
          <w:szCs w:val="24"/>
        </w:rPr>
        <w:t xml:space="preserve">3.6 </w:t>
      </w:r>
      <w:r>
        <w:rPr>
          <w:rFonts w:hint="eastAsia" w:ascii="宋体" w:hAnsi="宋体"/>
          <w:b/>
          <w:bCs/>
          <w:kern w:val="44"/>
          <w:sz w:val="24"/>
          <w:szCs w:val="24"/>
          <w:lang w:eastAsia="zh-CN"/>
        </w:rPr>
        <w:t>交易响应文件</w:t>
      </w:r>
      <w:r>
        <w:rPr>
          <w:rFonts w:hint="eastAsia" w:ascii="宋体" w:hAnsi="宋体"/>
          <w:b/>
          <w:bCs/>
          <w:kern w:val="44"/>
          <w:sz w:val="24"/>
          <w:szCs w:val="24"/>
        </w:rPr>
        <w:t>相关信息的核查</w:t>
      </w:r>
      <w:bookmarkEnd w:id="158"/>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6</w:t>
      </w:r>
      <w:r>
        <w:rPr>
          <w:rFonts w:ascii="宋体" w:hAnsi="宋体"/>
          <w:sz w:val="24"/>
          <w:szCs w:val="24"/>
        </w:rPr>
        <w:t>.1</w:t>
      </w:r>
      <w:r>
        <w:rPr>
          <w:rFonts w:hint="eastAsia" w:ascii="宋体" w:hAnsi="宋体"/>
          <w:sz w:val="24"/>
          <w:szCs w:val="24"/>
        </w:rPr>
        <w:t xml:space="preserve"> 在评标过程中，评标</w:t>
      </w:r>
      <w:r>
        <w:rPr>
          <w:rFonts w:ascii="宋体" w:hAnsi="宋体"/>
          <w:sz w:val="24"/>
          <w:szCs w:val="24"/>
        </w:rPr>
        <w:t>委员会应查询</w:t>
      </w:r>
      <w:r>
        <w:rPr>
          <w:rFonts w:hint="eastAsia" w:ascii="宋体" w:hAnsi="宋体"/>
          <w:sz w:val="24"/>
          <w:szCs w:val="24"/>
        </w:rPr>
        <w:t>交通运输主管部门“</w:t>
      </w:r>
      <w:r>
        <w:rPr>
          <w:rFonts w:ascii="宋体" w:hAnsi="宋体"/>
          <w:sz w:val="24"/>
          <w:szCs w:val="24"/>
        </w:rPr>
        <w:t>公路建设市场信用信息管理系统</w:t>
      </w:r>
      <w:r>
        <w:rPr>
          <w:rFonts w:hint="eastAsia" w:ascii="宋体" w:hAnsi="宋体"/>
          <w:sz w:val="24"/>
          <w:szCs w:val="24"/>
        </w:rPr>
        <w:t>”</w:t>
      </w:r>
      <w:r>
        <w:rPr>
          <w:rFonts w:ascii="宋体" w:hAnsi="宋体"/>
          <w:sz w:val="24"/>
          <w:szCs w:val="24"/>
        </w:rPr>
        <w:t>，对</w:t>
      </w:r>
      <w:r>
        <w:rPr>
          <w:rFonts w:hint="eastAsia" w:ascii="宋体" w:hAnsi="宋体"/>
          <w:sz w:val="24"/>
          <w:szCs w:val="24"/>
          <w:lang w:eastAsia="zh-CN"/>
        </w:rPr>
        <w:t>交易响应单位</w:t>
      </w:r>
      <w:r>
        <w:rPr>
          <w:rFonts w:ascii="宋体" w:hAnsi="宋体"/>
          <w:sz w:val="24"/>
          <w:szCs w:val="24"/>
        </w:rPr>
        <w:t>的资质、业绩、主要人员资历和目前在岗情况、信用等级等信息进行核实。若</w:t>
      </w:r>
      <w:r>
        <w:rPr>
          <w:rFonts w:hint="eastAsia" w:ascii="宋体" w:hAnsi="宋体"/>
          <w:sz w:val="24"/>
          <w:szCs w:val="24"/>
          <w:lang w:eastAsia="zh-CN"/>
        </w:rPr>
        <w:t>交易响应文件</w:t>
      </w:r>
      <w:r>
        <w:rPr>
          <w:rFonts w:ascii="宋体" w:hAnsi="宋体"/>
          <w:sz w:val="24"/>
          <w:szCs w:val="24"/>
        </w:rPr>
        <w:t>载明的信息与</w:t>
      </w:r>
      <w:r>
        <w:rPr>
          <w:rFonts w:hint="eastAsia" w:ascii="宋体" w:hAnsi="宋体"/>
          <w:sz w:val="24"/>
          <w:szCs w:val="24"/>
        </w:rPr>
        <w:t>交通运输主管部门“</w:t>
      </w:r>
      <w:r>
        <w:rPr>
          <w:rFonts w:ascii="宋体" w:hAnsi="宋体"/>
          <w:sz w:val="24"/>
          <w:szCs w:val="24"/>
        </w:rPr>
        <w:t>公路建设市场信用信息管理系统</w:t>
      </w:r>
      <w:r>
        <w:rPr>
          <w:rFonts w:hint="eastAsia" w:ascii="宋体" w:hAnsi="宋体"/>
          <w:sz w:val="24"/>
          <w:szCs w:val="24"/>
        </w:rPr>
        <w:t>”</w:t>
      </w:r>
      <w:r>
        <w:rPr>
          <w:rFonts w:ascii="宋体" w:hAnsi="宋体"/>
          <w:sz w:val="24"/>
          <w:szCs w:val="24"/>
        </w:rPr>
        <w:t>发布的信息不符，使得</w:t>
      </w:r>
      <w:r>
        <w:rPr>
          <w:rFonts w:hint="eastAsia" w:ascii="宋体" w:hAnsi="宋体"/>
          <w:sz w:val="24"/>
          <w:szCs w:val="24"/>
          <w:lang w:eastAsia="zh-CN"/>
        </w:rPr>
        <w:t>交易响应单位</w:t>
      </w:r>
      <w:r>
        <w:rPr>
          <w:rFonts w:ascii="宋体" w:hAnsi="宋体"/>
          <w:sz w:val="24"/>
          <w:szCs w:val="24"/>
        </w:rPr>
        <w:t>的资格条件不符合</w:t>
      </w:r>
      <w:r>
        <w:rPr>
          <w:rFonts w:hint="eastAsia" w:ascii="宋体" w:hAnsi="宋体"/>
          <w:sz w:val="24"/>
          <w:szCs w:val="24"/>
          <w:lang w:eastAsia="zh-CN"/>
        </w:rPr>
        <w:t>交易文件</w:t>
      </w:r>
      <w:r>
        <w:rPr>
          <w:rFonts w:ascii="宋体" w:hAnsi="宋体"/>
          <w:sz w:val="24"/>
          <w:szCs w:val="24"/>
        </w:rPr>
        <w:t>规定的，评标委员会应否决其投标。</w:t>
      </w:r>
    </w:p>
    <w:p>
      <w:pPr>
        <w:spacing w:line="360" w:lineRule="auto"/>
        <w:ind w:firstLine="480" w:firstLineChars="200"/>
        <w:rPr>
          <w:rFonts w:ascii="宋体" w:hAnsi="宋体"/>
          <w:sz w:val="24"/>
          <w:szCs w:val="24"/>
        </w:rPr>
      </w:pPr>
      <w:r>
        <w:rPr>
          <w:rFonts w:hint="eastAsia" w:ascii="宋体" w:hAnsi="宋体"/>
          <w:sz w:val="24"/>
          <w:szCs w:val="24"/>
        </w:rPr>
        <w:t xml:space="preserve">3.6.2 </w:t>
      </w:r>
      <w:r>
        <w:rPr>
          <w:rFonts w:ascii="宋体" w:hAnsi="宋体"/>
          <w:sz w:val="24"/>
          <w:szCs w:val="24"/>
        </w:rPr>
        <w:t>评标委员会应对在评标过程中发现的</w:t>
      </w:r>
      <w:r>
        <w:rPr>
          <w:rFonts w:hint="eastAsia" w:ascii="宋体" w:hAnsi="宋体"/>
          <w:sz w:val="24"/>
          <w:szCs w:val="24"/>
          <w:lang w:eastAsia="zh-CN"/>
        </w:rPr>
        <w:t>交易响应单位</w:t>
      </w:r>
      <w:r>
        <w:rPr>
          <w:rFonts w:ascii="宋体" w:hAnsi="宋体"/>
          <w:sz w:val="24"/>
          <w:szCs w:val="24"/>
        </w:rPr>
        <w:t>与</w:t>
      </w:r>
      <w:r>
        <w:rPr>
          <w:rFonts w:hint="eastAsia" w:ascii="宋体" w:hAnsi="宋体"/>
          <w:sz w:val="24"/>
          <w:szCs w:val="24"/>
          <w:lang w:eastAsia="zh-CN"/>
        </w:rPr>
        <w:t>交易响应单位</w:t>
      </w:r>
      <w:r>
        <w:rPr>
          <w:rFonts w:ascii="宋体" w:hAnsi="宋体"/>
          <w:sz w:val="24"/>
          <w:szCs w:val="24"/>
        </w:rPr>
        <w:t>之间、</w:t>
      </w:r>
      <w:r>
        <w:rPr>
          <w:rFonts w:hint="eastAsia" w:ascii="宋体" w:hAnsi="宋体"/>
          <w:sz w:val="24"/>
          <w:szCs w:val="24"/>
          <w:lang w:eastAsia="zh-CN"/>
        </w:rPr>
        <w:t>交易响应单位</w:t>
      </w:r>
      <w:r>
        <w:rPr>
          <w:rFonts w:ascii="宋体" w:hAnsi="宋体"/>
          <w:sz w:val="24"/>
          <w:szCs w:val="24"/>
        </w:rPr>
        <w:t>与招标人之间存在的串通投标的情形进行评审和认定。</w:t>
      </w:r>
      <w:r>
        <w:rPr>
          <w:rFonts w:hint="eastAsia" w:ascii="宋体" w:hAnsi="宋体"/>
          <w:sz w:val="24"/>
          <w:szCs w:val="24"/>
          <w:lang w:eastAsia="zh-CN"/>
        </w:rPr>
        <w:t>交易响应单位</w:t>
      </w:r>
      <w:r>
        <w:rPr>
          <w:rFonts w:hint="eastAsia" w:ascii="宋体" w:hAnsi="宋体"/>
          <w:sz w:val="24"/>
          <w:szCs w:val="24"/>
        </w:rPr>
        <w:t>存在</w:t>
      </w:r>
      <w:r>
        <w:rPr>
          <w:rFonts w:ascii="宋体" w:hAnsi="宋体"/>
          <w:sz w:val="24"/>
          <w:szCs w:val="24"/>
        </w:rPr>
        <w:t>串通投标</w:t>
      </w:r>
      <w:r>
        <w:rPr>
          <w:rFonts w:hint="eastAsia" w:ascii="宋体" w:hAnsi="宋体"/>
          <w:sz w:val="24"/>
          <w:szCs w:val="24"/>
        </w:rPr>
        <w:t>、</w:t>
      </w:r>
      <w:r>
        <w:rPr>
          <w:rFonts w:ascii="宋体" w:hAnsi="宋体"/>
          <w:sz w:val="24"/>
          <w:szCs w:val="24"/>
        </w:rPr>
        <w:t>弄虚作假</w:t>
      </w:r>
      <w:r>
        <w:rPr>
          <w:rFonts w:hint="eastAsia" w:ascii="宋体" w:hAnsi="宋体"/>
          <w:sz w:val="24"/>
          <w:szCs w:val="24"/>
        </w:rPr>
        <w:t>、行贿等</w:t>
      </w:r>
      <w:r>
        <w:rPr>
          <w:rFonts w:ascii="宋体" w:hAnsi="宋体"/>
          <w:sz w:val="24"/>
          <w:szCs w:val="24"/>
        </w:rPr>
        <w:t>违法行为的</w:t>
      </w:r>
      <w:r>
        <w:rPr>
          <w:rFonts w:hint="eastAsia" w:ascii="宋体" w:hAnsi="宋体"/>
          <w:sz w:val="24"/>
          <w:szCs w:val="24"/>
        </w:rPr>
        <w:t>，评标委员会应否决其投标。</w:t>
      </w:r>
    </w:p>
    <w:p>
      <w:pPr>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有下列情形之一的，属于</w:t>
      </w:r>
      <w:r>
        <w:rPr>
          <w:rFonts w:hint="eastAsia" w:ascii="宋体" w:hAnsi="宋体"/>
          <w:sz w:val="24"/>
          <w:szCs w:val="24"/>
          <w:lang w:eastAsia="zh-CN"/>
        </w:rPr>
        <w:t>交易响应单位</w:t>
      </w:r>
      <w:r>
        <w:rPr>
          <w:rFonts w:ascii="宋体" w:hAnsi="宋体"/>
          <w:sz w:val="24"/>
          <w:szCs w:val="24"/>
        </w:rPr>
        <w:t>相互串通投标：</w:t>
      </w:r>
    </w:p>
    <w:p>
      <w:pPr>
        <w:spacing w:line="360" w:lineRule="auto"/>
        <w:ind w:firstLine="480" w:firstLineChars="200"/>
        <w:rPr>
          <w:rFonts w:ascii="宋体" w:hAnsi="宋体"/>
          <w:sz w:val="24"/>
          <w:szCs w:val="24"/>
        </w:rPr>
      </w:pPr>
      <w:r>
        <w:rPr>
          <w:rFonts w:ascii="宋体" w:hAnsi="宋体"/>
          <w:sz w:val="24"/>
          <w:szCs w:val="24"/>
        </w:rPr>
        <w:t>a.</w:t>
      </w:r>
      <w:r>
        <w:rPr>
          <w:rFonts w:hint="eastAsia" w:ascii="宋体" w:hAnsi="宋体"/>
          <w:sz w:val="24"/>
          <w:szCs w:val="24"/>
          <w:lang w:eastAsia="zh-CN"/>
        </w:rPr>
        <w:t>交易响应单位</w:t>
      </w:r>
      <w:r>
        <w:rPr>
          <w:rFonts w:ascii="宋体" w:hAnsi="宋体"/>
          <w:sz w:val="24"/>
          <w:szCs w:val="24"/>
        </w:rPr>
        <w:t>之间协商投标报价等</w:t>
      </w:r>
      <w:r>
        <w:rPr>
          <w:rFonts w:hint="eastAsia" w:ascii="宋体" w:hAnsi="宋体"/>
          <w:sz w:val="24"/>
          <w:szCs w:val="24"/>
          <w:lang w:eastAsia="zh-CN"/>
        </w:rPr>
        <w:t>交易响应文件</w:t>
      </w:r>
      <w:r>
        <w:rPr>
          <w:rFonts w:ascii="宋体" w:hAnsi="宋体"/>
          <w:sz w:val="24"/>
          <w:szCs w:val="24"/>
        </w:rPr>
        <w:t>的实质性内容；</w:t>
      </w:r>
    </w:p>
    <w:p>
      <w:pPr>
        <w:spacing w:line="360" w:lineRule="auto"/>
        <w:ind w:firstLine="480" w:firstLineChars="200"/>
        <w:rPr>
          <w:rFonts w:ascii="宋体" w:hAnsi="宋体"/>
          <w:sz w:val="24"/>
          <w:szCs w:val="24"/>
        </w:rPr>
      </w:pPr>
      <w:r>
        <w:rPr>
          <w:rFonts w:ascii="宋体" w:hAnsi="宋体"/>
          <w:sz w:val="24"/>
          <w:szCs w:val="24"/>
        </w:rPr>
        <w:t>b.</w:t>
      </w:r>
      <w:r>
        <w:rPr>
          <w:rFonts w:hint="eastAsia" w:ascii="宋体" w:hAnsi="宋体"/>
          <w:sz w:val="24"/>
          <w:szCs w:val="24"/>
          <w:lang w:eastAsia="zh-CN"/>
        </w:rPr>
        <w:t>交易响应单位</w:t>
      </w:r>
      <w:r>
        <w:rPr>
          <w:rFonts w:ascii="宋体" w:hAnsi="宋体"/>
          <w:sz w:val="24"/>
          <w:szCs w:val="24"/>
        </w:rPr>
        <w:t>之间约定中标人；</w:t>
      </w:r>
    </w:p>
    <w:p>
      <w:pPr>
        <w:spacing w:line="360" w:lineRule="auto"/>
        <w:ind w:firstLine="480" w:firstLineChars="200"/>
        <w:rPr>
          <w:rFonts w:ascii="宋体" w:hAnsi="宋体"/>
          <w:sz w:val="24"/>
          <w:szCs w:val="24"/>
        </w:rPr>
      </w:pPr>
      <w:r>
        <w:rPr>
          <w:rFonts w:ascii="宋体" w:hAnsi="宋体"/>
          <w:sz w:val="24"/>
          <w:szCs w:val="24"/>
        </w:rPr>
        <w:t>c.</w:t>
      </w:r>
      <w:r>
        <w:rPr>
          <w:rFonts w:hint="eastAsia" w:ascii="宋体" w:hAnsi="宋体"/>
          <w:sz w:val="24"/>
          <w:szCs w:val="24"/>
          <w:lang w:eastAsia="zh-CN"/>
        </w:rPr>
        <w:t>交易响应单位</w:t>
      </w:r>
      <w:r>
        <w:rPr>
          <w:rFonts w:ascii="宋体" w:hAnsi="宋体"/>
          <w:sz w:val="24"/>
          <w:szCs w:val="24"/>
        </w:rPr>
        <w:t>之间约定部分</w:t>
      </w:r>
      <w:r>
        <w:rPr>
          <w:rFonts w:hint="eastAsia" w:ascii="宋体" w:hAnsi="宋体"/>
          <w:sz w:val="24"/>
          <w:szCs w:val="24"/>
          <w:lang w:eastAsia="zh-CN"/>
        </w:rPr>
        <w:t>交易响应单位</w:t>
      </w:r>
      <w:r>
        <w:rPr>
          <w:rFonts w:ascii="宋体" w:hAnsi="宋体"/>
          <w:sz w:val="24"/>
          <w:szCs w:val="24"/>
        </w:rPr>
        <w:t>放弃投标或中标；</w:t>
      </w:r>
    </w:p>
    <w:p>
      <w:pPr>
        <w:spacing w:line="360" w:lineRule="auto"/>
        <w:ind w:firstLine="480" w:firstLineChars="200"/>
        <w:rPr>
          <w:rFonts w:ascii="宋体" w:hAnsi="宋体"/>
          <w:sz w:val="24"/>
          <w:szCs w:val="24"/>
        </w:rPr>
      </w:pPr>
      <w:r>
        <w:rPr>
          <w:rFonts w:ascii="宋体" w:hAnsi="宋体"/>
          <w:sz w:val="24"/>
          <w:szCs w:val="24"/>
        </w:rPr>
        <w:t>d.属于同一集团、协会、商会等组织成员的</w:t>
      </w:r>
      <w:r>
        <w:rPr>
          <w:rFonts w:hint="eastAsia" w:ascii="宋体" w:hAnsi="宋体"/>
          <w:sz w:val="24"/>
          <w:szCs w:val="24"/>
          <w:lang w:eastAsia="zh-CN"/>
        </w:rPr>
        <w:t>交易响应单位</w:t>
      </w:r>
      <w:r>
        <w:rPr>
          <w:rFonts w:ascii="宋体" w:hAnsi="宋体"/>
          <w:sz w:val="24"/>
          <w:szCs w:val="24"/>
        </w:rPr>
        <w:t>按照该组织要求协同投标；</w:t>
      </w:r>
    </w:p>
    <w:p>
      <w:pPr>
        <w:spacing w:line="360" w:lineRule="auto"/>
        <w:ind w:firstLine="480" w:firstLineChars="200"/>
        <w:rPr>
          <w:rFonts w:ascii="宋体" w:hAnsi="宋体"/>
          <w:sz w:val="24"/>
          <w:szCs w:val="24"/>
        </w:rPr>
      </w:pPr>
      <w:r>
        <w:rPr>
          <w:rFonts w:ascii="宋体" w:hAnsi="宋体"/>
          <w:sz w:val="24"/>
          <w:szCs w:val="24"/>
        </w:rPr>
        <w:t>e.</w:t>
      </w:r>
      <w:r>
        <w:rPr>
          <w:rFonts w:hint="eastAsia" w:ascii="宋体" w:hAnsi="宋体"/>
          <w:sz w:val="24"/>
          <w:szCs w:val="24"/>
          <w:lang w:eastAsia="zh-CN"/>
        </w:rPr>
        <w:t>交易响应单位</w:t>
      </w:r>
      <w:r>
        <w:rPr>
          <w:rFonts w:ascii="宋体" w:hAnsi="宋体"/>
          <w:sz w:val="24"/>
          <w:szCs w:val="24"/>
        </w:rPr>
        <w:t>之间为谋取中标或排斥特定</w:t>
      </w:r>
      <w:r>
        <w:rPr>
          <w:rFonts w:hint="eastAsia" w:ascii="宋体" w:hAnsi="宋体"/>
          <w:sz w:val="24"/>
          <w:szCs w:val="24"/>
          <w:lang w:eastAsia="zh-CN"/>
        </w:rPr>
        <w:t>交易响应单位</w:t>
      </w:r>
      <w:r>
        <w:rPr>
          <w:rFonts w:ascii="宋体" w:hAnsi="宋体"/>
          <w:sz w:val="24"/>
          <w:szCs w:val="24"/>
        </w:rPr>
        <w:t>而采取的其他联合行动。</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有下列情形之一的，视为</w:t>
      </w:r>
      <w:r>
        <w:rPr>
          <w:rFonts w:hint="eastAsia" w:ascii="宋体" w:hAnsi="宋体"/>
          <w:sz w:val="24"/>
          <w:szCs w:val="24"/>
          <w:lang w:eastAsia="zh-CN"/>
        </w:rPr>
        <w:t>交易响应单位</w:t>
      </w:r>
      <w:r>
        <w:rPr>
          <w:rFonts w:ascii="宋体" w:hAnsi="宋体"/>
          <w:sz w:val="24"/>
          <w:szCs w:val="24"/>
        </w:rPr>
        <w:t>相互串通投标：</w:t>
      </w:r>
    </w:p>
    <w:p>
      <w:pPr>
        <w:spacing w:line="360" w:lineRule="auto"/>
        <w:ind w:firstLine="480" w:firstLineChars="200"/>
        <w:rPr>
          <w:rFonts w:ascii="宋体" w:hAnsi="宋体"/>
          <w:sz w:val="24"/>
          <w:szCs w:val="24"/>
        </w:rPr>
      </w:pPr>
      <w:r>
        <w:rPr>
          <w:rFonts w:ascii="宋体" w:hAnsi="宋体"/>
          <w:sz w:val="24"/>
          <w:szCs w:val="24"/>
        </w:rPr>
        <w:t>a.不同</w:t>
      </w:r>
      <w:r>
        <w:rPr>
          <w:rFonts w:hint="eastAsia" w:ascii="宋体" w:hAnsi="宋体"/>
          <w:sz w:val="24"/>
          <w:szCs w:val="24"/>
          <w:lang w:eastAsia="zh-CN"/>
        </w:rPr>
        <w:t>交易响应单位</w:t>
      </w:r>
      <w:r>
        <w:rPr>
          <w:rFonts w:ascii="宋体" w:hAnsi="宋体"/>
          <w:sz w:val="24"/>
          <w:szCs w:val="24"/>
        </w:rPr>
        <w:t>的</w:t>
      </w:r>
      <w:r>
        <w:rPr>
          <w:rFonts w:hint="eastAsia" w:ascii="宋体" w:hAnsi="宋体"/>
          <w:sz w:val="24"/>
          <w:szCs w:val="24"/>
          <w:lang w:eastAsia="zh-CN"/>
        </w:rPr>
        <w:t>交易响应文件</w:t>
      </w:r>
      <w:r>
        <w:rPr>
          <w:rFonts w:ascii="宋体" w:hAnsi="宋体"/>
          <w:sz w:val="24"/>
          <w:szCs w:val="24"/>
        </w:rPr>
        <w:t>由同一单位或个人编制；</w:t>
      </w:r>
    </w:p>
    <w:p>
      <w:pPr>
        <w:spacing w:line="360" w:lineRule="auto"/>
        <w:ind w:firstLine="480" w:firstLineChars="200"/>
        <w:rPr>
          <w:rFonts w:ascii="宋体" w:hAnsi="宋体"/>
          <w:sz w:val="24"/>
          <w:szCs w:val="24"/>
        </w:rPr>
      </w:pPr>
      <w:r>
        <w:rPr>
          <w:rFonts w:ascii="宋体" w:hAnsi="宋体"/>
          <w:sz w:val="24"/>
          <w:szCs w:val="24"/>
        </w:rPr>
        <w:t>b.不同</w:t>
      </w:r>
      <w:r>
        <w:rPr>
          <w:rFonts w:hint="eastAsia" w:ascii="宋体" w:hAnsi="宋体"/>
          <w:sz w:val="24"/>
          <w:szCs w:val="24"/>
          <w:lang w:eastAsia="zh-CN"/>
        </w:rPr>
        <w:t>交易响应单位</w:t>
      </w:r>
      <w:r>
        <w:rPr>
          <w:rFonts w:ascii="宋体" w:hAnsi="宋体"/>
          <w:sz w:val="24"/>
          <w:szCs w:val="24"/>
        </w:rPr>
        <w:t>委托同一单位或个人办理投标事宜；</w:t>
      </w:r>
    </w:p>
    <w:p>
      <w:pPr>
        <w:spacing w:line="360" w:lineRule="auto"/>
        <w:ind w:firstLine="480" w:firstLineChars="200"/>
        <w:rPr>
          <w:rFonts w:ascii="宋体" w:hAnsi="宋体"/>
          <w:sz w:val="24"/>
          <w:szCs w:val="24"/>
        </w:rPr>
      </w:pPr>
      <w:r>
        <w:rPr>
          <w:rFonts w:ascii="宋体" w:hAnsi="宋体"/>
          <w:sz w:val="24"/>
          <w:szCs w:val="24"/>
        </w:rPr>
        <w:t>c.不同</w:t>
      </w:r>
      <w:r>
        <w:rPr>
          <w:rFonts w:hint="eastAsia" w:ascii="宋体" w:hAnsi="宋体"/>
          <w:sz w:val="24"/>
          <w:szCs w:val="24"/>
          <w:lang w:eastAsia="zh-CN"/>
        </w:rPr>
        <w:t>交易响应单位</w:t>
      </w:r>
      <w:r>
        <w:rPr>
          <w:rFonts w:ascii="宋体" w:hAnsi="宋体"/>
          <w:sz w:val="24"/>
          <w:szCs w:val="24"/>
        </w:rPr>
        <w:t>的</w:t>
      </w:r>
      <w:r>
        <w:rPr>
          <w:rFonts w:hint="eastAsia" w:ascii="宋体" w:hAnsi="宋体"/>
          <w:sz w:val="24"/>
          <w:szCs w:val="24"/>
          <w:lang w:eastAsia="zh-CN"/>
        </w:rPr>
        <w:t>交易响应文件</w:t>
      </w:r>
      <w:r>
        <w:rPr>
          <w:rFonts w:ascii="宋体" w:hAnsi="宋体"/>
          <w:sz w:val="24"/>
          <w:szCs w:val="24"/>
        </w:rPr>
        <w:t>载明的项目管理成员为同一人；</w:t>
      </w:r>
    </w:p>
    <w:p>
      <w:pPr>
        <w:spacing w:line="360" w:lineRule="auto"/>
        <w:ind w:firstLine="480" w:firstLineChars="200"/>
        <w:rPr>
          <w:rFonts w:ascii="宋体" w:hAnsi="宋体"/>
          <w:sz w:val="24"/>
          <w:szCs w:val="24"/>
        </w:rPr>
      </w:pPr>
      <w:r>
        <w:rPr>
          <w:rFonts w:ascii="宋体" w:hAnsi="宋体"/>
          <w:sz w:val="24"/>
          <w:szCs w:val="24"/>
        </w:rPr>
        <w:t>d.不同</w:t>
      </w:r>
      <w:r>
        <w:rPr>
          <w:rFonts w:hint="eastAsia" w:ascii="宋体" w:hAnsi="宋体"/>
          <w:sz w:val="24"/>
          <w:szCs w:val="24"/>
          <w:lang w:eastAsia="zh-CN"/>
        </w:rPr>
        <w:t>交易响应单位</w:t>
      </w:r>
      <w:r>
        <w:rPr>
          <w:rFonts w:ascii="宋体" w:hAnsi="宋体"/>
          <w:sz w:val="24"/>
          <w:szCs w:val="24"/>
        </w:rPr>
        <w:t>的</w:t>
      </w:r>
      <w:r>
        <w:rPr>
          <w:rFonts w:hint="eastAsia" w:ascii="宋体" w:hAnsi="宋体"/>
          <w:sz w:val="24"/>
          <w:szCs w:val="24"/>
          <w:lang w:eastAsia="zh-CN"/>
        </w:rPr>
        <w:t>交易响应文件</w:t>
      </w:r>
      <w:r>
        <w:rPr>
          <w:rFonts w:ascii="宋体" w:hAnsi="宋体"/>
          <w:sz w:val="24"/>
          <w:szCs w:val="24"/>
        </w:rPr>
        <w:t>异常一致或投标报价呈规律性差异；</w:t>
      </w:r>
    </w:p>
    <w:p>
      <w:pPr>
        <w:spacing w:line="360" w:lineRule="auto"/>
        <w:ind w:firstLine="480" w:firstLineChars="200"/>
        <w:rPr>
          <w:rFonts w:ascii="宋体" w:hAnsi="宋体"/>
          <w:sz w:val="24"/>
          <w:szCs w:val="24"/>
        </w:rPr>
      </w:pPr>
      <w:r>
        <w:rPr>
          <w:rFonts w:ascii="宋体" w:hAnsi="宋体"/>
          <w:sz w:val="24"/>
          <w:szCs w:val="24"/>
        </w:rPr>
        <w:t>e.不同</w:t>
      </w:r>
      <w:r>
        <w:rPr>
          <w:rFonts w:hint="eastAsia" w:ascii="宋体" w:hAnsi="宋体"/>
          <w:sz w:val="24"/>
          <w:szCs w:val="24"/>
          <w:lang w:eastAsia="zh-CN"/>
        </w:rPr>
        <w:t>交易响应单位</w:t>
      </w:r>
      <w:r>
        <w:rPr>
          <w:rFonts w:ascii="宋体" w:hAnsi="宋体"/>
          <w:sz w:val="24"/>
          <w:szCs w:val="24"/>
        </w:rPr>
        <w:t>的</w:t>
      </w:r>
      <w:r>
        <w:rPr>
          <w:rFonts w:hint="eastAsia" w:ascii="宋体" w:hAnsi="宋体"/>
          <w:sz w:val="24"/>
          <w:szCs w:val="24"/>
          <w:lang w:eastAsia="zh-CN"/>
        </w:rPr>
        <w:t>交易响应文件</w:t>
      </w:r>
      <w:r>
        <w:rPr>
          <w:rFonts w:ascii="宋体" w:hAnsi="宋体"/>
          <w:sz w:val="24"/>
          <w:szCs w:val="24"/>
        </w:rPr>
        <w:t>相互混装；</w:t>
      </w:r>
    </w:p>
    <w:p>
      <w:pPr>
        <w:spacing w:line="360" w:lineRule="auto"/>
        <w:ind w:firstLine="480" w:firstLineChars="200"/>
        <w:rPr>
          <w:rFonts w:ascii="宋体" w:hAnsi="宋体"/>
          <w:sz w:val="24"/>
          <w:szCs w:val="24"/>
        </w:rPr>
      </w:pPr>
      <w:r>
        <w:rPr>
          <w:rFonts w:ascii="宋体" w:hAnsi="宋体"/>
          <w:sz w:val="24"/>
          <w:szCs w:val="24"/>
        </w:rPr>
        <w:t>f.不同</w:t>
      </w:r>
      <w:r>
        <w:rPr>
          <w:rFonts w:hint="eastAsia" w:ascii="宋体" w:hAnsi="宋体"/>
          <w:sz w:val="24"/>
          <w:szCs w:val="24"/>
          <w:lang w:eastAsia="zh-CN"/>
        </w:rPr>
        <w:t>交易响应单位</w:t>
      </w:r>
      <w:r>
        <w:rPr>
          <w:rFonts w:ascii="宋体" w:hAnsi="宋体"/>
          <w:sz w:val="24"/>
          <w:szCs w:val="24"/>
        </w:rPr>
        <w:t>的</w:t>
      </w:r>
      <w:r>
        <w:rPr>
          <w:rFonts w:hint="eastAsia" w:ascii="宋体" w:hAnsi="宋体"/>
          <w:sz w:val="24"/>
          <w:szCs w:val="24"/>
          <w:lang w:eastAsia="zh-CN"/>
        </w:rPr>
        <w:t>交易保证金</w:t>
      </w:r>
      <w:r>
        <w:rPr>
          <w:rFonts w:ascii="宋体" w:hAnsi="宋体"/>
          <w:sz w:val="24"/>
          <w:szCs w:val="24"/>
        </w:rPr>
        <w:t>从同一单位或个人的账户转出。</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有下列情形之一的，属于招标人与</w:t>
      </w:r>
      <w:r>
        <w:rPr>
          <w:rFonts w:hint="eastAsia" w:ascii="宋体" w:hAnsi="宋体"/>
          <w:sz w:val="24"/>
          <w:szCs w:val="24"/>
          <w:lang w:eastAsia="zh-CN"/>
        </w:rPr>
        <w:t>交易响应单位</w:t>
      </w:r>
      <w:r>
        <w:rPr>
          <w:rFonts w:ascii="宋体" w:hAnsi="宋体"/>
          <w:sz w:val="24"/>
          <w:szCs w:val="24"/>
        </w:rPr>
        <w:t>串通投标：</w:t>
      </w:r>
    </w:p>
    <w:p>
      <w:pPr>
        <w:spacing w:line="360" w:lineRule="auto"/>
        <w:ind w:firstLine="480" w:firstLineChars="200"/>
        <w:rPr>
          <w:rFonts w:ascii="宋体" w:hAnsi="宋体"/>
          <w:sz w:val="24"/>
          <w:szCs w:val="24"/>
        </w:rPr>
      </w:pPr>
      <w:r>
        <w:rPr>
          <w:rFonts w:ascii="宋体" w:hAnsi="宋体"/>
          <w:sz w:val="24"/>
          <w:szCs w:val="24"/>
        </w:rPr>
        <w:t>a.招标人在开标前开启</w:t>
      </w:r>
      <w:r>
        <w:rPr>
          <w:rFonts w:hint="eastAsia" w:ascii="宋体" w:hAnsi="宋体"/>
          <w:sz w:val="24"/>
          <w:szCs w:val="24"/>
          <w:lang w:eastAsia="zh-CN"/>
        </w:rPr>
        <w:t>交易响应文件</w:t>
      </w:r>
      <w:r>
        <w:rPr>
          <w:rFonts w:ascii="宋体" w:hAnsi="宋体"/>
          <w:sz w:val="24"/>
          <w:szCs w:val="24"/>
        </w:rPr>
        <w:t>并将有关信息泄露给其他</w:t>
      </w:r>
      <w:r>
        <w:rPr>
          <w:rFonts w:hint="eastAsia" w:ascii="宋体" w:hAnsi="宋体"/>
          <w:sz w:val="24"/>
          <w:szCs w:val="24"/>
          <w:lang w:eastAsia="zh-CN"/>
        </w:rPr>
        <w:t>交易响应单位</w:t>
      </w:r>
      <w:r>
        <w:rPr>
          <w:rFonts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b.招标人直接或间接向</w:t>
      </w:r>
      <w:r>
        <w:rPr>
          <w:rFonts w:hint="eastAsia" w:ascii="宋体" w:hAnsi="宋体"/>
          <w:sz w:val="24"/>
          <w:szCs w:val="24"/>
          <w:lang w:eastAsia="zh-CN"/>
        </w:rPr>
        <w:t>交易响应单位</w:t>
      </w:r>
      <w:r>
        <w:rPr>
          <w:rFonts w:ascii="宋体" w:hAnsi="宋体"/>
          <w:sz w:val="24"/>
          <w:szCs w:val="24"/>
        </w:rPr>
        <w:t>泄露标底、评标委员会成员等信息；</w:t>
      </w:r>
    </w:p>
    <w:p>
      <w:pPr>
        <w:spacing w:line="360" w:lineRule="auto"/>
        <w:ind w:firstLine="480" w:firstLineChars="200"/>
        <w:rPr>
          <w:rFonts w:ascii="宋体" w:hAnsi="宋体"/>
          <w:sz w:val="24"/>
          <w:szCs w:val="24"/>
        </w:rPr>
      </w:pPr>
      <w:r>
        <w:rPr>
          <w:rFonts w:ascii="宋体" w:hAnsi="宋体"/>
          <w:sz w:val="24"/>
          <w:szCs w:val="24"/>
        </w:rPr>
        <w:t>c.招标人明示或暗示</w:t>
      </w:r>
      <w:r>
        <w:rPr>
          <w:rFonts w:hint="eastAsia" w:ascii="宋体" w:hAnsi="宋体"/>
          <w:sz w:val="24"/>
          <w:szCs w:val="24"/>
          <w:lang w:eastAsia="zh-CN"/>
        </w:rPr>
        <w:t>交易响应单位</w:t>
      </w:r>
      <w:r>
        <w:rPr>
          <w:rFonts w:ascii="宋体" w:hAnsi="宋体"/>
          <w:sz w:val="24"/>
          <w:szCs w:val="24"/>
        </w:rPr>
        <w:t>压低或抬高投标报价；</w:t>
      </w:r>
    </w:p>
    <w:p>
      <w:pPr>
        <w:spacing w:line="360" w:lineRule="auto"/>
        <w:ind w:firstLine="480" w:firstLineChars="200"/>
        <w:rPr>
          <w:rFonts w:ascii="宋体" w:hAnsi="宋体"/>
          <w:sz w:val="24"/>
          <w:szCs w:val="24"/>
        </w:rPr>
      </w:pPr>
      <w:r>
        <w:rPr>
          <w:rFonts w:ascii="宋体" w:hAnsi="宋体"/>
          <w:sz w:val="24"/>
          <w:szCs w:val="24"/>
        </w:rPr>
        <w:t>d.招标人授意</w:t>
      </w:r>
      <w:r>
        <w:rPr>
          <w:rFonts w:hint="eastAsia" w:ascii="宋体" w:hAnsi="宋体"/>
          <w:sz w:val="24"/>
          <w:szCs w:val="24"/>
          <w:lang w:eastAsia="zh-CN"/>
        </w:rPr>
        <w:t>交易响应单位</w:t>
      </w:r>
      <w:r>
        <w:rPr>
          <w:rFonts w:ascii="宋体" w:hAnsi="宋体"/>
          <w:sz w:val="24"/>
          <w:szCs w:val="24"/>
        </w:rPr>
        <w:t>撤换、修改</w:t>
      </w:r>
      <w:r>
        <w:rPr>
          <w:rFonts w:hint="eastAsia" w:ascii="宋体" w:hAnsi="宋体"/>
          <w:sz w:val="24"/>
          <w:szCs w:val="24"/>
          <w:lang w:eastAsia="zh-CN"/>
        </w:rPr>
        <w:t>交易响应文件</w:t>
      </w:r>
      <w:r>
        <w:rPr>
          <w:rFonts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e.招标人明示或暗示</w:t>
      </w:r>
      <w:r>
        <w:rPr>
          <w:rFonts w:hint="eastAsia" w:ascii="宋体" w:hAnsi="宋体"/>
          <w:sz w:val="24"/>
          <w:szCs w:val="24"/>
          <w:lang w:eastAsia="zh-CN"/>
        </w:rPr>
        <w:t>交易响应单位</w:t>
      </w:r>
      <w:r>
        <w:rPr>
          <w:rFonts w:ascii="宋体" w:hAnsi="宋体"/>
          <w:sz w:val="24"/>
          <w:szCs w:val="24"/>
        </w:rPr>
        <w:t>为特定</w:t>
      </w:r>
      <w:r>
        <w:rPr>
          <w:rFonts w:hint="eastAsia" w:ascii="宋体" w:hAnsi="宋体"/>
          <w:sz w:val="24"/>
          <w:szCs w:val="24"/>
          <w:lang w:eastAsia="zh-CN"/>
        </w:rPr>
        <w:t>交易响应单位</w:t>
      </w:r>
      <w:r>
        <w:rPr>
          <w:rFonts w:ascii="宋体" w:hAnsi="宋体"/>
          <w:sz w:val="24"/>
          <w:szCs w:val="24"/>
        </w:rPr>
        <w:t>中标提供方便；</w:t>
      </w:r>
    </w:p>
    <w:p>
      <w:pPr>
        <w:spacing w:line="360" w:lineRule="auto"/>
        <w:ind w:firstLine="480" w:firstLineChars="200"/>
        <w:rPr>
          <w:rFonts w:ascii="宋体" w:hAnsi="宋体"/>
          <w:sz w:val="24"/>
          <w:szCs w:val="24"/>
        </w:rPr>
      </w:pPr>
      <w:r>
        <w:rPr>
          <w:rFonts w:ascii="宋体" w:hAnsi="宋体"/>
          <w:sz w:val="24"/>
          <w:szCs w:val="24"/>
        </w:rPr>
        <w:t>f.招标人与</w:t>
      </w:r>
      <w:r>
        <w:rPr>
          <w:rFonts w:hint="eastAsia" w:ascii="宋体" w:hAnsi="宋体"/>
          <w:sz w:val="24"/>
          <w:szCs w:val="24"/>
          <w:lang w:eastAsia="zh-CN"/>
        </w:rPr>
        <w:t>交易响应单位</w:t>
      </w:r>
      <w:r>
        <w:rPr>
          <w:rFonts w:ascii="宋体" w:hAnsi="宋体"/>
          <w:sz w:val="24"/>
          <w:szCs w:val="24"/>
        </w:rPr>
        <w:t>为谋求特定</w:t>
      </w:r>
      <w:r>
        <w:rPr>
          <w:rFonts w:hint="eastAsia" w:ascii="宋体" w:hAnsi="宋体"/>
          <w:sz w:val="24"/>
          <w:szCs w:val="24"/>
          <w:lang w:eastAsia="zh-CN"/>
        </w:rPr>
        <w:t>交易响应单位</w:t>
      </w:r>
      <w:r>
        <w:rPr>
          <w:rFonts w:ascii="宋体" w:hAnsi="宋体"/>
          <w:sz w:val="24"/>
          <w:szCs w:val="24"/>
        </w:rPr>
        <w:t>中标而采取的其他串通行为。</w:t>
      </w:r>
    </w:p>
    <w:p>
      <w:pPr>
        <w:spacing w:line="360" w:lineRule="auto"/>
        <w:ind w:firstLine="480" w:firstLineChars="200"/>
        <w:rPr>
          <w:rFonts w:ascii="宋体" w:hAnsi="宋体"/>
          <w:sz w:val="24"/>
          <w:szCs w:val="24"/>
        </w:rPr>
      </w:pPr>
      <w:r>
        <w:rPr>
          <w:rFonts w:hint="eastAsia" w:ascii="宋体" w:hAnsi="宋体"/>
          <w:sz w:val="24"/>
          <w:szCs w:val="24"/>
        </w:rPr>
        <w:t>（4）</w:t>
      </w:r>
      <w:r>
        <w:rPr>
          <w:rFonts w:hint="eastAsia" w:ascii="宋体" w:hAnsi="宋体"/>
          <w:sz w:val="24"/>
          <w:szCs w:val="24"/>
          <w:lang w:eastAsia="zh-CN"/>
        </w:rPr>
        <w:t>交易响应单位</w:t>
      </w:r>
      <w:r>
        <w:rPr>
          <w:rFonts w:ascii="宋体" w:hAnsi="宋体"/>
          <w:sz w:val="24"/>
          <w:szCs w:val="24"/>
        </w:rPr>
        <w:t>有下列情形之一的，属于弄虚作假的行为：</w:t>
      </w:r>
    </w:p>
    <w:p>
      <w:pPr>
        <w:spacing w:line="360" w:lineRule="auto"/>
        <w:ind w:firstLine="480" w:firstLineChars="200"/>
        <w:rPr>
          <w:rFonts w:ascii="宋体" w:hAnsi="宋体"/>
          <w:sz w:val="24"/>
          <w:szCs w:val="24"/>
        </w:rPr>
      </w:pPr>
      <w:r>
        <w:rPr>
          <w:rFonts w:ascii="宋体" w:hAnsi="宋体"/>
          <w:sz w:val="24"/>
          <w:szCs w:val="24"/>
        </w:rPr>
        <w:t>a.使用通过受让或租借等方式获取的资格、资质证书投标</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b.使用伪造、变造的许可证件；</w:t>
      </w:r>
    </w:p>
    <w:p>
      <w:pPr>
        <w:spacing w:line="360" w:lineRule="auto"/>
        <w:ind w:firstLine="480" w:firstLineChars="200"/>
        <w:rPr>
          <w:rFonts w:ascii="宋体" w:hAnsi="宋体"/>
          <w:sz w:val="24"/>
          <w:szCs w:val="24"/>
        </w:rPr>
      </w:pPr>
      <w:r>
        <w:rPr>
          <w:rFonts w:ascii="宋体" w:hAnsi="宋体"/>
          <w:sz w:val="24"/>
          <w:szCs w:val="24"/>
        </w:rPr>
        <w:t>c.提供虚假的财务状况或业绩；</w:t>
      </w:r>
    </w:p>
    <w:p>
      <w:pPr>
        <w:spacing w:line="360" w:lineRule="auto"/>
        <w:ind w:firstLine="480" w:firstLineChars="200"/>
        <w:rPr>
          <w:rFonts w:ascii="宋体" w:hAnsi="宋体"/>
          <w:sz w:val="24"/>
          <w:szCs w:val="24"/>
        </w:rPr>
      </w:pPr>
      <w:r>
        <w:rPr>
          <w:rFonts w:ascii="宋体" w:hAnsi="宋体"/>
          <w:sz w:val="24"/>
          <w:szCs w:val="24"/>
        </w:rPr>
        <w:t>d.提供虚假的项目</w:t>
      </w:r>
      <w:r>
        <w:rPr>
          <w:rFonts w:hint="eastAsia" w:ascii="宋体" w:hAnsi="宋体"/>
          <w:sz w:val="24"/>
          <w:szCs w:val="24"/>
        </w:rPr>
        <w:t>经理</w:t>
      </w:r>
      <w:r>
        <w:rPr>
          <w:rFonts w:ascii="宋体" w:hAnsi="宋体"/>
          <w:sz w:val="24"/>
          <w:szCs w:val="24"/>
        </w:rPr>
        <w:t>或主要技术人员简历、劳动关系证明；</w:t>
      </w:r>
    </w:p>
    <w:p>
      <w:pPr>
        <w:spacing w:line="360" w:lineRule="auto"/>
        <w:ind w:firstLine="480" w:firstLineChars="200"/>
        <w:rPr>
          <w:rFonts w:ascii="宋体" w:hAnsi="宋体"/>
          <w:sz w:val="24"/>
          <w:szCs w:val="24"/>
        </w:rPr>
      </w:pPr>
      <w:r>
        <w:rPr>
          <w:rFonts w:ascii="宋体" w:hAnsi="宋体"/>
          <w:sz w:val="24"/>
          <w:szCs w:val="24"/>
        </w:rPr>
        <w:t>e.提供虚假的信用状况；</w:t>
      </w:r>
    </w:p>
    <w:p>
      <w:pPr>
        <w:spacing w:line="360" w:lineRule="auto"/>
        <w:ind w:firstLine="480" w:firstLineChars="200"/>
        <w:rPr>
          <w:rFonts w:ascii="宋体" w:hAnsi="宋体"/>
          <w:sz w:val="24"/>
          <w:szCs w:val="24"/>
        </w:rPr>
      </w:pPr>
      <w:r>
        <w:rPr>
          <w:rFonts w:ascii="宋体" w:hAnsi="宋体"/>
          <w:sz w:val="24"/>
          <w:szCs w:val="24"/>
        </w:rPr>
        <w:t>f.其他弄虚作假的行为。</w:t>
      </w:r>
    </w:p>
    <w:p>
      <w:pPr>
        <w:spacing w:line="360" w:lineRule="auto"/>
        <w:ind w:left="358" w:hanging="358"/>
        <w:rPr>
          <w:rFonts w:ascii="宋体" w:hAnsi="宋体"/>
          <w:b/>
          <w:bCs/>
          <w:sz w:val="24"/>
          <w:szCs w:val="24"/>
        </w:rPr>
      </w:pPr>
      <w:bookmarkStart w:id="159" w:name="_Toc501257169"/>
      <w:r>
        <w:rPr>
          <w:rFonts w:ascii="宋体" w:hAnsi="宋体"/>
          <w:b/>
          <w:bCs/>
          <w:sz w:val="24"/>
          <w:szCs w:val="24"/>
        </w:rPr>
        <w:t>3.</w:t>
      </w:r>
      <w:r>
        <w:rPr>
          <w:rFonts w:hint="eastAsia" w:ascii="宋体" w:hAnsi="宋体"/>
          <w:b/>
          <w:bCs/>
          <w:sz w:val="24"/>
          <w:szCs w:val="24"/>
        </w:rPr>
        <w:t>7</w:t>
      </w:r>
      <w:r>
        <w:rPr>
          <w:rFonts w:ascii="宋体" w:hAnsi="宋体"/>
          <w:b/>
          <w:bCs/>
          <w:sz w:val="24"/>
          <w:szCs w:val="24"/>
        </w:rPr>
        <w:t xml:space="preserve"> </w:t>
      </w:r>
      <w:r>
        <w:rPr>
          <w:rFonts w:hint="eastAsia" w:ascii="宋体" w:hAnsi="宋体"/>
          <w:b/>
          <w:bCs/>
          <w:sz w:val="24"/>
          <w:szCs w:val="24"/>
          <w:lang w:eastAsia="zh-CN"/>
        </w:rPr>
        <w:t>交易响应文件</w:t>
      </w:r>
      <w:r>
        <w:rPr>
          <w:rFonts w:ascii="宋体" w:hAnsi="宋体"/>
          <w:b/>
          <w:bCs/>
          <w:sz w:val="24"/>
          <w:szCs w:val="24"/>
        </w:rPr>
        <w:t>的澄清和</w:t>
      </w:r>
      <w:r>
        <w:rPr>
          <w:rFonts w:hint="eastAsia" w:ascii="宋体" w:hAnsi="宋体"/>
          <w:b/>
          <w:bCs/>
          <w:sz w:val="24"/>
          <w:szCs w:val="24"/>
        </w:rPr>
        <w:t>说明</w:t>
      </w:r>
      <w:bookmarkEnd w:id="159"/>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7</w:t>
      </w:r>
      <w:r>
        <w:rPr>
          <w:rFonts w:ascii="宋体" w:hAnsi="宋体"/>
          <w:sz w:val="24"/>
          <w:szCs w:val="24"/>
        </w:rPr>
        <w:t>.1</w:t>
      </w:r>
      <w:r>
        <w:rPr>
          <w:rFonts w:hint="eastAsia" w:ascii="宋体" w:hAnsi="宋体"/>
          <w:sz w:val="24"/>
          <w:szCs w:val="24"/>
        </w:rPr>
        <w:t xml:space="preserve"> </w:t>
      </w:r>
      <w:r>
        <w:rPr>
          <w:rFonts w:ascii="宋体" w:hAnsi="宋体"/>
          <w:sz w:val="24"/>
          <w:szCs w:val="24"/>
        </w:rPr>
        <w:t>在评标过程中，评标委员会可以书面形式要求</w:t>
      </w:r>
      <w:r>
        <w:rPr>
          <w:rFonts w:hint="eastAsia" w:ascii="宋体" w:hAnsi="宋体"/>
          <w:sz w:val="24"/>
          <w:szCs w:val="24"/>
          <w:lang w:eastAsia="zh-CN"/>
        </w:rPr>
        <w:t>交易响应单位</w:t>
      </w:r>
      <w:r>
        <w:rPr>
          <w:rFonts w:ascii="宋体" w:hAnsi="宋体"/>
          <w:sz w:val="24"/>
          <w:szCs w:val="24"/>
        </w:rPr>
        <w:t>对</w:t>
      </w:r>
      <w:r>
        <w:rPr>
          <w:rFonts w:hint="eastAsia" w:ascii="宋体" w:hAnsi="宋体"/>
          <w:sz w:val="24"/>
          <w:szCs w:val="24"/>
          <w:lang w:eastAsia="zh-CN"/>
        </w:rPr>
        <w:t>交易响应文件</w:t>
      </w:r>
      <w:r>
        <w:rPr>
          <w:rFonts w:ascii="宋体" w:hAnsi="宋体"/>
          <w:sz w:val="24"/>
          <w:szCs w:val="24"/>
        </w:rPr>
        <w:t>中</w:t>
      </w:r>
      <w:r>
        <w:rPr>
          <w:rFonts w:hint="eastAsia" w:ascii="宋体" w:hAnsi="宋体"/>
          <w:sz w:val="24"/>
          <w:szCs w:val="24"/>
        </w:rPr>
        <w:t>含义</w:t>
      </w:r>
      <w:r>
        <w:rPr>
          <w:rFonts w:ascii="宋体" w:hAnsi="宋体"/>
          <w:sz w:val="24"/>
          <w:szCs w:val="24"/>
        </w:rPr>
        <w:t>不明确的内容</w:t>
      </w:r>
      <w:r>
        <w:rPr>
          <w:rFonts w:hint="eastAsia" w:ascii="宋体" w:hAnsi="宋体"/>
          <w:sz w:val="24"/>
          <w:szCs w:val="24"/>
        </w:rPr>
        <w:t>、明显文字或计算错误</w:t>
      </w:r>
      <w:r>
        <w:rPr>
          <w:rFonts w:ascii="宋体" w:hAnsi="宋体"/>
          <w:sz w:val="24"/>
          <w:szCs w:val="24"/>
        </w:rPr>
        <w:t>进行书面澄清或说明。评标委员会不接受</w:t>
      </w:r>
      <w:r>
        <w:rPr>
          <w:rFonts w:hint="eastAsia" w:ascii="宋体" w:hAnsi="宋体"/>
          <w:sz w:val="24"/>
          <w:szCs w:val="24"/>
          <w:lang w:eastAsia="zh-CN"/>
        </w:rPr>
        <w:t>交易响应单位</w:t>
      </w:r>
      <w:r>
        <w:rPr>
          <w:rFonts w:ascii="宋体" w:hAnsi="宋体"/>
          <w:sz w:val="24"/>
          <w:szCs w:val="24"/>
        </w:rPr>
        <w:t>主动提出的澄清、说明。</w:t>
      </w:r>
      <w:r>
        <w:rPr>
          <w:rFonts w:hint="eastAsia" w:ascii="宋体" w:hAnsi="宋体"/>
          <w:sz w:val="24"/>
          <w:szCs w:val="24"/>
          <w:lang w:eastAsia="zh-CN"/>
        </w:rPr>
        <w:t>交易响应单位</w:t>
      </w:r>
      <w:r>
        <w:rPr>
          <w:rFonts w:ascii="宋体" w:hAnsi="宋体"/>
          <w:sz w:val="24"/>
          <w:szCs w:val="24"/>
        </w:rPr>
        <w:t>不按评标委员会要求澄清</w:t>
      </w:r>
      <w:r>
        <w:rPr>
          <w:rFonts w:hint="eastAsia" w:ascii="宋体" w:hAnsi="宋体"/>
          <w:sz w:val="24"/>
          <w:szCs w:val="24"/>
        </w:rPr>
        <w:t>或</w:t>
      </w:r>
      <w:r>
        <w:rPr>
          <w:rFonts w:ascii="宋体" w:hAnsi="宋体"/>
          <w:sz w:val="24"/>
          <w:szCs w:val="24"/>
        </w:rPr>
        <w:t>说明的</w:t>
      </w:r>
      <w:r>
        <w:rPr>
          <w:rFonts w:hint="eastAsia" w:ascii="宋体" w:hAnsi="宋体"/>
          <w:sz w:val="24"/>
          <w:szCs w:val="24"/>
        </w:rPr>
        <w:t>，评标委员会应否决其投标。</w:t>
      </w:r>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7</w:t>
      </w:r>
      <w:r>
        <w:rPr>
          <w:rFonts w:ascii="宋体" w:hAnsi="宋体"/>
          <w:sz w:val="24"/>
          <w:szCs w:val="24"/>
        </w:rPr>
        <w:t>.2</w:t>
      </w:r>
      <w:r>
        <w:rPr>
          <w:rFonts w:hint="eastAsia" w:ascii="宋体" w:hAnsi="宋体"/>
          <w:sz w:val="24"/>
          <w:szCs w:val="24"/>
        </w:rPr>
        <w:t xml:space="preserve"> </w:t>
      </w:r>
      <w:r>
        <w:rPr>
          <w:rFonts w:ascii="宋体" w:hAnsi="宋体"/>
          <w:sz w:val="24"/>
          <w:szCs w:val="24"/>
        </w:rPr>
        <w:t>澄清</w:t>
      </w:r>
      <w:r>
        <w:rPr>
          <w:rFonts w:hint="eastAsia" w:ascii="宋体" w:hAnsi="宋体"/>
          <w:sz w:val="24"/>
          <w:szCs w:val="24"/>
        </w:rPr>
        <w:t>和</w:t>
      </w:r>
      <w:r>
        <w:rPr>
          <w:rFonts w:ascii="宋体" w:hAnsi="宋体"/>
          <w:sz w:val="24"/>
          <w:szCs w:val="24"/>
        </w:rPr>
        <w:t>说明不得</w:t>
      </w:r>
      <w:r>
        <w:rPr>
          <w:rFonts w:hint="eastAsia" w:ascii="宋体" w:hAnsi="宋体"/>
          <w:sz w:val="24"/>
          <w:szCs w:val="24"/>
        </w:rPr>
        <w:t>超出</w:t>
      </w:r>
      <w:r>
        <w:rPr>
          <w:rFonts w:hint="eastAsia" w:ascii="宋体" w:hAnsi="宋体"/>
          <w:sz w:val="24"/>
          <w:szCs w:val="24"/>
          <w:lang w:eastAsia="zh-CN"/>
        </w:rPr>
        <w:t>交易响应文件</w:t>
      </w:r>
      <w:r>
        <w:rPr>
          <w:rFonts w:hint="eastAsia" w:ascii="宋体" w:hAnsi="宋体"/>
          <w:sz w:val="24"/>
          <w:szCs w:val="24"/>
        </w:rPr>
        <w:t>的范围或</w:t>
      </w:r>
      <w:r>
        <w:rPr>
          <w:rFonts w:ascii="宋体" w:hAnsi="宋体"/>
          <w:sz w:val="24"/>
          <w:szCs w:val="24"/>
        </w:rPr>
        <w:t>改变</w:t>
      </w:r>
      <w:r>
        <w:rPr>
          <w:rFonts w:hint="eastAsia" w:ascii="宋体" w:hAnsi="宋体"/>
          <w:sz w:val="24"/>
          <w:szCs w:val="24"/>
          <w:lang w:eastAsia="zh-CN"/>
        </w:rPr>
        <w:t>交易响应文件</w:t>
      </w:r>
      <w:r>
        <w:rPr>
          <w:rFonts w:ascii="宋体" w:hAnsi="宋体"/>
          <w:sz w:val="24"/>
          <w:szCs w:val="24"/>
        </w:rPr>
        <w:t>的实质性内容（算术性错误的修正除外）。</w:t>
      </w:r>
      <w:r>
        <w:rPr>
          <w:rFonts w:hint="eastAsia" w:ascii="宋体" w:hAnsi="宋体"/>
          <w:sz w:val="24"/>
          <w:szCs w:val="24"/>
          <w:lang w:eastAsia="zh-CN"/>
        </w:rPr>
        <w:t>交易响应单位</w:t>
      </w:r>
      <w:r>
        <w:rPr>
          <w:rFonts w:ascii="宋体" w:hAnsi="宋体"/>
          <w:sz w:val="24"/>
          <w:szCs w:val="24"/>
        </w:rPr>
        <w:t>的书面澄清、说明属于</w:t>
      </w:r>
      <w:r>
        <w:rPr>
          <w:rFonts w:hint="eastAsia" w:ascii="宋体" w:hAnsi="宋体"/>
          <w:sz w:val="24"/>
          <w:szCs w:val="24"/>
          <w:lang w:eastAsia="zh-CN"/>
        </w:rPr>
        <w:t>交易响应文件</w:t>
      </w:r>
      <w:r>
        <w:rPr>
          <w:rFonts w:ascii="宋体" w:hAnsi="宋体"/>
          <w:sz w:val="24"/>
          <w:szCs w:val="24"/>
        </w:rPr>
        <w:t>的组成部分。</w:t>
      </w:r>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7</w:t>
      </w:r>
      <w:r>
        <w:rPr>
          <w:rFonts w:ascii="宋体" w:hAnsi="宋体"/>
          <w:sz w:val="24"/>
          <w:szCs w:val="24"/>
        </w:rPr>
        <w:t>.3</w:t>
      </w:r>
      <w:r>
        <w:rPr>
          <w:rFonts w:hint="eastAsia" w:ascii="宋体" w:hAnsi="宋体"/>
          <w:sz w:val="24"/>
          <w:szCs w:val="24"/>
        </w:rPr>
        <w:t xml:space="preserve"> </w:t>
      </w:r>
      <w:r>
        <w:rPr>
          <w:rFonts w:ascii="宋体" w:hAnsi="宋体"/>
          <w:sz w:val="24"/>
          <w:szCs w:val="24"/>
        </w:rPr>
        <w:t>评标委员会</w:t>
      </w:r>
      <w:r>
        <w:rPr>
          <w:rFonts w:hint="eastAsia" w:ascii="宋体" w:hAnsi="宋体"/>
          <w:sz w:val="24"/>
          <w:szCs w:val="24"/>
        </w:rPr>
        <w:t>不得暗示或诱导</w:t>
      </w:r>
      <w:r>
        <w:rPr>
          <w:rFonts w:hint="eastAsia" w:ascii="宋体" w:hAnsi="宋体"/>
          <w:sz w:val="24"/>
          <w:szCs w:val="24"/>
          <w:lang w:eastAsia="zh-CN"/>
        </w:rPr>
        <w:t>交易响应单位</w:t>
      </w:r>
      <w:r>
        <w:rPr>
          <w:rFonts w:hint="eastAsia" w:ascii="宋体" w:hAnsi="宋体"/>
          <w:sz w:val="24"/>
          <w:szCs w:val="24"/>
        </w:rPr>
        <w:t>作出澄清、说明，</w:t>
      </w:r>
      <w:r>
        <w:rPr>
          <w:rFonts w:ascii="宋体" w:hAnsi="宋体"/>
          <w:sz w:val="24"/>
          <w:szCs w:val="24"/>
        </w:rPr>
        <w:t>对</w:t>
      </w:r>
      <w:r>
        <w:rPr>
          <w:rFonts w:hint="eastAsia" w:ascii="宋体" w:hAnsi="宋体"/>
          <w:sz w:val="24"/>
          <w:szCs w:val="24"/>
          <w:lang w:eastAsia="zh-CN"/>
        </w:rPr>
        <w:t>交易响应单位</w:t>
      </w:r>
      <w:r>
        <w:rPr>
          <w:rFonts w:ascii="宋体" w:hAnsi="宋体"/>
          <w:sz w:val="24"/>
          <w:szCs w:val="24"/>
        </w:rPr>
        <w:t>提交的澄清、说明有疑问的，可以要求</w:t>
      </w:r>
      <w:r>
        <w:rPr>
          <w:rFonts w:hint="eastAsia" w:ascii="宋体" w:hAnsi="宋体"/>
          <w:sz w:val="24"/>
          <w:szCs w:val="24"/>
          <w:lang w:eastAsia="zh-CN"/>
        </w:rPr>
        <w:t>交易响应单位</w:t>
      </w:r>
      <w:r>
        <w:rPr>
          <w:rFonts w:ascii="宋体" w:hAnsi="宋体"/>
          <w:sz w:val="24"/>
          <w:szCs w:val="24"/>
        </w:rPr>
        <w:t>进一步澄清</w:t>
      </w:r>
      <w:r>
        <w:rPr>
          <w:rFonts w:hint="eastAsia" w:ascii="宋体" w:hAnsi="宋体"/>
          <w:sz w:val="24"/>
          <w:szCs w:val="24"/>
        </w:rPr>
        <w:t>或</w:t>
      </w:r>
      <w:r>
        <w:rPr>
          <w:rFonts w:ascii="宋体" w:hAnsi="宋体"/>
          <w:sz w:val="24"/>
          <w:szCs w:val="24"/>
        </w:rPr>
        <w:t>说明，直至满足评标委员会的要求。</w:t>
      </w:r>
    </w:p>
    <w:p>
      <w:pPr>
        <w:spacing w:line="360" w:lineRule="auto"/>
        <w:ind w:firstLine="480" w:firstLineChars="200"/>
        <w:rPr>
          <w:rFonts w:ascii="宋体" w:hAnsi="宋体"/>
          <w:sz w:val="24"/>
          <w:szCs w:val="24"/>
        </w:rPr>
      </w:pPr>
      <w:r>
        <w:rPr>
          <w:rFonts w:hint="eastAsia" w:ascii="宋体" w:hAnsi="宋体"/>
          <w:sz w:val="24"/>
          <w:szCs w:val="24"/>
        </w:rPr>
        <w:t>3.7.4 凡超出</w:t>
      </w:r>
      <w:r>
        <w:rPr>
          <w:rFonts w:hint="eastAsia" w:ascii="宋体" w:hAnsi="宋体"/>
          <w:sz w:val="24"/>
          <w:szCs w:val="24"/>
          <w:lang w:eastAsia="zh-CN"/>
        </w:rPr>
        <w:t>交易文件</w:t>
      </w:r>
      <w:r>
        <w:rPr>
          <w:rFonts w:hint="eastAsia" w:ascii="宋体" w:hAnsi="宋体"/>
          <w:sz w:val="24"/>
          <w:szCs w:val="24"/>
        </w:rPr>
        <w:t>规定的或给发包人带来未曾要求的利益的变化、偏差或其他因素在评标时不予考虑。</w:t>
      </w:r>
    </w:p>
    <w:p>
      <w:pPr>
        <w:spacing w:line="360" w:lineRule="auto"/>
        <w:ind w:left="358" w:hanging="358"/>
        <w:rPr>
          <w:rFonts w:ascii="宋体" w:hAnsi="宋体"/>
          <w:b/>
          <w:bCs/>
          <w:sz w:val="24"/>
          <w:szCs w:val="24"/>
        </w:rPr>
      </w:pPr>
      <w:bookmarkStart w:id="160" w:name="_Toc501257170"/>
      <w:r>
        <w:rPr>
          <w:rFonts w:hint="eastAsia" w:ascii="宋体" w:hAnsi="宋体"/>
          <w:b/>
          <w:bCs/>
          <w:sz w:val="24"/>
          <w:szCs w:val="24"/>
        </w:rPr>
        <w:t>3.8 不得否决投标的情形</w:t>
      </w:r>
      <w:bookmarkEnd w:id="160"/>
    </w:p>
    <w:p>
      <w:pPr>
        <w:spacing w:line="360" w:lineRule="auto"/>
        <w:ind w:firstLine="480" w:firstLineChars="200"/>
        <w:rPr>
          <w:rFonts w:ascii="宋体" w:hAnsi="宋体"/>
          <w:sz w:val="24"/>
          <w:szCs w:val="24"/>
        </w:rPr>
      </w:pPr>
      <w:r>
        <w:rPr>
          <w:rFonts w:hint="eastAsia" w:ascii="宋体" w:hAnsi="宋体"/>
          <w:sz w:val="24"/>
          <w:szCs w:val="24"/>
          <w:lang w:eastAsia="zh-CN"/>
        </w:rPr>
        <w:t>交易响应文件</w:t>
      </w:r>
      <w:r>
        <w:rPr>
          <w:rFonts w:hint="eastAsia" w:ascii="宋体" w:hAnsi="宋体"/>
          <w:sz w:val="24"/>
          <w:szCs w:val="24"/>
        </w:rPr>
        <w:t>存在第二章“</w:t>
      </w:r>
      <w:r>
        <w:rPr>
          <w:rFonts w:hint="eastAsia" w:ascii="宋体" w:hAnsi="宋体"/>
          <w:sz w:val="24"/>
          <w:szCs w:val="24"/>
          <w:lang w:eastAsia="zh-CN"/>
        </w:rPr>
        <w:t>交易须知</w:t>
      </w:r>
      <w:r>
        <w:rPr>
          <w:rFonts w:hint="eastAsia" w:ascii="宋体" w:hAnsi="宋体"/>
          <w:sz w:val="24"/>
          <w:szCs w:val="24"/>
        </w:rPr>
        <w:t>”第1.12.3项所列情形的，均视为细微偏差，评标委员会不得否决</w:t>
      </w:r>
      <w:r>
        <w:rPr>
          <w:rFonts w:hint="eastAsia" w:ascii="宋体" w:hAnsi="宋体"/>
          <w:sz w:val="24"/>
          <w:szCs w:val="24"/>
          <w:lang w:eastAsia="zh-CN"/>
        </w:rPr>
        <w:t>交易响应单位</w:t>
      </w:r>
      <w:r>
        <w:rPr>
          <w:rFonts w:hint="eastAsia" w:ascii="宋体" w:hAnsi="宋体"/>
          <w:sz w:val="24"/>
          <w:szCs w:val="24"/>
        </w:rPr>
        <w:t>的投标，</w:t>
      </w:r>
      <w:r>
        <w:rPr>
          <w:rFonts w:ascii="宋体" w:hAnsi="宋体"/>
          <w:sz w:val="24"/>
          <w:szCs w:val="24"/>
        </w:rPr>
        <w:t>应按照</w:t>
      </w:r>
      <w:r>
        <w:rPr>
          <w:rFonts w:hint="eastAsia" w:ascii="宋体" w:hAnsi="宋体"/>
          <w:sz w:val="24"/>
          <w:szCs w:val="24"/>
        </w:rPr>
        <w:t>第二章“</w:t>
      </w:r>
      <w:r>
        <w:rPr>
          <w:rFonts w:hint="eastAsia" w:ascii="宋体" w:hAnsi="宋体"/>
          <w:sz w:val="24"/>
          <w:szCs w:val="24"/>
          <w:lang w:eastAsia="zh-CN"/>
        </w:rPr>
        <w:t>交易须知</w:t>
      </w:r>
      <w:r>
        <w:rPr>
          <w:rFonts w:hint="eastAsia" w:ascii="宋体" w:hAnsi="宋体"/>
          <w:sz w:val="24"/>
          <w:szCs w:val="24"/>
        </w:rPr>
        <w:t>”第1.12.4项规定的原则处理。</w:t>
      </w:r>
    </w:p>
    <w:p>
      <w:pPr>
        <w:spacing w:line="360" w:lineRule="auto"/>
        <w:ind w:left="358" w:hanging="358"/>
        <w:rPr>
          <w:rFonts w:ascii="宋体" w:hAnsi="宋体"/>
          <w:b/>
          <w:bCs/>
          <w:sz w:val="24"/>
          <w:szCs w:val="24"/>
        </w:rPr>
      </w:pPr>
      <w:bookmarkStart w:id="161" w:name="_Toc501257171"/>
      <w:r>
        <w:rPr>
          <w:rFonts w:ascii="宋体" w:hAnsi="宋体"/>
          <w:b/>
          <w:bCs/>
          <w:sz w:val="24"/>
          <w:szCs w:val="24"/>
        </w:rPr>
        <w:t>3.</w:t>
      </w:r>
      <w:r>
        <w:rPr>
          <w:rFonts w:hint="eastAsia" w:ascii="宋体" w:hAnsi="宋体"/>
          <w:b/>
          <w:bCs/>
          <w:sz w:val="24"/>
          <w:szCs w:val="24"/>
        </w:rPr>
        <w:t>9</w:t>
      </w:r>
      <w:r>
        <w:rPr>
          <w:rFonts w:ascii="宋体" w:hAnsi="宋体"/>
          <w:b/>
          <w:bCs/>
          <w:sz w:val="24"/>
          <w:szCs w:val="24"/>
        </w:rPr>
        <w:t xml:space="preserve"> 评标结果</w:t>
      </w:r>
      <w:bookmarkEnd w:id="161"/>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9</w:t>
      </w:r>
      <w:r>
        <w:rPr>
          <w:rFonts w:ascii="宋体" w:hAnsi="宋体"/>
          <w:sz w:val="24"/>
          <w:szCs w:val="24"/>
        </w:rPr>
        <w:t>.1</w:t>
      </w:r>
      <w:r>
        <w:rPr>
          <w:rFonts w:hint="eastAsia" w:ascii="宋体" w:hAnsi="宋体"/>
          <w:sz w:val="24"/>
          <w:szCs w:val="24"/>
        </w:rPr>
        <w:t xml:space="preserve"> </w:t>
      </w:r>
      <w:r>
        <w:rPr>
          <w:rFonts w:ascii="宋体" w:hAnsi="宋体"/>
          <w:sz w:val="24"/>
          <w:szCs w:val="24"/>
        </w:rPr>
        <w:t>除第二章“</w:t>
      </w:r>
      <w:r>
        <w:rPr>
          <w:rFonts w:hint="eastAsia" w:ascii="宋体" w:hAnsi="宋体"/>
          <w:sz w:val="24"/>
          <w:szCs w:val="24"/>
          <w:lang w:eastAsia="zh-CN"/>
        </w:rPr>
        <w:t>交易须知</w:t>
      </w:r>
      <w:r>
        <w:rPr>
          <w:rFonts w:ascii="宋体" w:hAnsi="宋体"/>
          <w:sz w:val="24"/>
          <w:szCs w:val="24"/>
        </w:rPr>
        <w:t>”前附表授权直接确定中标人外，评标委员会按照得分由高到低的顺序推荐中标候选人</w:t>
      </w:r>
      <w:r>
        <w:rPr>
          <w:rFonts w:hint="eastAsia" w:ascii="宋体" w:hAnsi="宋体"/>
          <w:sz w:val="24"/>
          <w:szCs w:val="24"/>
        </w:rPr>
        <w:t>，</w:t>
      </w:r>
      <w:r>
        <w:rPr>
          <w:rFonts w:ascii="宋体" w:hAnsi="宋体"/>
          <w:sz w:val="24"/>
          <w:szCs w:val="24"/>
        </w:rPr>
        <w:t>并标明排序。</w:t>
      </w:r>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9</w:t>
      </w:r>
      <w:r>
        <w:rPr>
          <w:rFonts w:ascii="宋体" w:hAnsi="宋体"/>
          <w:sz w:val="24"/>
          <w:szCs w:val="24"/>
        </w:rPr>
        <w:t>.2 评标委员会完成评标后，应向招标人提交书面评标报告。</w:t>
      </w:r>
    </w:p>
    <w:p>
      <w:pPr>
        <w:spacing w:line="400" w:lineRule="exact"/>
        <w:ind w:firstLine="480"/>
        <w:rPr>
          <w:rFonts w:ascii="宋体" w:hAnsi="宋体" w:cs="宋体"/>
          <w:szCs w:val="21"/>
        </w:rPr>
      </w:pPr>
    </w:p>
    <w:p>
      <w:pPr>
        <w:pStyle w:val="34"/>
        <w:tabs>
          <w:tab w:val="left" w:pos="1506"/>
        </w:tabs>
        <w:autoSpaceDE w:val="0"/>
        <w:autoSpaceDN w:val="0"/>
        <w:spacing w:before="91" w:line="400" w:lineRule="exact"/>
        <w:ind w:left="0" w:right="266" w:firstLine="404" w:firstLineChars="200"/>
        <w:jc w:val="left"/>
        <w:rPr>
          <w:spacing w:val="-4"/>
          <w:szCs w:val="21"/>
        </w:rPr>
        <w:sectPr>
          <w:headerReference r:id="rId6" w:type="default"/>
          <w:footerReference r:id="rId8" w:type="default"/>
          <w:headerReference r:id="rId7" w:type="even"/>
          <w:footerReference r:id="rId9" w:type="even"/>
          <w:pgSz w:w="11910" w:h="16850"/>
          <w:pgMar w:top="1480" w:right="1200" w:bottom="1040" w:left="1220" w:header="876" w:footer="853" w:gutter="0"/>
          <w:pgBorders>
            <w:top w:val="none" w:sz="0" w:space="0"/>
            <w:left w:val="none" w:sz="0" w:space="0"/>
            <w:bottom w:val="none" w:sz="0" w:space="0"/>
            <w:right w:val="none" w:sz="0" w:space="0"/>
          </w:pgBorders>
          <w:cols w:equalWidth="0" w:num="1">
            <w:col w:w="9490"/>
          </w:cols>
        </w:sectPr>
      </w:pPr>
    </w:p>
    <w:p>
      <w:pPr>
        <w:pStyle w:val="34"/>
        <w:tabs>
          <w:tab w:val="left" w:pos="1506"/>
        </w:tabs>
        <w:autoSpaceDE w:val="0"/>
        <w:autoSpaceDN w:val="0"/>
        <w:spacing w:before="91" w:line="400" w:lineRule="exact"/>
        <w:ind w:left="0" w:right="266" w:firstLine="0"/>
        <w:jc w:val="left"/>
        <w:rPr>
          <w:spacing w:val="-4"/>
          <w:szCs w:val="21"/>
        </w:rPr>
      </w:pPr>
    </w:p>
    <w:p>
      <w:pPr>
        <w:adjustRightInd w:val="0"/>
        <w:snapToGrid w:val="0"/>
        <w:spacing w:line="360" w:lineRule="auto"/>
        <w:jc w:val="center"/>
        <w:rPr>
          <w:rFonts w:ascii="宋体" w:hAnsi="宋体" w:cs="宋体"/>
          <w:sz w:val="52"/>
          <w:szCs w:val="52"/>
        </w:rPr>
      </w:pPr>
      <w:r>
        <w:rPr>
          <w:rFonts w:hint="eastAsia" w:ascii="宋体" w:hAnsi="宋体" w:cs="宋体"/>
          <w:sz w:val="52"/>
          <w:szCs w:val="52"/>
        </w:rPr>
        <w:t xml:space="preserve"> </w:t>
      </w:r>
      <w:bookmarkStart w:id="162" w:name="_Toc10404"/>
    </w:p>
    <w:p>
      <w:pPr>
        <w:adjustRightInd w:val="0"/>
        <w:snapToGrid w:val="0"/>
        <w:spacing w:line="360" w:lineRule="auto"/>
        <w:jc w:val="center"/>
        <w:rPr>
          <w:rFonts w:ascii="宋体" w:hAnsi="宋体" w:cs="宋体"/>
          <w:sz w:val="52"/>
          <w:szCs w:val="52"/>
        </w:rPr>
      </w:pPr>
    </w:p>
    <w:p>
      <w:pPr>
        <w:adjustRightInd w:val="0"/>
        <w:snapToGrid w:val="0"/>
        <w:spacing w:line="360" w:lineRule="auto"/>
        <w:jc w:val="center"/>
        <w:rPr>
          <w:rFonts w:ascii="宋体" w:hAnsi="宋体" w:cs="宋体"/>
          <w:sz w:val="52"/>
          <w:szCs w:val="52"/>
        </w:rPr>
      </w:pPr>
      <w:r>
        <w:rPr>
          <w:rStyle w:val="35"/>
          <w:rFonts w:hint="eastAsia" w:hAnsi="宋体" w:cs="宋体"/>
          <w:sz w:val="52"/>
          <w:szCs w:val="52"/>
        </w:rPr>
        <w:t>第四章 合同条款及格式</w:t>
      </w:r>
      <w:bookmarkEnd w:id="162"/>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r>
        <w:rPr>
          <w:rFonts w:hint="eastAsia" w:ascii="宋体" w:hAnsi="宋体" w:cs="宋体"/>
          <w:b/>
          <w:bCs/>
          <w:sz w:val="28"/>
          <w:szCs w:val="28"/>
        </w:rPr>
        <w:t>一、通用合同条款</w:t>
      </w:r>
    </w:p>
    <w:p>
      <w:pPr>
        <w:adjustRightInd w:val="0"/>
        <w:snapToGrid w:val="0"/>
        <w:spacing w:line="360" w:lineRule="auto"/>
        <w:jc w:val="center"/>
        <w:rPr>
          <w:rFonts w:ascii="宋体" w:hAnsi="宋体" w:cs="宋体"/>
          <w:b/>
          <w:bCs/>
          <w:sz w:val="28"/>
          <w:szCs w:val="28"/>
        </w:rPr>
      </w:pPr>
      <w:r>
        <w:rPr>
          <w:rFonts w:hint="eastAsia" w:ascii="宋体" w:hAnsi="宋体" w:cs="宋体"/>
          <w:b/>
          <w:bCs/>
          <w:sz w:val="28"/>
          <w:szCs w:val="28"/>
        </w:rPr>
        <w:t>二、专用合同条款</w:t>
      </w:r>
    </w:p>
    <w:p>
      <w:pPr>
        <w:adjustRightInd w:val="0"/>
        <w:snapToGrid w:val="0"/>
        <w:spacing w:line="360" w:lineRule="auto"/>
        <w:jc w:val="center"/>
        <w:rPr>
          <w:rFonts w:ascii="宋体" w:hAnsi="宋体" w:cs="宋体"/>
          <w:b/>
          <w:bCs/>
          <w:sz w:val="28"/>
          <w:szCs w:val="28"/>
        </w:rPr>
      </w:pPr>
      <w:r>
        <w:rPr>
          <w:rFonts w:hint="eastAsia" w:ascii="宋体" w:hAnsi="宋体" w:cs="宋体"/>
          <w:b/>
          <w:bCs/>
          <w:sz w:val="28"/>
          <w:szCs w:val="28"/>
        </w:rPr>
        <w:t>A.公路工程专用合同条款</w:t>
      </w:r>
    </w:p>
    <w:p>
      <w:pPr>
        <w:adjustRightInd w:val="0"/>
        <w:snapToGrid w:val="0"/>
        <w:spacing w:line="360" w:lineRule="auto"/>
        <w:jc w:val="center"/>
        <w:rPr>
          <w:rFonts w:ascii="宋体" w:hAnsi="宋体" w:cs="宋体"/>
          <w:b/>
          <w:bCs/>
          <w:sz w:val="28"/>
          <w:szCs w:val="28"/>
        </w:rPr>
      </w:pPr>
      <w:r>
        <w:rPr>
          <w:rFonts w:hint="eastAsia" w:ascii="宋体" w:hAnsi="宋体" w:cs="宋体"/>
          <w:b/>
          <w:bCs/>
          <w:sz w:val="28"/>
          <w:szCs w:val="28"/>
        </w:rPr>
        <w:t>（详见《公路工程标准施工</w:t>
      </w:r>
      <w:r>
        <w:rPr>
          <w:rFonts w:hint="eastAsia" w:ascii="宋体" w:hAnsi="宋体" w:cs="宋体"/>
          <w:b/>
          <w:bCs/>
          <w:sz w:val="28"/>
          <w:szCs w:val="28"/>
          <w:lang w:eastAsia="zh-CN"/>
        </w:rPr>
        <w:t>交易文件</w:t>
      </w:r>
      <w:r>
        <w:rPr>
          <w:rFonts w:hint="eastAsia" w:ascii="宋体" w:hAnsi="宋体" w:cs="宋体"/>
          <w:b/>
          <w:bCs/>
          <w:sz w:val="28"/>
          <w:szCs w:val="28"/>
        </w:rPr>
        <w:t>》（2018年版））</w:t>
      </w:r>
    </w:p>
    <w:p>
      <w:pPr>
        <w:adjustRightInd w:val="0"/>
        <w:snapToGrid w:val="0"/>
        <w:spacing w:line="360" w:lineRule="auto"/>
        <w:jc w:val="center"/>
        <w:rPr>
          <w:rFonts w:ascii="宋体" w:hAnsi="宋体" w:cs="宋体"/>
          <w:b/>
          <w:bCs/>
          <w:sz w:val="44"/>
        </w:rPr>
      </w:pPr>
    </w:p>
    <w:p>
      <w:pPr>
        <w:adjustRightInd w:val="0"/>
        <w:snapToGrid w:val="0"/>
        <w:spacing w:line="360" w:lineRule="auto"/>
        <w:jc w:val="center"/>
        <w:rPr>
          <w:rFonts w:ascii="宋体" w:hAnsi="宋体" w:cs="宋体"/>
          <w:sz w:val="44"/>
        </w:rPr>
      </w:pPr>
    </w:p>
    <w:p>
      <w:pPr>
        <w:adjustRightInd w:val="0"/>
        <w:snapToGrid w:val="0"/>
        <w:spacing w:line="360" w:lineRule="auto"/>
        <w:jc w:val="center"/>
        <w:rPr>
          <w:rFonts w:ascii="宋体" w:hAnsi="宋体" w:cs="宋体"/>
          <w:sz w:val="44"/>
        </w:rPr>
      </w:pPr>
    </w:p>
    <w:p>
      <w:pPr>
        <w:adjustRightInd w:val="0"/>
        <w:snapToGrid w:val="0"/>
        <w:spacing w:line="360" w:lineRule="auto"/>
        <w:jc w:val="center"/>
        <w:rPr>
          <w:rFonts w:ascii="宋体" w:hAnsi="宋体" w:cs="宋体"/>
          <w:sz w:val="44"/>
        </w:rPr>
      </w:pPr>
    </w:p>
    <w:p>
      <w:pPr>
        <w:adjustRightInd w:val="0"/>
        <w:snapToGrid w:val="0"/>
        <w:spacing w:line="360" w:lineRule="auto"/>
        <w:jc w:val="center"/>
        <w:rPr>
          <w:rFonts w:ascii="宋体" w:hAnsi="宋体" w:cs="宋体"/>
          <w:sz w:val="44"/>
        </w:rPr>
      </w:pPr>
    </w:p>
    <w:p>
      <w:pPr>
        <w:adjustRightInd w:val="0"/>
        <w:snapToGrid w:val="0"/>
        <w:spacing w:line="360" w:lineRule="auto"/>
        <w:jc w:val="center"/>
        <w:rPr>
          <w:rFonts w:ascii="宋体" w:hAnsi="宋体" w:cs="宋体"/>
          <w:sz w:val="44"/>
        </w:rPr>
      </w:pPr>
    </w:p>
    <w:p>
      <w:pPr>
        <w:adjustRightInd w:val="0"/>
        <w:snapToGrid w:val="0"/>
        <w:spacing w:line="360" w:lineRule="auto"/>
        <w:jc w:val="center"/>
        <w:rPr>
          <w:rFonts w:ascii="宋体" w:hAnsi="宋体" w:cs="宋体"/>
          <w:sz w:val="44"/>
        </w:rPr>
      </w:pPr>
    </w:p>
    <w:p>
      <w:pPr>
        <w:adjustRightInd w:val="0"/>
        <w:snapToGrid w:val="0"/>
        <w:spacing w:line="360" w:lineRule="auto"/>
        <w:jc w:val="center"/>
        <w:rPr>
          <w:rFonts w:ascii="宋体" w:hAnsi="宋体" w:cs="宋体"/>
          <w:sz w:val="44"/>
        </w:rPr>
      </w:pPr>
    </w:p>
    <w:p>
      <w:pPr>
        <w:jc w:val="center"/>
        <w:rPr>
          <w:rFonts w:ascii="宋体" w:hAnsi="宋体" w:cs="宋体"/>
          <w:b/>
          <w:bCs/>
          <w:sz w:val="32"/>
        </w:rPr>
      </w:pPr>
      <w:r>
        <w:rPr>
          <w:rFonts w:hint="eastAsia" w:ascii="宋体" w:hAnsi="宋体" w:cs="宋体"/>
          <w:b/>
          <w:bCs/>
          <w:sz w:val="32"/>
        </w:rPr>
        <w:br w:type="page"/>
      </w:r>
    </w:p>
    <w:p>
      <w:pPr>
        <w:jc w:val="center"/>
        <w:rPr>
          <w:rFonts w:ascii="宋体" w:hAnsi="宋体" w:cs="宋体"/>
          <w:b/>
          <w:bCs/>
          <w:sz w:val="24"/>
        </w:rPr>
      </w:pPr>
      <w:r>
        <w:rPr>
          <w:rFonts w:hint="eastAsia" w:ascii="宋体" w:hAnsi="宋体" w:cs="宋体"/>
          <w:b/>
          <w:bCs/>
          <w:sz w:val="32"/>
        </w:rPr>
        <w:t>B、项目专用合同条款</w:t>
      </w:r>
    </w:p>
    <w:p>
      <w:pPr>
        <w:rPr>
          <w:rFonts w:ascii="宋体" w:hAnsi="宋体" w:cs="宋体"/>
          <w:b/>
          <w:bCs/>
          <w:sz w:val="24"/>
        </w:rPr>
      </w:pPr>
    </w:p>
    <w:p>
      <w:pPr>
        <w:adjustRightInd w:val="0"/>
        <w:snapToGrid w:val="0"/>
        <w:spacing w:line="360" w:lineRule="auto"/>
        <w:jc w:val="center"/>
        <w:rPr>
          <w:rFonts w:ascii="宋体" w:hAnsi="宋体" w:cs="宋体"/>
          <w:b/>
          <w:sz w:val="32"/>
          <w:szCs w:val="32"/>
        </w:rPr>
      </w:pPr>
      <w:r>
        <w:rPr>
          <w:rFonts w:hint="eastAsia" w:ascii="宋体" w:hAnsi="宋体" w:cs="宋体"/>
          <w:b/>
          <w:sz w:val="32"/>
          <w:szCs w:val="32"/>
        </w:rPr>
        <w:t>项目专用合同条款数据表</w:t>
      </w:r>
    </w:p>
    <w:p>
      <w:pPr>
        <w:adjustRightInd w:val="0"/>
        <w:snapToGrid w:val="0"/>
        <w:spacing w:line="240" w:lineRule="exact"/>
        <w:ind w:firstLine="573"/>
        <w:rPr>
          <w:rFonts w:ascii="宋体" w:hAnsi="宋体" w:cs="宋体"/>
          <w:sz w:val="24"/>
        </w:rPr>
      </w:pPr>
    </w:p>
    <w:p>
      <w:pPr>
        <w:adjustRightInd w:val="0"/>
        <w:snapToGrid w:val="0"/>
        <w:spacing w:line="280" w:lineRule="exact"/>
        <w:ind w:firstLine="573"/>
        <w:rPr>
          <w:rFonts w:ascii="宋体" w:hAnsi="宋体" w:cs="宋体"/>
          <w:szCs w:val="21"/>
        </w:rPr>
      </w:pPr>
      <w:r>
        <w:rPr>
          <w:rFonts w:hint="eastAsia" w:ascii="宋体" w:hAnsi="宋体" w:cs="宋体"/>
          <w:szCs w:val="21"/>
        </w:rPr>
        <w:t>说明：本数据表是项目专用合同条款中适用于本项目的信息和数据的归纳与提示，是项目专用合同条款的组成部分。第八章“</w:t>
      </w:r>
      <w:r>
        <w:rPr>
          <w:rFonts w:hint="eastAsia" w:ascii="宋体" w:hAnsi="宋体" w:cs="宋体"/>
          <w:szCs w:val="21"/>
          <w:lang w:eastAsia="zh-CN"/>
        </w:rPr>
        <w:t>交易响应文件</w:t>
      </w:r>
      <w:r>
        <w:rPr>
          <w:rFonts w:hint="eastAsia" w:ascii="宋体" w:hAnsi="宋体" w:cs="宋体"/>
          <w:szCs w:val="21"/>
        </w:rPr>
        <w:t>格式”的投标承诺函附录中的数据（供</w:t>
      </w:r>
      <w:r>
        <w:rPr>
          <w:rFonts w:hint="eastAsia" w:ascii="宋体" w:hAnsi="宋体" w:cs="宋体"/>
          <w:szCs w:val="21"/>
          <w:lang w:eastAsia="zh-CN"/>
        </w:rPr>
        <w:t>交易响应单位</w:t>
      </w:r>
      <w:r>
        <w:rPr>
          <w:rFonts w:hint="eastAsia" w:ascii="宋体" w:hAnsi="宋体" w:cs="宋体"/>
          <w:szCs w:val="21"/>
        </w:rPr>
        <w:t>确认）与本表所列有重复。若发现不一致时应及时通知招标人。</w:t>
      </w:r>
    </w:p>
    <w:p>
      <w:pPr>
        <w:adjustRightInd w:val="0"/>
        <w:snapToGrid w:val="0"/>
        <w:spacing w:line="280" w:lineRule="exact"/>
        <w:ind w:firstLine="573"/>
        <w:rPr>
          <w:rFonts w:ascii="宋体" w:hAnsi="宋体" w:cs="宋体"/>
        </w:rPr>
      </w:pPr>
    </w:p>
    <w:tbl>
      <w:tblPr>
        <w:tblStyle w:val="16"/>
        <w:tblW w:w="9135" w:type="dxa"/>
        <w:tblInd w:w="21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275"/>
        <w:gridCol w:w="7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1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序号</w:t>
            </w:r>
          </w:p>
        </w:tc>
        <w:tc>
          <w:tcPr>
            <w:tcW w:w="127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条 款 号</w:t>
            </w:r>
          </w:p>
        </w:tc>
        <w:tc>
          <w:tcPr>
            <w:tcW w:w="724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信  息  或  数  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5" w:hRule="exact"/>
        </w:trPr>
        <w:tc>
          <w:tcPr>
            <w:tcW w:w="61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1</w:t>
            </w:r>
          </w:p>
        </w:tc>
        <w:tc>
          <w:tcPr>
            <w:tcW w:w="127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1.1.2.2</w:t>
            </w:r>
          </w:p>
        </w:tc>
        <w:tc>
          <w:tcPr>
            <w:tcW w:w="7245" w:type="dxa"/>
            <w:vAlign w:val="center"/>
          </w:tcPr>
          <w:p>
            <w:pPr>
              <w:adjustRightInd w:val="0"/>
              <w:snapToGrid w:val="0"/>
              <w:spacing w:line="440" w:lineRule="exact"/>
              <w:rPr>
                <w:rFonts w:ascii="宋体" w:hAnsi="宋体" w:cs="宋体"/>
                <w:szCs w:val="21"/>
              </w:rPr>
            </w:pPr>
            <w:r>
              <w:rPr>
                <w:rFonts w:hint="eastAsia" w:ascii="宋体" w:hAnsi="宋体" w:cs="宋体"/>
                <w:kern w:val="0"/>
                <w:szCs w:val="21"/>
              </w:rPr>
              <w:t>发包人：</w:t>
            </w:r>
            <w:r>
              <w:rPr>
                <w:rFonts w:hint="eastAsia" w:ascii="宋体" w:hAnsi="宋体" w:cs="宋体"/>
                <w:szCs w:val="21"/>
                <w:lang w:eastAsia="zh-CN"/>
              </w:rPr>
              <w:t>双牌县公路管理站</w:t>
            </w:r>
            <w:r>
              <w:rPr>
                <w:rFonts w:hint="eastAsia" w:ascii="宋体" w:hAnsi="宋体" w:cs="宋体"/>
                <w:szCs w:val="21"/>
              </w:rPr>
              <w:t xml:space="preserve">       </w:t>
            </w:r>
          </w:p>
          <w:p>
            <w:pPr>
              <w:adjustRightInd w:val="0"/>
              <w:snapToGrid w:val="0"/>
              <w:spacing w:line="440" w:lineRule="exact"/>
              <w:rPr>
                <w:rFonts w:ascii="宋体" w:hAnsi="宋体" w:cs="宋体"/>
                <w:szCs w:val="21"/>
              </w:rPr>
            </w:pPr>
            <w:r>
              <w:rPr>
                <w:rFonts w:hint="eastAsia" w:ascii="宋体" w:hAnsi="宋体" w:cs="宋体"/>
                <w:szCs w:val="21"/>
              </w:rPr>
              <w:t>地  址：</w:t>
            </w:r>
            <w:r>
              <w:rPr>
                <w:rFonts w:hint="eastAsia" w:ascii="宋体" w:hAnsi="宋体" w:cs="宋体"/>
                <w:kern w:val="0"/>
                <w:sz w:val="22"/>
                <w:szCs w:val="22"/>
                <w:lang w:eastAsia="zh-CN"/>
              </w:rPr>
              <w:t>双牌</w:t>
            </w:r>
            <w:r>
              <w:rPr>
                <w:rFonts w:hint="eastAsia" w:ascii="宋体" w:hAnsi="宋体" w:cs="宋体"/>
                <w:kern w:val="0"/>
                <w:sz w:val="22"/>
                <w:szCs w:val="22"/>
              </w:rPr>
              <w:t>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5" w:hRule="exact"/>
        </w:trPr>
        <w:tc>
          <w:tcPr>
            <w:tcW w:w="61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2</w:t>
            </w:r>
          </w:p>
        </w:tc>
        <w:tc>
          <w:tcPr>
            <w:tcW w:w="127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1.1.2.6</w:t>
            </w:r>
          </w:p>
        </w:tc>
        <w:tc>
          <w:tcPr>
            <w:tcW w:w="7245" w:type="dxa"/>
            <w:vAlign w:val="center"/>
          </w:tcPr>
          <w:p>
            <w:pPr>
              <w:adjustRightInd w:val="0"/>
              <w:snapToGrid w:val="0"/>
              <w:spacing w:line="440" w:lineRule="exact"/>
              <w:rPr>
                <w:rFonts w:ascii="宋体" w:hAnsi="宋体" w:cs="宋体"/>
                <w:szCs w:val="21"/>
              </w:rPr>
            </w:pPr>
            <w:r>
              <w:rPr>
                <w:rFonts w:hint="eastAsia" w:ascii="宋体" w:hAnsi="宋体" w:cs="宋体"/>
                <w:szCs w:val="21"/>
              </w:rPr>
              <w:t>监理人：（待定）</w:t>
            </w:r>
          </w:p>
          <w:p>
            <w:pPr>
              <w:adjustRightInd w:val="0"/>
              <w:snapToGrid w:val="0"/>
              <w:spacing w:line="440" w:lineRule="exact"/>
              <w:rPr>
                <w:rFonts w:ascii="宋体" w:hAnsi="宋体" w:cs="宋体"/>
                <w:szCs w:val="21"/>
              </w:rPr>
            </w:pPr>
            <w:r>
              <w:rPr>
                <w:rFonts w:hint="eastAsia" w:ascii="宋体" w:hAnsi="宋体" w:cs="宋体"/>
                <w:szCs w:val="21"/>
              </w:rPr>
              <w:t>地  址：                                     邮  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1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3</w:t>
            </w:r>
          </w:p>
        </w:tc>
        <w:tc>
          <w:tcPr>
            <w:tcW w:w="127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1.1.4.5</w:t>
            </w:r>
          </w:p>
        </w:tc>
        <w:tc>
          <w:tcPr>
            <w:tcW w:w="7245" w:type="dxa"/>
            <w:vAlign w:val="center"/>
          </w:tcPr>
          <w:p>
            <w:pPr>
              <w:adjustRightInd w:val="0"/>
              <w:snapToGrid w:val="0"/>
              <w:spacing w:line="440" w:lineRule="exact"/>
              <w:rPr>
                <w:rFonts w:ascii="宋体" w:hAnsi="宋体" w:cs="宋体"/>
                <w:szCs w:val="21"/>
              </w:rPr>
            </w:pPr>
            <w:r>
              <w:rPr>
                <w:rFonts w:hint="eastAsia" w:ascii="宋体" w:hAnsi="宋体" w:cs="宋体"/>
                <w:szCs w:val="21"/>
              </w:rPr>
              <w:t>缺陷责任期：自实际交工日期起计算</w:t>
            </w:r>
            <w:r>
              <w:rPr>
                <w:rFonts w:hint="eastAsia" w:ascii="宋体" w:hAnsi="宋体" w:cs="宋体"/>
                <w:szCs w:val="21"/>
                <w:u w:val="single"/>
              </w:rPr>
              <w:t xml:space="preserve"> 2 </w:t>
            </w:r>
            <w:r>
              <w:rPr>
                <w:rFonts w:hint="eastAsia" w:ascii="宋体" w:hAnsi="宋体" w:cs="宋体"/>
                <w:szCs w:val="21"/>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0" w:hRule="exact"/>
        </w:trPr>
        <w:tc>
          <w:tcPr>
            <w:tcW w:w="61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4</w:t>
            </w:r>
          </w:p>
        </w:tc>
        <w:tc>
          <w:tcPr>
            <w:tcW w:w="127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1.6.3</w:t>
            </w:r>
          </w:p>
        </w:tc>
        <w:tc>
          <w:tcPr>
            <w:tcW w:w="7245" w:type="dxa"/>
            <w:vAlign w:val="center"/>
          </w:tcPr>
          <w:p>
            <w:pPr>
              <w:adjustRightInd w:val="0"/>
              <w:snapToGrid w:val="0"/>
              <w:spacing w:line="440" w:lineRule="exact"/>
              <w:rPr>
                <w:rFonts w:ascii="宋体" w:hAnsi="宋体" w:cs="宋体"/>
                <w:szCs w:val="21"/>
              </w:rPr>
            </w:pPr>
            <w:r>
              <w:rPr>
                <w:rFonts w:hint="eastAsia" w:ascii="宋体" w:hAnsi="宋体" w:cs="宋体"/>
                <w:szCs w:val="21"/>
              </w:rPr>
              <w:t>图纸需要修改和补充的，应由监理人取得发包人同意后，在该工程或工程相应部位施工前</w:t>
            </w:r>
            <w:r>
              <w:rPr>
                <w:rFonts w:hint="eastAsia" w:ascii="宋体" w:hAnsi="宋体" w:cs="宋体"/>
                <w:szCs w:val="21"/>
                <w:u w:val="single"/>
              </w:rPr>
              <w:t xml:space="preserve">  7 </w:t>
            </w:r>
            <w:r>
              <w:rPr>
                <w:rFonts w:hint="eastAsia" w:ascii="宋体" w:hAnsi="宋体" w:cs="宋体"/>
                <w:szCs w:val="21"/>
              </w:rPr>
              <w:t>天签发图纸修改图给承包人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6" w:hRule="exact"/>
        </w:trPr>
        <w:tc>
          <w:tcPr>
            <w:tcW w:w="61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5</w:t>
            </w:r>
          </w:p>
        </w:tc>
        <w:tc>
          <w:tcPr>
            <w:tcW w:w="127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3.1.1</w:t>
            </w:r>
          </w:p>
        </w:tc>
        <w:tc>
          <w:tcPr>
            <w:tcW w:w="7245" w:type="dxa"/>
            <w:vAlign w:val="center"/>
          </w:tcPr>
          <w:p>
            <w:pPr>
              <w:adjustRightInd w:val="0"/>
              <w:snapToGrid w:val="0"/>
              <w:spacing w:line="440" w:lineRule="exact"/>
              <w:rPr>
                <w:rFonts w:ascii="宋体" w:hAnsi="宋体" w:cs="宋体"/>
                <w:szCs w:val="21"/>
              </w:rPr>
            </w:pPr>
            <w:r>
              <w:rPr>
                <w:rFonts w:hint="eastAsia" w:ascii="宋体" w:hAnsi="宋体" w:cs="宋体"/>
                <w:szCs w:val="21"/>
              </w:rPr>
              <w:t>监理人在行使下列权力前需要经发包人事先批准：</w:t>
            </w:r>
          </w:p>
          <w:p>
            <w:pPr>
              <w:adjustRightInd w:val="0"/>
              <w:snapToGrid w:val="0"/>
              <w:spacing w:line="440" w:lineRule="exact"/>
              <w:rPr>
                <w:rFonts w:ascii="宋体" w:hAnsi="宋体" w:cs="宋体"/>
                <w:szCs w:val="21"/>
              </w:rPr>
            </w:pPr>
            <w:r>
              <w:rPr>
                <w:rFonts w:hint="eastAsia" w:ascii="宋体" w:hAnsi="宋体" w:cs="宋体"/>
                <w:szCs w:val="21"/>
              </w:rPr>
              <w:t>（6）根据第15.3款发出的变更指示的，监理人的变更权限</w:t>
            </w:r>
            <w:r>
              <w:rPr>
                <w:rFonts w:hint="eastAsia" w:ascii="宋体" w:hAnsi="宋体" w:cs="宋体"/>
                <w:szCs w:val="21"/>
                <w:u w:val="single"/>
              </w:rPr>
              <w:t xml:space="preserve"> 凡是变更均需发包人事先批准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1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6</w:t>
            </w:r>
          </w:p>
        </w:tc>
        <w:tc>
          <w:tcPr>
            <w:tcW w:w="127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5.2.1</w:t>
            </w:r>
          </w:p>
        </w:tc>
        <w:tc>
          <w:tcPr>
            <w:tcW w:w="7245" w:type="dxa"/>
            <w:vAlign w:val="center"/>
          </w:tcPr>
          <w:p>
            <w:pPr>
              <w:adjustRightInd w:val="0"/>
              <w:snapToGrid w:val="0"/>
              <w:spacing w:line="440" w:lineRule="exact"/>
              <w:rPr>
                <w:rFonts w:ascii="宋体" w:hAnsi="宋体" w:cs="宋体"/>
                <w:szCs w:val="21"/>
              </w:rPr>
            </w:pPr>
            <w:r>
              <w:rPr>
                <w:rFonts w:hint="eastAsia" w:ascii="宋体" w:hAnsi="宋体" w:cs="宋体"/>
                <w:szCs w:val="21"/>
              </w:rPr>
              <w:t>发包人是否提供材料或工程设备：</w:t>
            </w:r>
            <w:r>
              <w:rPr>
                <w:rFonts w:hint="eastAsia" w:ascii="宋体" w:hAnsi="宋体" w:cs="宋体"/>
                <w:szCs w:val="21"/>
                <w:u w:val="single"/>
              </w:rPr>
              <w:t xml:space="preserve"> 否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1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7</w:t>
            </w:r>
          </w:p>
        </w:tc>
        <w:tc>
          <w:tcPr>
            <w:tcW w:w="127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6.2</w:t>
            </w:r>
          </w:p>
        </w:tc>
        <w:tc>
          <w:tcPr>
            <w:tcW w:w="7245" w:type="dxa"/>
            <w:vAlign w:val="center"/>
          </w:tcPr>
          <w:p>
            <w:pPr>
              <w:adjustRightInd w:val="0"/>
              <w:snapToGrid w:val="0"/>
              <w:spacing w:line="440" w:lineRule="exact"/>
              <w:rPr>
                <w:rFonts w:ascii="宋体" w:hAnsi="宋体" w:cs="宋体"/>
                <w:szCs w:val="21"/>
              </w:rPr>
            </w:pPr>
            <w:r>
              <w:rPr>
                <w:rFonts w:hint="eastAsia" w:ascii="宋体" w:hAnsi="宋体" w:cs="宋体"/>
                <w:szCs w:val="21"/>
              </w:rPr>
              <w:t>发包人是否提供施工设备和临时设施：</w:t>
            </w:r>
            <w:r>
              <w:rPr>
                <w:rFonts w:hint="eastAsia" w:ascii="宋体" w:hAnsi="宋体" w:cs="宋体"/>
                <w:szCs w:val="21"/>
                <w:u w:val="single"/>
              </w:rPr>
              <w:t xml:space="preserve"> 否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61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8</w:t>
            </w:r>
          </w:p>
        </w:tc>
        <w:tc>
          <w:tcPr>
            <w:tcW w:w="127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8.1.1</w:t>
            </w:r>
          </w:p>
        </w:tc>
        <w:tc>
          <w:tcPr>
            <w:tcW w:w="7245" w:type="dxa"/>
            <w:vAlign w:val="center"/>
          </w:tcPr>
          <w:p>
            <w:pPr>
              <w:adjustRightInd w:val="0"/>
              <w:snapToGrid w:val="0"/>
              <w:spacing w:line="440" w:lineRule="exact"/>
              <w:ind w:left="5880" w:hanging="5880" w:hangingChars="2800"/>
              <w:jc w:val="left"/>
              <w:rPr>
                <w:rFonts w:ascii="宋体" w:hAnsi="宋体" w:cs="宋体"/>
                <w:szCs w:val="21"/>
              </w:rPr>
            </w:pPr>
            <w:r>
              <w:rPr>
                <w:rFonts w:hint="eastAsia" w:ascii="宋体" w:hAnsi="宋体" w:cs="宋体"/>
                <w:szCs w:val="21"/>
              </w:rPr>
              <w:t>发包人提供测量基准点、基准线和水准点及其书面资料的期限：</w:t>
            </w:r>
          </w:p>
          <w:p>
            <w:pPr>
              <w:adjustRightInd w:val="0"/>
              <w:snapToGrid w:val="0"/>
              <w:spacing w:line="440" w:lineRule="exact"/>
              <w:ind w:left="5880" w:hanging="5880" w:hangingChars="2800"/>
              <w:jc w:val="left"/>
              <w:rPr>
                <w:rFonts w:ascii="宋体" w:hAnsi="宋体" w:cs="宋体"/>
                <w:szCs w:val="21"/>
              </w:rPr>
            </w:pPr>
            <w:r>
              <w:rPr>
                <w:rFonts w:hint="eastAsia" w:ascii="宋体" w:hAnsi="宋体" w:cs="宋体"/>
                <w:szCs w:val="21"/>
                <w:u w:val="single"/>
              </w:rPr>
              <w:t>设计交底后7天内</w:t>
            </w:r>
          </w:p>
          <w:p>
            <w:pPr>
              <w:adjustRightInd w:val="0"/>
              <w:snapToGrid w:val="0"/>
              <w:spacing w:line="440" w:lineRule="exact"/>
              <w:ind w:left="5985" w:hanging="5985" w:hangingChars="2850"/>
              <w:jc w:val="left"/>
              <w:rPr>
                <w:rFonts w:ascii="宋体" w:hAnsi="宋体" w:cs="宋体"/>
                <w:spacing w:val="-20"/>
                <w:szCs w:val="21"/>
              </w:rPr>
            </w:pPr>
            <w:r>
              <w:rPr>
                <w:rFonts w:hint="eastAsia" w:ascii="宋体" w:hAnsi="宋体" w:cs="宋体"/>
                <w:szCs w:val="21"/>
              </w:rPr>
              <w:t>承包人将施工控制网资料报送监理人审批的期限：</w:t>
            </w:r>
            <w:r>
              <w:rPr>
                <w:rFonts w:hint="eastAsia" w:ascii="宋体" w:hAnsi="宋体" w:cs="宋体"/>
                <w:szCs w:val="21"/>
                <w:u w:val="single"/>
              </w:rPr>
              <w:t>签署合同协议书后 7 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1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9</w:t>
            </w:r>
          </w:p>
        </w:tc>
        <w:tc>
          <w:tcPr>
            <w:tcW w:w="127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11.5</w:t>
            </w:r>
          </w:p>
        </w:tc>
        <w:tc>
          <w:tcPr>
            <w:tcW w:w="7245" w:type="dxa"/>
            <w:vAlign w:val="center"/>
          </w:tcPr>
          <w:p>
            <w:pPr>
              <w:adjustRightInd w:val="0"/>
              <w:snapToGrid w:val="0"/>
              <w:spacing w:line="440" w:lineRule="exact"/>
              <w:rPr>
                <w:rFonts w:ascii="宋体" w:hAnsi="宋体" w:cs="宋体"/>
                <w:szCs w:val="21"/>
              </w:rPr>
            </w:pPr>
            <w:r>
              <w:rPr>
                <w:rFonts w:hint="eastAsia" w:ascii="宋体" w:hAnsi="宋体" w:cs="宋体"/>
                <w:szCs w:val="21"/>
              </w:rPr>
              <w:t>逾期交工违约金：</w:t>
            </w:r>
            <w:r>
              <w:rPr>
                <w:rFonts w:hint="eastAsia" w:ascii="宋体" w:hAnsi="宋体" w:cs="宋体"/>
                <w:szCs w:val="21"/>
                <w:u w:val="single"/>
              </w:rPr>
              <w:t>2000</w:t>
            </w:r>
            <w:r>
              <w:rPr>
                <w:rFonts w:hint="eastAsia" w:ascii="宋体" w:hAnsi="宋体" w:cs="宋体"/>
                <w:szCs w:val="21"/>
              </w:rPr>
              <w:t>元/天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1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10</w:t>
            </w:r>
          </w:p>
        </w:tc>
        <w:tc>
          <w:tcPr>
            <w:tcW w:w="127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11.5</w:t>
            </w:r>
          </w:p>
        </w:tc>
        <w:tc>
          <w:tcPr>
            <w:tcW w:w="7245" w:type="dxa"/>
            <w:vAlign w:val="center"/>
          </w:tcPr>
          <w:p>
            <w:pPr>
              <w:adjustRightInd w:val="0"/>
              <w:snapToGrid w:val="0"/>
              <w:spacing w:line="440" w:lineRule="exact"/>
              <w:rPr>
                <w:rFonts w:ascii="宋体" w:hAnsi="宋体" w:cs="宋体"/>
                <w:szCs w:val="21"/>
              </w:rPr>
            </w:pPr>
            <w:r>
              <w:rPr>
                <w:rFonts w:hint="eastAsia" w:ascii="宋体" w:hAnsi="宋体" w:cs="宋体"/>
                <w:szCs w:val="21"/>
              </w:rPr>
              <w:t>逾期交工违约金限额：</w:t>
            </w:r>
            <w:r>
              <w:rPr>
                <w:rFonts w:hint="eastAsia" w:ascii="宋体" w:hAnsi="宋体" w:cs="宋体"/>
                <w:szCs w:val="21"/>
                <w:u w:val="single"/>
              </w:rPr>
              <w:t xml:space="preserve"> 2 % </w:t>
            </w:r>
            <w:r>
              <w:rPr>
                <w:rFonts w:hint="eastAsia" w:ascii="宋体" w:hAnsi="宋体" w:cs="宋体"/>
                <w:szCs w:val="21"/>
              </w:rPr>
              <w:t>签约合同价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1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11</w:t>
            </w:r>
          </w:p>
        </w:tc>
        <w:tc>
          <w:tcPr>
            <w:tcW w:w="127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11.6</w:t>
            </w:r>
          </w:p>
        </w:tc>
        <w:tc>
          <w:tcPr>
            <w:tcW w:w="7245" w:type="dxa"/>
            <w:vAlign w:val="center"/>
          </w:tcPr>
          <w:p>
            <w:pPr>
              <w:adjustRightInd w:val="0"/>
              <w:snapToGrid w:val="0"/>
              <w:spacing w:line="440" w:lineRule="exact"/>
              <w:ind w:left="5985" w:hanging="5985" w:hangingChars="2850"/>
              <w:rPr>
                <w:rFonts w:ascii="宋体" w:hAnsi="宋体" w:cs="宋体"/>
                <w:spacing w:val="-20"/>
                <w:szCs w:val="21"/>
              </w:rPr>
            </w:pPr>
            <w:r>
              <w:rPr>
                <w:rFonts w:hint="eastAsia" w:ascii="宋体" w:hAnsi="宋体" w:cs="宋体"/>
                <w:szCs w:val="21"/>
              </w:rPr>
              <w:t>提前交工的奖金：</w:t>
            </w:r>
            <w:r>
              <w:rPr>
                <w:rFonts w:hint="eastAsia" w:ascii="宋体" w:hAnsi="宋体" w:cs="宋体"/>
                <w:szCs w:val="21"/>
                <w:u w:val="single"/>
              </w:rPr>
              <w:t xml:space="preserve"> 无 </w:t>
            </w:r>
            <w:r>
              <w:rPr>
                <w:rFonts w:hint="eastAsia" w:ascii="宋体" w:hAnsi="宋体" w:cs="宋体"/>
                <w:spacing w:val="-2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1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12</w:t>
            </w:r>
          </w:p>
        </w:tc>
        <w:tc>
          <w:tcPr>
            <w:tcW w:w="127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11.6</w:t>
            </w:r>
          </w:p>
        </w:tc>
        <w:tc>
          <w:tcPr>
            <w:tcW w:w="7245" w:type="dxa"/>
            <w:vAlign w:val="center"/>
          </w:tcPr>
          <w:p>
            <w:pPr>
              <w:adjustRightInd w:val="0"/>
              <w:snapToGrid w:val="0"/>
              <w:spacing w:line="440" w:lineRule="exact"/>
              <w:ind w:left="5985" w:hanging="5985" w:hangingChars="2850"/>
              <w:rPr>
                <w:rFonts w:ascii="宋体" w:hAnsi="宋体" w:cs="宋体"/>
                <w:spacing w:val="-20"/>
                <w:szCs w:val="21"/>
              </w:rPr>
            </w:pPr>
            <w:r>
              <w:rPr>
                <w:rFonts w:hint="eastAsia" w:ascii="宋体" w:hAnsi="宋体" w:cs="宋体"/>
                <w:szCs w:val="21"/>
              </w:rPr>
              <w:t>提前交工的奖金限额：</w:t>
            </w:r>
            <w:r>
              <w:rPr>
                <w:rFonts w:hint="eastAsia" w:ascii="宋体" w:hAnsi="宋体" w:cs="宋体"/>
                <w:szCs w:val="21"/>
                <w:u w:val="single"/>
              </w:rPr>
              <w:t xml:space="preserve">无 </w:t>
            </w:r>
            <w:r>
              <w:rPr>
                <w:rFonts w:hint="eastAsia" w:ascii="宋体" w:hAnsi="宋体" w:cs="宋体"/>
                <w:spacing w:val="-2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5" w:hRule="exact"/>
        </w:trPr>
        <w:tc>
          <w:tcPr>
            <w:tcW w:w="61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13</w:t>
            </w:r>
          </w:p>
        </w:tc>
        <w:tc>
          <w:tcPr>
            <w:tcW w:w="127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15.5.2</w:t>
            </w:r>
          </w:p>
        </w:tc>
        <w:tc>
          <w:tcPr>
            <w:tcW w:w="7245" w:type="dxa"/>
            <w:vAlign w:val="center"/>
          </w:tcPr>
          <w:p>
            <w:pPr>
              <w:adjustRightInd w:val="0"/>
              <w:snapToGrid w:val="0"/>
              <w:spacing w:line="440" w:lineRule="exact"/>
              <w:rPr>
                <w:rFonts w:ascii="宋体" w:hAnsi="宋体" w:cs="宋体"/>
                <w:szCs w:val="21"/>
              </w:rPr>
            </w:pPr>
            <w:r>
              <w:rPr>
                <w:rFonts w:hint="eastAsia" w:ascii="宋体" w:hAnsi="宋体" w:cs="宋体"/>
                <w:szCs w:val="21"/>
              </w:rPr>
              <w:t>承包人提出的合理化建议降低了合同价格或者提高了工程经济效益的，发</w:t>
            </w:r>
          </w:p>
          <w:p>
            <w:pPr>
              <w:adjustRightInd w:val="0"/>
              <w:snapToGrid w:val="0"/>
              <w:spacing w:line="440" w:lineRule="exact"/>
              <w:rPr>
                <w:rFonts w:ascii="宋体" w:hAnsi="宋体" w:cs="宋体"/>
                <w:szCs w:val="21"/>
              </w:rPr>
            </w:pPr>
            <w:r>
              <w:rPr>
                <w:rFonts w:hint="eastAsia" w:ascii="宋体" w:hAnsi="宋体" w:cs="宋体"/>
                <w:szCs w:val="21"/>
              </w:rPr>
              <w:t>包人给与的奖励</w:t>
            </w:r>
            <w:r>
              <w:rPr>
                <w:rFonts w:hint="eastAsia" w:ascii="宋体" w:hAnsi="宋体" w:cs="宋体"/>
                <w:szCs w:val="21"/>
                <w:u w:val="single"/>
              </w:rPr>
              <w:t xml:space="preserve"> 无 </w:t>
            </w:r>
            <w:r>
              <w:rPr>
                <w:rFonts w:hint="eastAsia" w:ascii="宋体" w:hAnsi="宋体" w:cs="宋体"/>
                <w:spacing w:val="-2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0" w:hRule="exact"/>
        </w:trPr>
        <w:tc>
          <w:tcPr>
            <w:tcW w:w="61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14</w:t>
            </w:r>
          </w:p>
        </w:tc>
        <w:tc>
          <w:tcPr>
            <w:tcW w:w="127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16.1</w:t>
            </w:r>
          </w:p>
        </w:tc>
        <w:tc>
          <w:tcPr>
            <w:tcW w:w="7245" w:type="dxa"/>
            <w:vAlign w:val="center"/>
          </w:tcPr>
          <w:p>
            <w:pPr>
              <w:spacing w:line="440" w:lineRule="exact"/>
              <w:rPr>
                <w:rFonts w:ascii="宋体" w:hAnsi="宋体" w:cs="宋体"/>
                <w:szCs w:val="21"/>
              </w:rPr>
            </w:pPr>
            <w:r>
              <w:rPr>
                <w:rFonts w:hint="eastAsia" w:ascii="宋体" w:hAnsi="宋体"/>
                <w:szCs w:val="21"/>
              </w:rPr>
              <w:t>因物价波动引起的价格调整按照</w:t>
            </w:r>
            <w:r>
              <w:rPr>
                <w:rFonts w:hint="eastAsia" w:ascii="宋体" w:hAnsi="宋体" w:cs="宋体"/>
                <w:szCs w:val="21"/>
              </w:rPr>
              <w:t>物价波动正负百分之三调差。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3" w:hRule="exact"/>
        </w:trPr>
        <w:tc>
          <w:tcPr>
            <w:tcW w:w="61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15</w:t>
            </w:r>
          </w:p>
        </w:tc>
        <w:tc>
          <w:tcPr>
            <w:tcW w:w="127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17.2.1</w:t>
            </w:r>
          </w:p>
        </w:tc>
        <w:tc>
          <w:tcPr>
            <w:tcW w:w="7245" w:type="dxa"/>
            <w:vAlign w:val="center"/>
          </w:tcPr>
          <w:p>
            <w:pPr>
              <w:adjustRightInd w:val="0"/>
              <w:snapToGrid w:val="0"/>
              <w:spacing w:line="440" w:lineRule="exact"/>
              <w:rPr>
                <w:rFonts w:ascii="宋体" w:hAnsi="宋体" w:cs="宋体"/>
                <w:szCs w:val="21"/>
              </w:rPr>
            </w:pPr>
            <w:r>
              <w:rPr>
                <w:rFonts w:hint="eastAsia" w:ascii="宋体" w:hAnsi="宋体" w:cs="宋体"/>
                <w:szCs w:val="21"/>
              </w:rPr>
              <w:t>开工预付款金额比例：</w:t>
            </w:r>
            <w:r>
              <w:rPr>
                <w:rFonts w:hint="eastAsia" w:ascii="宋体" w:hAnsi="宋体" w:cs="宋体"/>
                <w:szCs w:val="21"/>
                <w:u w:val="single"/>
              </w:rPr>
              <w:t xml:space="preserve"> 0 </w:t>
            </w: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3" w:hRule="exact"/>
        </w:trPr>
        <w:tc>
          <w:tcPr>
            <w:tcW w:w="61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16</w:t>
            </w:r>
          </w:p>
        </w:tc>
        <w:tc>
          <w:tcPr>
            <w:tcW w:w="127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17.2.1</w:t>
            </w:r>
          </w:p>
        </w:tc>
        <w:tc>
          <w:tcPr>
            <w:tcW w:w="7245" w:type="dxa"/>
            <w:vAlign w:val="center"/>
          </w:tcPr>
          <w:p>
            <w:pPr>
              <w:adjustRightInd w:val="0"/>
              <w:snapToGrid w:val="0"/>
              <w:spacing w:line="440" w:lineRule="exact"/>
              <w:rPr>
                <w:rFonts w:ascii="宋体" w:hAnsi="宋体" w:cs="宋体"/>
                <w:szCs w:val="21"/>
              </w:rPr>
            </w:pPr>
            <w:r>
              <w:rPr>
                <w:rFonts w:hint="eastAsia" w:ascii="宋体" w:hAnsi="宋体" w:cs="宋体"/>
                <w:szCs w:val="21"/>
              </w:rPr>
              <w:t>材料、设备预付款比例：</w:t>
            </w:r>
            <w:r>
              <w:rPr>
                <w:rFonts w:hint="eastAsia" w:ascii="宋体" w:hAnsi="宋体" w:cs="宋体"/>
                <w:szCs w:val="21"/>
                <w:u w:val="single"/>
              </w:rPr>
              <w:t xml:space="preserve"> 0 </w:t>
            </w: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9" w:hRule="exact"/>
        </w:trPr>
        <w:tc>
          <w:tcPr>
            <w:tcW w:w="61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17</w:t>
            </w:r>
          </w:p>
        </w:tc>
        <w:tc>
          <w:tcPr>
            <w:tcW w:w="127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17.3.2</w:t>
            </w:r>
          </w:p>
        </w:tc>
        <w:tc>
          <w:tcPr>
            <w:tcW w:w="7245" w:type="dxa"/>
            <w:vAlign w:val="center"/>
          </w:tcPr>
          <w:p>
            <w:pPr>
              <w:adjustRightInd w:val="0"/>
              <w:snapToGrid w:val="0"/>
              <w:spacing w:line="440" w:lineRule="exact"/>
              <w:rPr>
                <w:rFonts w:ascii="宋体" w:hAnsi="宋体" w:cs="宋体"/>
                <w:szCs w:val="21"/>
              </w:rPr>
            </w:pPr>
            <w:r>
              <w:rPr>
                <w:rFonts w:hint="eastAsia" w:ascii="宋体" w:hAnsi="宋体" w:cs="宋体"/>
                <w:szCs w:val="21"/>
              </w:rPr>
              <w:t>承包人在每个付款周期末向监理人提交进度付款申请单的份数：</w:t>
            </w:r>
            <w:r>
              <w:rPr>
                <w:rFonts w:hint="eastAsia" w:ascii="宋体" w:hAnsi="宋体" w:cs="宋体"/>
                <w:szCs w:val="21"/>
                <w:u w:val="single"/>
              </w:rPr>
              <w:t xml:space="preserve"> 4 </w:t>
            </w:r>
            <w:r>
              <w:rPr>
                <w:rFonts w:hint="eastAsia" w:ascii="宋体" w:hAnsi="宋体" w:cs="宋体"/>
                <w:szCs w:val="21"/>
              </w:rPr>
              <w:t>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6" w:hRule="exact"/>
        </w:trPr>
        <w:tc>
          <w:tcPr>
            <w:tcW w:w="61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18</w:t>
            </w:r>
          </w:p>
        </w:tc>
        <w:tc>
          <w:tcPr>
            <w:tcW w:w="127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17.3.3（1）</w:t>
            </w:r>
          </w:p>
        </w:tc>
        <w:tc>
          <w:tcPr>
            <w:tcW w:w="7245" w:type="dxa"/>
            <w:vAlign w:val="center"/>
          </w:tcPr>
          <w:p>
            <w:pPr>
              <w:adjustRightInd w:val="0"/>
              <w:snapToGrid w:val="0"/>
              <w:spacing w:line="440" w:lineRule="exact"/>
              <w:rPr>
                <w:rFonts w:hint="eastAsia" w:ascii="宋体" w:hAnsi="宋体" w:eastAsia="宋体" w:cs="宋体"/>
                <w:color w:val="FF0000"/>
                <w:szCs w:val="21"/>
                <w:lang w:val="en-US" w:eastAsia="zh-CN"/>
              </w:rPr>
            </w:pPr>
            <w:r>
              <w:rPr>
                <w:rFonts w:hint="eastAsia" w:ascii="宋体" w:hAnsi="宋体" w:cs="宋体"/>
                <w:color w:val="FF0000"/>
                <w:szCs w:val="21"/>
              </w:rPr>
              <w:t>付款方式：</w:t>
            </w:r>
            <w:r>
              <w:rPr>
                <w:rFonts w:hint="eastAsia" w:ascii="宋体" w:hAnsi="宋体" w:cs="宋体"/>
                <w:color w:val="FF0000"/>
                <w:szCs w:val="21"/>
                <w:lang w:eastAsia="zh-CN"/>
              </w:rPr>
              <w:t>按签订的合同。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9" w:hRule="exact"/>
        </w:trPr>
        <w:tc>
          <w:tcPr>
            <w:tcW w:w="615" w:type="dxa"/>
            <w:vAlign w:val="center"/>
          </w:tcPr>
          <w:p>
            <w:pPr>
              <w:adjustRightInd w:val="0"/>
              <w:snapToGrid w:val="0"/>
              <w:spacing w:line="440" w:lineRule="exact"/>
              <w:jc w:val="center"/>
              <w:rPr>
                <w:rFonts w:ascii="宋体" w:hAnsi="宋体" w:cs="宋体"/>
                <w:szCs w:val="21"/>
              </w:rPr>
            </w:pPr>
          </w:p>
        </w:tc>
        <w:tc>
          <w:tcPr>
            <w:tcW w:w="1275" w:type="dxa"/>
            <w:vAlign w:val="center"/>
          </w:tcPr>
          <w:p>
            <w:pPr>
              <w:adjustRightInd w:val="0"/>
              <w:snapToGrid w:val="0"/>
              <w:spacing w:line="440" w:lineRule="exact"/>
              <w:jc w:val="center"/>
              <w:rPr>
                <w:rFonts w:ascii="宋体" w:hAnsi="宋体" w:cs="宋体"/>
                <w:szCs w:val="21"/>
              </w:rPr>
            </w:pPr>
          </w:p>
        </w:tc>
        <w:tc>
          <w:tcPr>
            <w:tcW w:w="7245" w:type="dxa"/>
            <w:vAlign w:val="center"/>
          </w:tcPr>
          <w:p>
            <w:pPr>
              <w:adjustRightInd w:val="0"/>
              <w:snapToGrid w:val="0"/>
              <w:spacing w:line="440" w:lineRule="exact"/>
              <w:rPr>
                <w:rFonts w:ascii="宋体" w:hAnsi="宋体" w:cs="宋体"/>
                <w:szCs w:val="21"/>
              </w:rPr>
            </w:pPr>
            <w:r>
              <w:rPr>
                <w:rFonts w:hint="eastAsia" w:ascii="宋体" w:hAnsi="宋体" w:cs="宋体"/>
                <w:szCs w:val="21"/>
              </w:rPr>
              <w:t>1、工程结算：</w:t>
            </w:r>
          </w:p>
          <w:p>
            <w:pPr>
              <w:pStyle w:val="15"/>
              <w:widowControl/>
              <w:spacing w:beforeAutospacing="0" w:afterAutospacing="0" w:line="345" w:lineRule="atLeast"/>
              <w:ind w:firstLine="465"/>
              <w:rPr>
                <w:rFonts w:ascii="宋体" w:hAnsi="宋体" w:cs="宋体"/>
                <w:kern w:val="2"/>
                <w:sz w:val="21"/>
                <w:szCs w:val="21"/>
              </w:rPr>
            </w:pPr>
            <w:r>
              <w:rPr>
                <w:rFonts w:hint="eastAsia" w:ascii="宋体" w:hAnsi="宋体" w:cs="宋体"/>
                <w:kern w:val="2"/>
                <w:sz w:val="21"/>
                <w:szCs w:val="21"/>
              </w:rPr>
              <w:t>变更工程的单价的确定，按以下方法进行：</w:t>
            </w:r>
          </w:p>
          <w:p>
            <w:pPr>
              <w:pStyle w:val="15"/>
              <w:widowControl/>
              <w:spacing w:beforeAutospacing="0" w:afterAutospacing="0" w:line="345" w:lineRule="atLeast"/>
              <w:ind w:firstLine="465"/>
              <w:rPr>
                <w:rFonts w:ascii="宋体" w:hAnsi="宋体" w:cs="宋体"/>
                <w:kern w:val="2"/>
                <w:sz w:val="21"/>
                <w:szCs w:val="21"/>
              </w:rPr>
            </w:pPr>
            <w:r>
              <w:rPr>
                <w:rFonts w:ascii="宋体" w:hAnsi="宋体" w:cs="宋体"/>
                <w:kern w:val="2"/>
                <w:sz w:val="21"/>
                <w:szCs w:val="21"/>
              </w:rPr>
              <w:t>1、合同中已有适用于变更工程的价格，按合同已有的单价变更。</w:t>
            </w:r>
          </w:p>
          <w:p>
            <w:pPr>
              <w:pStyle w:val="15"/>
              <w:widowControl/>
              <w:spacing w:beforeAutospacing="0" w:afterAutospacing="0" w:line="345" w:lineRule="atLeast"/>
              <w:ind w:firstLine="465"/>
              <w:rPr>
                <w:rFonts w:ascii="宋体" w:hAnsi="宋体" w:cs="宋体"/>
                <w:kern w:val="2"/>
                <w:sz w:val="21"/>
                <w:szCs w:val="21"/>
              </w:rPr>
            </w:pPr>
            <w:r>
              <w:rPr>
                <w:rFonts w:ascii="宋体" w:hAnsi="宋体" w:cs="宋体"/>
                <w:kern w:val="2"/>
                <w:sz w:val="21"/>
                <w:szCs w:val="21"/>
              </w:rPr>
              <w:t>2、合同中只有类似于变更工程的价格，可以参照类似单价变更。</w:t>
            </w:r>
          </w:p>
          <w:p>
            <w:pPr>
              <w:pStyle w:val="15"/>
              <w:widowControl/>
              <w:spacing w:beforeAutospacing="0" w:afterAutospacing="0" w:line="345" w:lineRule="atLeast"/>
              <w:ind w:firstLine="465"/>
              <w:rPr>
                <w:rFonts w:ascii="宋体" w:hAnsi="宋体" w:cs="宋体"/>
                <w:sz w:val="21"/>
                <w:szCs w:val="21"/>
              </w:rPr>
            </w:pPr>
            <w:r>
              <w:rPr>
                <w:rFonts w:ascii="宋体" w:hAnsi="宋体" w:cs="宋体"/>
                <w:kern w:val="2"/>
                <w:sz w:val="21"/>
                <w:szCs w:val="21"/>
              </w:rPr>
              <w:t>3、合同中没有适用或类似于变更工程的单价，由承包人提出适当的变更单价，业主可以当时材料单价、部省发布的预算定额、费率标准计算的单价作为最高限价，经双方协商确认变更单价。</w:t>
            </w:r>
          </w:p>
          <w:p>
            <w:pPr>
              <w:pStyle w:val="15"/>
              <w:widowControl/>
              <w:spacing w:beforeAutospacing="0" w:afterAutospacing="0" w:line="345" w:lineRule="atLeast"/>
              <w:ind w:firstLine="465"/>
              <w:rPr>
                <w:rFonts w:ascii="宋体" w:hAnsi="宋体" w:cs="宋体"/>
                <w:sz w:val="21"/>
                <w:szCs w:val="21"/>
              </w:rPr>
            </w:pPr>
            <w:r>
              <w:rPr>
                <w:rFonts w:hint="eastAsia" w:ascii="宋体" w:hAnsi="宋体" w:cs="宋体"/>
                <w:sz w:val="21"/>
                <w:szCs w:val="21"/>
              </w:rPr>
              <w:t>1.1.工程量以施工图、甲方的书面变更通知及甲乙双方、监理方等单位工地代表签证的实际工程量为依据,一次性增减工程量5万元及以上的，必须请祁阳县财政投资评审中心人员一同现场会商、签证。</w:t>
            </w:r>
          </w:p>
          <w:p>
            <w:pPr>
              <w:adjustRightInd w:val="0"/>
              <w:snapToGrid w:val="0"/>
              <w:spacing w:line="440" w:lineRule="exact"/>
              <w:rPr>
                <w:rFonts w:ascii="宋体" w:hAnsi="宋体" w:cs="宋体"/>
                <w:szCs w:val="21"/>
              </w:rPr>
            </w:pPr>
            <w:r>
              <w:rPr>
                <w:rFonts w:hint="eastAsia" w:ascii="宋体" w:hAnsi="宋体" w:cs="宋体"/>
                <w:szCs w:val="21"/>
              </w:rPr>
              <w:t>1.2.增加或减少的工程量必须经甲方、乙方、监理方现场签证确认后，才能作为结算依据，增加工程量增加的工程造价按本项目招标评审预算的计价办法计价；减少工程量减少的工程造价按乙方在本项目招投标中投标报价优惠率核减，最终以</w:t>
            </w:r>
            <w:r>
              <w:rPr>
                <w:rFonts w:hint="eastAsia" w:ascii="宋体" w:hAnsi="宋体" w:cs="宋体"/>
                <w:szCs w:val="21"/>
                <w:lang w:eastAsia="zh-CN"/>
              </w:rPr>
              <w:t>双牌</w:t>
            </w:r>
            <w:r>
              <w:rPr>
                <w:rFonts w:hint="eastAsia" w:ascii="宋体" w:hAnsi="宋体" w:cs="宋体"/>
                <w:szCs w:val="21"/>
              </w:rPr>
              <w:t>县财政投资评审中心评审为准。</w:t>
            </w:r>
          </w:p>
          <w:p>
            <w:pPr>
              <w:adjustRightInd w:val="0"/>
              <w:snapToGrid w:val="0"/>
              <w:spacing w:line="440" w:lineRule="exact"/>
              <w:rPr>
                <w:rFonts w:ascii="宋体" w:hAnsi="宋体" w:cs="宋体"/>
                <w:szCs w:val="21"/>
              </w:rPr>
            </w:pPr>
            <w:r>
              <w:rPr>
                <w:rFonts w:hint="eastAsia" w:ascii="宋体" w:hAnsi="宋体" w:cs="宋体"/>
                <w:szCs w:val="21"/>
              </w:rPr>
              <w:t>1.3.人工工资单价依照</w:t>
            </w:r>
            <w:r>
              <w:rPr>
                <w:rFonts w:hint="eastAsia" w:ascii="宋体" w:hAnsi="宋体"/>
                <w:bCs/>
                <w:szCs w:val="30"/>
              </w:rPr>
              <w:t>湘交造价[2013]332号文</w:t>
            </w:r>
            <w:r>
              <w:rPr>
                <w:rFonts w:hint="eastAsia" w:ascii="宋体" w:hAnsi="宋体" w:cs="宋体"/>
                <w:szCs w:val="21"/>
              </w:rPr>
              <w:t>件相关规定的工资标准执行，如果建设施工过程中遇政策性人工工资单价调整，自新政策规定的起始时间起按新政策最低工资标准执行。</w:t>
            </w:r>
          </w:p>
          <w:p>
            <w:pPr>
              <w:adjustRightInd w:val="0"/>
              <w:snapToGrid w:val="0"/>
              <w:spacing w:line="440" w:lineRule="exact"/>
              <w:rPr>
                <w:rFonts w:ascii="宋体" w:hAnsi="宋体" w:cs="宋体"/>
                <w:szCs w:val="21"/>
              </w:rPr>
            </w:pPr>
            <w:r>
              <w:rPr>
                <w:rFonts w:hint="eastAsia" w:ascii="宋体" w:hAnsi="宋体" w:cs="宋体"/>
                <w:szCs w:val="21"/>
              </w:rPr>
              <w:t>1.4.合同履行期间如遇湖南省政策调整或湖南省行业主管部门颁发新文件新规定的，按新文件新规定执行。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1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19</w:t>
            </w:r>
          </w:p>
        </w:tc>
        <w:tc>
          <w:tcPr>
            <w:tcW w:w="127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17.3.3（2）</w:t>
            </w:r>
          </w:p>
        </w:tc>
        <w:tc>
          <w:tcPr>
            <w:tcW w:w="7245" w:type="dxa"/>
            <w:vAlign w:val="center"/>
          </w:tcPr>
          <w:p>
            <w:pPr>
              <w:adjustRightInd w:val="0"/>
              <w:snapToGrid w:val="0"/>
              <w:spacing w:line="440" w:lineRule="exact"/>
              <w:rPr>
                <w:rFonts w:ascii="宋体" w:hAnsi="宋体" w:cs="宋体"/>
                <w:szCs w:val="21"/>
              </w:rPr>
            </w:pPr>
            <w:r>
              <w:rPr>
                <w:rFonts w:hint="eastAsia" w:ascii="宋体" w:hAnsi="宋体" w:cs="宋体"/>
                <w:szCs w:val="21"/>
              </w:rPr>
              <w:t>逾期付款违约金的利率：</w:t>
            </w:r>
            <w:r>
              <w:rPr>
                <w:rFonts w:hint="eastAsia" w:ascii="宋体" w:hAnsi="宋体" w:cs="宋体"/>
                <w:szCs w:val="21"/>
                <w:u w:val="single"/>
              </w:rPr>
              <w:t xml:space="preserve"> 按中国人民银行同期短期贷款利率加手续费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1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20</w:t>
            </w:r>
          </w:p>
        </w:tc>
        <w:tc>
          <w:tcPr>
            <w:tcW w:w="127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17.4.1</w:t>
            </w:r>
          </w:p>
        </w:tc>
        <w:tc>
          <w:tcPr>
            <w:tcW w:w="7245" w:type="dxa"/>
            <w:vAlign w:val="center"/>
          </w:tcPr>
          <w:p>
            <w:pPr>
              <w:adjustRightInd w:val="0"/>
              <w:snapToGrid w:val="0"/>
              <w:spacing w:line="440" w:lineRule="exact"/>
              <w:rPr>
                <w:rFonts w:ascii="宋体" w:hAnsi="宋体" w:cs="宋体"/>
                <w:szCs w:val="21"/>
              </w:rPr>
            </w:pPr>
            <w:r>
              <w:rPr>
                <w:rFonts w:hint="eastAsia" w:ascii="宋体" w:hAnsi="宋体" w:cs="宋体"/>
                <w:szCs w:val="21"/>
              </w:rPr>
              <w:t>质量保证金百分比：月支付额的</w:t>
            </w:r>
            <w:r>
              <w:rPr>
                <w:rFonts w:hint="eastAsia" w:ascii="宋体" w:hAnsi="宋体" w:cs="宋体"/>
                <w:szCs w:val="21"/>
                <w:u w:val="single"/>
              </w:rPr>
              <w:t xml:space="preserve"> 20 </w:t>
            </w: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1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21</w:t>
            </w:r>
          </w:p>
        </w:tc>
        <w:tc>
          <w:tcPr>
            <w:tcW w:w="127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17.4.1</w:t>
            </w:r>
          </w:p>
        </w:tc>
        <w:tc>
          <w:tcPr>
            <w:tcW w:w="7245" w:type="dxa"/>
            <w:vAlign w:val="center"/>
          </w:tcPr>
          <w:p>
            <w:pPr>
              <w:adjustRightInd w:val="0"/>
              <w:snapToGrid w:val="0"/>
              <w:spacing w:line="440" w:lineRule="exact"/>
              <w:rPr>
                <w:rFonts w:ascii="宋体" w:hAnsi="宋体" w:cs="宋体"/>
                <w:szCs w:val="21"/>
              </w:rPr>
            </w:pPr>
            <w:r>
              <w:rPr>
                <w:rFonts w:hint="eastAsia" w:ascii="宋体" w:hAnsi="宋体" w:cs="宋体"/>
                <w:szCs w:val="21"/>
              </w:rPr>
              <w:t>质量保证金限额：</w:t>
            </w:r>
            <w:r>
              <w:rPr>
                <w:rFonts w:hint="eastAsia" w:ascii="宋体" w:hAnsi="宋体" w:cs="宋体"/>
                <w:szCs w:val="21"/>
                <w:u w:val="single"/>
              </w:rPr>
              <w:t xml:space="preserve"> 3  </w:t>
            </w:r>
            <w:r>
              <w:rPr>
                <w:rFonts w:hint="eastAsia" w:ascii="宋体" w:hAnsi="宋体" w:cs="宋体"/>
                <w:szCs w:val="21"/>
              </w:rPr>
              <w:t>%签约合同价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1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22</w:t>
            </w:r>
          </w:p>
        </w:tc>
        <w:tc>
          <w:tcPr>
            <w:tcW w:w="127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17.4.4</w:t>
            </w:r>
          </w:p>
        </w:tc>
        <w:tc>
          <w:tcPr>
            <w:tcW w:w="7245" w:type="dxa"/>
            <w:vAlign w:val="center"/>
          </w:tcPr>
          <w:p>
            <w:pPr>
              <w:adjustRightInd w:val="0"/>
              <w:snapToGrid w:val="0"/>
              <w:spacing w:line="440" w:lineRule="exact"/>
              <w:rPr>
                <w:rFonts w:ascii="宋体" w:hAnsi="宋体" w:cs="宋体"/>
                <w:szCs w:val="21"/>
              </w:rPr>
            </w:pPr>
            <w:r>
              <w:rPr>
                <w:rFonts w:hint="eastAsia" w:ascii="宋体" w:hAnsi="宋体" w:cs="宋体"/>
                <w:szCs w:val="21"/>
              </w:rPr>
              <w:t>民工工资保证金：签约合同价的</w:t>
            </w:r>
            <w:r>
              <w:rPr>
                <w:rFonts w:hint="eastAsia" w:ascii="宋体" w:hAnsi="宋体" w:cs="宋体"/>
                <w:szCs w:val="21"/>
                <w:u w:val="single"/>
              </w:rPr>
              <w:t xml:space="preserve">  2  </w:t>
            </w: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1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23</w:t>
            </w:r>
          </w:p>
        </w:tc>
        <w:tc>
          <w:tcPr>
            <w:tcW w:w="127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17.5.1</w:t>
            </w:r>
          </w:p>
        </w:tc>
        <w:tc>
          <w:tcPr>
            <w:tcW w:w="7245" w:type="dxa"/>
            <w:vAlign w:val="center"/>
          </w:tcPr>
          <w:p>
            <w:pPr>
              <w:adjustRightInd w:val="0"/>
              <w:snapToGrid w:val="0"/>
              <w:spacing w:line="440" w:lineRule="exact"/>
              <w:rPr>
                <w:rFonts w:ascii="宋体" w:hAnsi="宋体" w:cs="宋体"/>
                <w:szCs w:val="21"/>
              </w:rPr>
            </w:pPr>
            <w:r>
              <w:rPr>
                <w:rFonts w:hint="eastAsia" w:ascii="宋体" w:hAnsi="宋体" w:cs="宋体"/>
                <w:szCs w:val="21"/>
              </w:rPr>
              <w:t>承包人向监理人提交竣工付款申请单（包括相关证明材料）的份数：</w:t>
            </w:r>
            <w:r>
              <w:rPr>
                <w:rFonts w:hint="eastAsia" w:ascii="宋体" w:hAnsi="宋体" w:cs="宋体"/>
                <w:szCs w:val="21"/>
                <w:u w:val="single"/>
              </w:rPr>
              <w:t xml:space="preserve"> 4 </w:t>
            </w:r>
            <w:r>
              <w:rPr>
                <w:rFonts w:hint="eastAsia" w:ascii="宋体" w:hAnsi="宋体" w:cs="宋体"/>
                <w:szCs w:val="21"/>
              </w:rPr>
              <w:t>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1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24</w:t>
            </w:r>
          </w:p>
        </w:tc>
        <w:tc>
          <w:tcPr>
            <w:tcW w:w="127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17.6.1</w:t>
            </w:r>
          </w:p>
        </w:tc>
        <w:tc>
          <w:tcPr>
            <w:tcW w:w="7245" w:type="dxa"/>
            <w:vAlign w:val="center"/>
          </w:tcPr>
          <w:p>
            <w:pPr>
              <w:adjustRightInd w:val="0"/>
              <w:snapToGrid w:val="0"/>
              <w:spacing w:line="440" w:lineRule="exact"/>
              <w:rPr>
                <w:rFonts w:ascii="宋体" w:hAnsi="宋体" w:cs="宋体"/>
                <w:szCs w:val="21"/>
              </w:rPr>
            </w:pPr>
            <w:r>
              <w:rPr>
                <w:rFonts w:hint="eastAsia" w:ascii="宋体" w:hAnsi="宋体" w:cs="宋体"/>
                <w:szCs w:val="21"/>
              </w:rPr>
              <w:t>承包人向监理人提交最终结清申请单（包括相关证明材料）的份数：</w:t>
            </w:r>
            <w:r>
              <w:rPr>
                <w:rFonts w:hint="eastAsia" w:ascii="宋体" w:hAnsi="宋体" w:cs="宋体"/>
                <w:szCs w:val="21"/>
                <w:u w:val="single"/>
              </w:rPr>
              <w:t xml:space="preserve"> 4 </w:t>
            </w:r>
            <w:r>
              <w:rPr>
                <w:rFonts w:hint="eastAsia" w:ascii="宋体" w:hAnsi="宋体" w:cs="宋体"/>
                <w:szCs w:val="21"/>
              </w:rPr>
              <w:t>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1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25</w:t>
            </w:r>
          </w:p>
        </w:tc>
        <w:tc>
          <w:tcPr>
            <w:tcW w:w="127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18.2</w:t>
            </w:r>
          </w:p>
        </w:tc>
        <w:tc>
          <w:tcPr>
            <w:tcW w:w="7245" w:type="dxa"/>
            <w:vAlign w:val="center"/>
          </w:tcPr>
          <w:p>
            <w:pPr>
              <w:adjustRightInd w:val="0"/>
              <w:snapToGrid w:val="0"/>
              <w:spacing w:line="440" w:lineRule="exact"/>
              <w:rPr>
                <w:rFonts w:ascii="宋体" w:hAnsi="宋体" w:cs="宋体"/>
                <w:szCs w:val="21"/>
              </w:rPr>
            </w:pPr>
            <w:r>
              <w:rPr>
                <w:rFonts w:hint="eastAsia" w:ascii="宋体" w:hAnsi="宋体" w:cs="宋体"/>
                <w:szCs w:val="21"/>
              </w:rPr>
              <w:t>竣工资料的份数：</w:t>
            </w:r>
            <w:r>
              <w:rPr>
                <w:rFonts w:hint="eastAsia" w:ascii="宋体" w:hAnsi="宋体" w:cs="宋体"/>
                <w:szCs w:val="21"/>
                <w:u w:val="single"/>
              </w:rPr>
              <w:t xml:space="preserve"> 4 </w:t>
            </w:r>
            <w:r>
              <w:rPr>
                <w:rFonts w:hint="eastAsia" w:ascii="宋体" w:hAnsi="宋体" w:cs="宋体"/>
                <w:szCs w:val="21"/>
              </w:rPr>
              <w:t>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1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26</w:t>
            </w:r>
          </w:p>
        </w:tc>
        <w:tc>
          <w:tcPr>
            <w:tcW w:w="127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18.5.1</w:t>
            </w:r>
          </w:p>
        </w:tc>
        <w:tc>
          <w:tcPr>
            <w:tcW w:w="7245" w:type="dxa"/>
            <w:vAlign w:val="center"/>
          </w:tcPr>
          <w:p>
            <w:pPr>
              <w:spacing w:line="440" w:lineRule="exact"/>
              <w:rPr>
                <w:rFonts w:ascii="宋体" w:hAnsi="宋体" w:cs="宋体"/>
                <w:szCs w:val="21"/>
              </w:rPr>
            </w:pPr>
            <w:r>
              <w:rPr>
                <w:rFonts w:hint="eastAsia" w:ascii="宋体" w:hAnsi="宋体" w:cs="宋体"/>
                <w:szCs w:val="21"/>
              </w:rPr>
              <w:t>单位工程或工程设备是否需投入施工期运行：否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1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27</w:t>
            </w:r>
          </w:p>
        </w:tc>
        <w:tc>
          <w:tcPr>
            <w:tcW w:w="127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18.6.1</w:t>
            </w:r>
          </w:p>
        </w:tc>
        <w:tc>
          <w:tcPr>
            <w:tcW w:w="7245" w:type="dxa"/>
            <w:vAlign w:val="center"/>
          </w:tcPr>
          <w:p>
            <w:pPr>
              <w:adjustRightInd w:val="0"/>
              <w:snapToGrid w:val="0"/>
              <w:spacing w:line="440" w:lineRule="exact"/>
              <w:rPr>
                <w:rFonts w:ascii="宋体" w:hAnsi="宋体" w:cs="宋体"/>
                <w:szCs w:val="21"/>
              </w:rPr>
            </w:pPr>
            <w:r>
              <w:rPr>
                <w:rFonts w:hint="eastAsia" w:ascii="宋体" w:hAnsi="宋体" w:cs="宋体"/>
                <w:szCs w:val="21"/>
              </w:rPr>
              <w:t>本工程及工程设备是否进行试运行：否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1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28</w:t>
            </w:r>
          </w:p>
        </w:tc>
        <w:tc>
          <w:tcPr>
            <w:tcW w:w="127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19.7</w:t>
            </w:r>
          </w:p>
        </w:tc>
        <w:tc>
          <w:tcPr>
            <w:tcW w:w="7245" w:type="dxa"/>
            <w:vAlign w:val="center"/>
          </w:tcPr>
          <w:p>
            <w:pPr>
              <w:adjustRightInd w:val="0"/>
              <w:snapToGrid w:val="0"/>
              <w:spacing w:line="440" w:lineRule="exact"/>
              <w:rPr>
                <w:rFonts w:ascii="宋体" w:hAnsi="宋体" w:cs="宋体"/>
                <w:szCs w:val="21"/>
              </w:rPr>
            </w:pPr>
            <w:r>
              <w:rPr>
                <w:rFonts w:hint="eastAsia" w:ascii="宋体" w:hAnsi="宋体" w:cs="宋体"/>
                <w:szCs w:val="21"/>
              </w:rPr>
              <w:t>保修期：自实际交工日期起计算</w:t>
            </w:r>
            <w:r>
              <w:rPr>
                <w:rFonts w:hint="eastAsia" w:ascii="宋体" w:hAnsi="宋体" w:cs="宋体"/>
                <w:szCs w:val="21"/>
                <w:u w:val="single"/>
              </w:rPr>
              <w:t xml:space="preserve">5 </w:t>
            </w:r>
            <w:r>
              <w:rPr>
                <w:rFonts w:hint="eastAsia" w:ascii="宋体" w:hAnsi="宋体" w:cs="宋体"/>
                <w:szCs w:val="21"/>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1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29</w:t>
            </w:r>
          </w:p>
        </w:tc>
        <w:tc>
          <w:tcPr>
            <w:tcW w:w="127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20.5</w:t>
            </w:r>
          </w:p>
        </w:tc>
        <w:tc>
          <w:tcPr>
            <w:tcW w:w="7245" w:type="dxa"/>
            <w:vAlign w:val="center"/>
          </w:tcPr>
          <w:p>
            <w:pPr>
              <w:adjustRightInd w:val="0"/>
              <w:snapToGrid w:val="0"/>
              <w:spacing w:line="440" w:lineRule="exact"/>
              <w:rPr>
                <w:rFonts w:ascii="宋体" w:hAnsi="宋体" w:cs="宋体"/>
                <w:szCs w:val="21"/>
              </w:rPr>
            </w:pPr>
            <w:r>
              <w:rPr>
                <w:rFonts w:hint="eastAsia" w:ascii="宋体" w:hAnsi="宋体" w:cs="宋体"/>
                <w:szCs w:val="21"/>
              </w:rPr>
              <w:t>工伤保险：</w:t>
            </w:r>
            <w:r>
              <w:rPr>
                <w:rFonts w:hint="eastAsia" w:ascii="宋体" w:hAnsi="宋体" w:cs="宋体"/>
                <w:szCs w:val="21"/>
                <w:u w:val="single"/>
              </w:rPr>
              <w:t xml:space="preserve"> 9 </w:t>
            </w:r>
            <w:r>
              <w:rPr>
                <w:rFonts w:hint="eastAsia" w:ascii="宋体" w:hAnsi="宋体" w:cs="宋体"/>
                <w:szCs w:val="21"/>
              </w:rPr>
              <w:t xml:space="preserve"> ‰人员工资总额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4" w:hRule="exact"/>
        </w:trPr>
        <w:tc>
          <w:tcPr>
            <w:tcW w:w="61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30</w:t>
            </w:r>
          </w:p>
        </w:tc>
        <w:tc>
          <w:tcPr>
            <w:tcW w:w="1275" w:type="dxa"/>
            <w:vAlign w:val="center"/>
          </w:tcPr>
          <w:p>
            <w:pPr>
              <w:adjustRightInd w:val="0"/>
              <w:snapToGrid w:val="0"/>
              <w:spacing w:line="440" w:lineRule="exact"/>
              <w:jc w:val="center"/>
              <w:rPr>
                <w:rFonts w:ascii="宋体" w:hAnsi="宋体" w:cs="宋体"/>
                <w:szCs w:val="21"/>
              </w:rPr>
            </w:pPr>
            <w:r>
              <w:rPr>
                <w:rFonts w:hint="eastAsia" w:ascii="宋体" w:hAnsi="宋体" w:cs="宋体"/>
                <w:szCs w:val="21"/>
              </w:rPr>
              <w:t>24.1</w:t>
            </w:r>
          </w:p>
        </w:tc>
        <w:tc>
          <w:tcPr>
            <w:tcW w:w="7245" w:type="dxa"/>
            <w:vAlign w:val="center"/>
          </w:tcPr>
          <w:p>
            <w:pPr>
              <w:adjustRightInd w:val="0"/>
              <w:snapToGrid w:val="0"/>
              <w:spacing w:line="440" w:lineRule="exact"/>
              <w:rPr>
                <w:rFonts w:ascii="宋体" w:hAnsi="宋体" w:cs="宋体"/>
                <w:szCs w:val="21"/>
                <w:u w:val="single"/>
              </w:rPr>
            </w:pPr>
            <w:r>
              <w:rPr>
                <w:rFonts w:hint="eastAsia" w:ascii="宋体" w:hAnsi="宋体" w:cs="宋体"/>
                <w:szCs w:val="21"/>
              </w:rPr>
              <w:t>争议的最终解决方式：诉讼</w:t>
            </w:r>
          </w:p>
        </w:tc>
      </w:tr>
    </w:tbl>
    <w:p>
      <w:pPr>
        <w:adjustRightInd w:val="0"/>
        <w:snapToGrid w:val="0"/>
        <w:spacing w:line="360" w:lineRule="auto"/>
        <w:jc w:val="center"/>
        <w:rPr>
          <w:rFonts w:ascii="宋体" w:hAnsi="宋体" w:cs="宋体"/>
          <w:b/>
          <w:sz w:val="24"/>
        </w:rPr>
      </w:pPr>
    </w:p>
    <w:p>
      <w:pPr>
        <w:rPr>
          <w:rFonts w:ascii="宋体" w:hAnsi="宋体" w:cs="宋体"/>
          <w:sz w:val="24"/>
        </w:rPr>
      </w:pPr>
    </w:p>
    <w:p>
      <w:pPr>
        <w:rPr>
          <w:rFonts w:ascii="宋体" w:hAnsi="宋体" w:cs="宋体"/>
          <w:b/>
          <w:sz w:val="32"/>
        </w:rPr>
      </w:pPr>
    </w:p>
    <w:p>
      <w:pPr>
        <w:spacing w:before="240" w:after="240" w:line="400" w:lineRule="exact"/>
        <w:jc w:val="center"/>
        <w:rPr>
          <w:rFonts w:ascii="宋体" w:hAnsi="宋体" w:cs="宋体"/>
          <w:b/>
          <w:sz w:val="30"/>
        </w:rPr>
      </w:pPr>
      <w:r>
        <w:rPr>
          <w:rFonts w:hint="eastAsia" w:ascii="宋体" w:hAnsi="宋体" w:cs="宋体"/>
          <w:b/>
          <w:sz w:val="30"/>
        </w:rPr>
        <w:br w:type="page"/>
      </w:r>
    </w:p>
    <w:p>
      <w:pPr>
        <w:spacing w:before="240" w:after="240" w:line="400" w:lineRule="exact"/>
        <w:jc w:val="center"/>
        <w:rPr>
          <w:rFonts w:ascii="宋体" w:hAnsi="宋体" w:cs="宋体"/>
          <w:b/>
          <w:sz w:val="30"/>
        </w:rPr>
      </w:pPr>
      <w:r>
        <w:rPr>
          <w:rFonts w:hint="eastAsia" w:ascii="宋体" w:hAnsi="宋体" w:cs="宋体"/>
          <w:b/>
          <w:sz w:val="30"/>
        </w:rPr>
        <w:t>项目专用合同条款</w:t>
      </w:r>
    </w:p>
    <w:p>
      <w:pPr>
        <w:pStyle w:val="4"/>
        <w:spacing w:beforeLines="50" w:line="380" w:lineRule="exact"/>
        <w:rPr>
          <w:rFonts w:ascii="宋体" w:hAnsi="宋体" w:cs="宋体"/>
          <w:sz w:val="24"/>
        </w:rPr>
      </w:pPr>
      <w:bookmarkStart w:id="163" w:name="_Toc15822"/>
      <w:bookmarkStart w:id="164" w:name="_Toc234382937"/>
      <w:bookmarkStart w:id="165" w:name="_Toc432367764"/>
      <w:bookmarkStart w:id="166" w:name="_Toc234382938"/>
      <w:r>
        <w:rPr>
          <w:rFonts w:hint="eastAsia" w:ascii="宋体" w:hAnsi="宋体" w:cs="宋体"/>
          <w:sz w:val="24"/>
        </w:rPr>
        <w:t>4.1承包人的一般义务</w:t>
      </w:r>
      <w:bookmarkEnd w:id="163"/>
      <w:bookmarkEnd w:id="164"/>
      <w:bookmarkEnd w:id="165"/>
    </w:p>
    <w:p>
      <w:pPr>
        <w:tabs>
          <w:tab w:val="left" w:pos="3193"/>
        </w:tabs>
        <w:spacing w:line="440" w:lineRule="exact"/>
        <w:ind w:firstLine="420" w:firstLineChars="200"/>
        <w:rPr>
          <w:rFonts w:ascii="宋体" w:hAnsi="宋体" w:cs="宋体"/>
          <w:szCs w:val="21"/>
        </w:rPr>
      </w:pPr>
      <w:r>
        <w:rPr>
          <w:rFonts w:hint="eastAsia" w:ascii="宋体" w:hAnsi="宋体" w:cs="宋体"/>
          <w:szCs w:val="21"/>
        </w:rPr>
        <w:t>4.1.10 其他义务</w:t>
      </w:r>
    </w:p>
    <w:p>
      <w:pPr>
        <w:tabs>
          <w:tab w:val="left" w:pos="3193"/>
        </w:tabs>
        <w:spacing w:line="440" w:lineRule="exact"/>
        <w:rPr>
          <w:rFonts w:ascii="宋体" w:hAnsi="宋体" w:cs="宋体"/>
          <w:szCs w:val="21"/>
        </w:rPr>
      </w:pPr>
      <w:r>
        <w:rPr>
          <w:rFonts w:hint="eastAsia" w:ascii="宋体" w:hAnsi="宋体" w:cs="宋体"/>
          <w:szCs w:val="21"/>
        </w:rPr>
        <w:t xml:space="preserve">  （4）承包人应履行的其他义务：</w:t>
      </w:r>
    </w:p>
    <w:p>
      <w:pPr>
        <w:tabs>
          <w:tab w:val="left" w:pos="3193"/>
        </w:tabs>
        <w:spacing w:line="440" w:lineRule="exact"/>
        <w:ind w:firstLine="420" w:firstLineChars="200"/>
        <w:rPr>
          <w:rFonts w:ascii="宋体" w:hAnsi="宋体" w:cs="宋体"/>
          <w:szCs w:val="21"/>
        </w:rPr>
      </w:pPr>
      <w:r>
        <w:rPr>
          <w:rFonts w:hint="eastAsia" w:ascii="宋体" w:hAnsi="宋体" w:cs="宋体"/>
          <w:szCs w:val="21"/>
        </w:rPr>
        <w:t>1、发包人或监理工程师根据工地的具体情况，为加强管理或保证质量，举办现场施工人员培训班，承包人应按照监理工程师指定的有关人员参加培训学习，所需费用由承包人承担。</w:t>
      </w:r>
    </w:p>
    <w:p>
      <w:pPr>
        <w:tabs>
          <w:tab w:val="left" w:pos="3193"/>
        </w:tabs>
        <w:spacing w:line="440" w:lineRule="exact"/>
        <w:ind w:firstLine="420" w:firstLineChars="200"/>
        <w:rPr>
          <w:rFonts w:ascii="宋体" w:hAnsi="宋体" w:cs="宋体"/>
          <w:szCs w:val="21"/>
        </w:rPr>
      </w:pPr>
      <w:r>
        <w:rPr>
          <w:rFonts w:hint="eastAsia" w:ascii="宋体" w:hAnsi="宋体" w:cs="宋体"/>
          <w:szCs w:val="21"/>
        </w:rPr>
        <w:t>2、发包人按规定计提的安全生产专项经费，承包人应按技术规范补充条款的相关规定专款专用，切实加强安全与保卫工作。</w:t>
      </w:r>
    </w:p>
    <w:p>
      <w:pPr>
        <w:tabs>
          <w:tab w:val="left" w:pos="3193"/>
        </w:tabs>
        <w:spacing w:line="440" w:lineRule="exact"/>
        <w:ind w:firstLine="420" w:firstLineChars="200"/>
        <w:rPr>
          <w:rFonts w:ascii="宋体" w:hAnsi="宋体" w:cs="宋体"/>
          <w:szCs w:val="21"/>
        </w:rPr>
      </w:pPr>
      <w:r>
        <w:rPr>
          <w:rFonts w:hint="eastAsia" w:ascii="宋体" w:hAnsi="宋体" w:cs="宋体"/>
          <w:szCs w:val="21"/>
        </w:rPr>
        <w:t>3、承包人雇用的施工运输车辆应严格遵守湖南省交通运输厅和当地公安交警部门的有关规定。严禁无牌、无证车辆进入工地。</w:t>
      </w:r>
    </w:p>
    <w:p>
      <w:pPr>
        <w:tabs>
          <w:tab w:val="left" w:pos="3193"/>
        </w:tabs>
        <w:spacing w:line="440" w:lineRule="exact"/>
        <w:ind w:firstLine="420" w:firstLineChars="200"/>
        <w:rPr>
          <w:rFonts w:ascii="宋体" w:hAnsi="宋体" w:cs="宋体"/>
          <w:szCs w:val="21"/>
        </w:rPr>
      </w:pPr>
      <w:r>
        <w:rPr>
          <w:rFonts w:hint="eastAsia" w:ascii="宋体" w:hAnsi="宋体" w:cs="宋体"/>
          <w:szCs w:val="21"/>
        </w:rPr>
        <w:t>4、承包人应遵守发包人制订的《建设资金管理办法》等相关管理制度或规定。</w:t>
      </w:r>
    </w:p>
    <w:bookmarkEnd w:id="166"/>
    <w:p>
      <w:pPr>
        <w:pStyle w:val="4"/>
        <w:spacing w:beforeLines="50" w:line="440" w:lineRule="exact"/>
        <w:rPr>
          <w:rFonts w:ascii="宋体" w:hAnsi="宋体" w:cs="宋体"/>
          <w:sz w:val="24"/>
        </w:rPr>
      </w:pPr>
      <w:bookmarkStart w:id="167" w:name="_Toc234382939"/>
      <w:bookmarkStart w:id="168" w:name="_Toc19115"/>
      <w:bookmarkStart w:id="169" w:name="_Toc432367765"/>
      <w:bookmarkStart w:id="170" w:name="_Toc234382941"/>
      <w:r>
        <w:rPr>
          <w:rFonts w:hint="eastAsia" w:ascii="宋体" w:hAnsi="宋体" w:cs="宋体"/>
          <w:sz w:val="24"/>
        </w:rPr>
        <w:t>10.1 合同进度计划</w:t>
      </w:r>
      <w:bookmarkEnd w:id="167"/>
      <w:bookmarkEnd w:id="168"/>
      <w:bookmarkEnd w:id="169"/>
    </w:p>
    <w:p>
      <w:pPr>
        <w:tabs>
          <w:tab w:val="left" w:pos="3193"/>
        </w:tabs>
        <w:spacing w:line="440" w:lineRule="exact"/>
        <w:ind w:firstLine="420" w:firstLineChars="200"/>
        <w:rPr>
          <w:rFonts w:ascii="宋体" w:hAnsi="宋体" w:cs="宋体"/>
          <w:szCs w:val="21"/>
        </w:rPr>
      </w:pPr>
      <w:r>
        <w:rPr>
          <w:rFonts w:hint="eastAsia" w:ascii="宋体" w:hAnsi="宋体" w:cs="宋体"/>
          <w:szCs w:val="21"/>
        </w:rPr>
        <w:t xml:space="preserve">承包人编制施工方案的内容： </w:t>
      </w:r>
    </w:p>
    <w:p>
      <w:pPr>
        <w:spacing w:line="440" w:lineRule="exact"/>
        <w:ind w:firstLine="420" w:firstLineChars="200"/>
        <w:rPr>
          <w:rFonts w:ascii="宋体" w:hAnsi="宋体" w:cs="宋体"/>
          <w:szCs w:val="21"/>
        </w:rPr>
      </w:pPr>
      <w:r>
        <w:rPr>
          <w:rFonts w:hint="eastAsia" w:ascii="宋体" w:hAnsi="宋体" w:cs="宋体"/>
          <w:szCs w:val="21"/>
        </w:rPr>
        <w:t>1．主要工程项目的施工方案、方法与技术措施（尤其对重点、关键和难点工程的施工方案、方法及其措施）；</w:t>
      </w:r>
    </w:p>
    <w:p>
      <w:pPr>
        <w:spacing w:line="440" w:lineRule="exact"/>
        <w:ind w:firstLine="420" w:firstLineChars="200"/>
        <w:rPr>
          <w:rFonts w:ascii="宋体" w:hAnsi="宋体" w:cs="宋体"/>
          <w:szCs w:val="21"/>
        </w:rPr>
      </w:pPr>
      <w:r>
        <w:rPr>
          <w:rFonts w:hint="eastAsia" w:ascii="宋体" w:hAnsi="宋体" w:cs="宋体"/>
          <w:szCs w:val="21"/>
        </w:rPr>
        <w:t>2．工期的保证体系及保证措施</w:t>
      </w:r>
    </w:p>
    <w:p>
      <w:pPr>
        <w:spacing w:line="440" w:lineRule="exact"/>
        <w:ind w:firstLine="420" w:firstLineChars="200"/>
        <w:rPr>
          <w:rFonts w:ascii="宋体" w:hAnsi="宋体" w:cs="宋体"/>
          <w:szCs w:val="21"/>
        </w:rPr>
      </w:pPr>
      <w:r>
        <w:rPr>
          <w:rFonts w:hint="eastAsia" w:ascii="宋体" w:hAnsi="宋体" w:cs="宋体"/>
          <w:szCs w:val="21"/>
        </w:rPr>
        <w:t>3．工程质量管理体系及保证措施</w:t>
      </w:r>
    </w:p>
    <w:p>
      <w:pPr>
        <w:spacing w:line="440" w:lineRule="exact"/>
        <w:ind w:firstLine="420" w:firstLineChars="200"/>
        <w:rPr>
          <w:rFonts w:ascii="宋体" w:hAnsi="宋体" w:cs="宋体"/>
          <w:szCs w:val="21"/>
        </w:rPr>
      </w:pPr>
      <w:r>
        <w:rPr>
          <w:rFonts w:hint="eastAsia" w:ascii="宋体" w:hAnsi="宋体" w:cs="宋体"/>
          <w:szCs w:val="21"/>
        </w:rPr>
        <w:t>4．安全生产管理体系及保证措施</w:t>
      </w:r>
    </w:p>
    <w:p>
      <w:pPr>
        <w:spacing w:line="440" w:lineRule="exact"/>
        <w:ind w:firstLine="420" w:firstLineChars="200"/>
        <w:rPr>
          <w:rFonts w:ascii="宋体" w:hAnsi="宋体" w:cs="宋体"/>
          <w:szCs w:val="21"/>
        </w:rPr>
      </w:pPr>
      <w:r>
        <w:rPr>
          <w:rFonts w:hint="eastAsia" w:ascii="宋体" w:hAnsi="宋体" w:cs="宋体"/>
          <w:szCs w:val="21"/>
        </w:rPr>
        <w:t>5．环境保护保证体系及保证措施</w:t>
      </w:r>
    </w:p>
    <w:p>
      <w:pPr>
        <w:spacing w:line="440" w:lineRule="exact"/>
        <w:ind w:firstLine="420" w:firstLineChars="200"/>
        <w:rPr>
          <w:rFonts w:ascii="宋体" w:hAnsi="宋体" w:cs="宋体"/>
          <w:szCs w:val="21"/>
        </w:rPr>
      </w:pPr>
      <w:r>
        <w:rPr>
          <w:rFonts w:hint="eastAsia" w:ascii="宋体" w:hAnsi="宋体" w:cs="宋体"/>
          <w:szCs w:val="21"/>
        </w:rPr>
        <w:t>6．文明施工、文物保护保证体系及保证措施</w:t>
      </w:r>
    </w:p>
    <w:p>
      <w:pPr>
        <w:spacing w:line="440" w:lineRule="exact"/>
        <w:ind w:firstLine="420" w:firstLineChars="200"/>
        <w:rPr>
          <w:rFonts w:ascii="宋体" w:hAnsi="宋体" w:cs="宋体"/>
          <w:szCs w:val="21"/>
        </w:rPr>
      </w:pPr>
      <w:r>
        <w:rPr>
          <w:rFonts w:hint="eastAsia" w:ascii="宋体" w:hAnsi="宋体" w:cs="宋体"/>
          <w:szCs w:val="21"/>
        </w:rPr>
        <w:t>7．项目风险预测与防范，事故应急预案</w:t>
      </w:r>
    </w:p>
    <w:p>
      <w:pPr>
        <w:spacing w:line="440" w:lineRule="exact"/>
        <w:ind w:firstLine="420" w:firstLineChars="200"/>
        <w:rPr>
          <w:rFonts w:ascii="宋体" w:hAnsi="宋体" w:cs="宋体"/>
          <w:szCs w:val="21"/>
        </w:rPr>
      </w:pPr>
      <w:r>
        <w:rPr>
          <w:rFonts w:hint="eastAsia" w:ascii="宋体" w:hAnsi="宋体" w:cs="宋体"/>
          <w:szCs w:val="21"/>
        </w:rPr>
        <w:t>8.其他应说明的事项</w:t>
      </w:r>
    </w:p>
    <w:p>
      <w:pPr>
        <w:pStyle w:val="4"/>
        <w:spacing w:beforeLines="50" w:line="440" w:lineRule="exact"/>
        <w:rPr>
          <w:rFonts w:ascii="宋体" w:hAnsi="宋体" w:cs="宋体"/>
          <w:sz w:val="24"/>
        </w:rPr>
      </w:pPr>
      <w:bookmarkStart w:id="171" w:name="_Toc234382940"/>
      <w:bookmarkStart w:id="172" w:name="_Toc30714"/>
      <w:bookmarkStart w:id="173" w:name="_Toc432367766"/>
      <w:r>
        <w:rPr>
          <w:rFonts w:hint="eastAsia" w:ascii="宋体" w:hAnsi="宋体" w:cs="宋体"/>
          <w:sz w:val="24"/>
        </w:rPr>
        <w:t>11.4异常恶劣的气候条件</w:t>
      </w:r>
      <w:bookmarkEnd w:id="171"/>
      <w:bookmarkEnd w:id="172"/>
      <w:bookmarkEnd w:id="173"/>
    </w:p>
    <w:p>
      <w:pPr>
        <w:adjustRightInd w:val="0"/>
        <w:snapToGrid w:val="0"/>
        <w:spacing w:line="440" w:lineRule="exact"/>
        <w:ind w:firstLine="480"/>
        <w:rPr>
          <w:rFonts w:ascii="宋体" w:hAnsi="宋体" w:cs="宋体"/>
          <w:szCs w:val="21"/>
        </w:rPr>
      </w:pPr>
      <w:r>
        <w:rPr>
          <w:rFonts w:hint="eastAsia" w:ascii="宋体" w:hAnsi="宋体" w:cs="宋体"/>
          <w:szCs w:val="21"/>
        </w:rPr>
        <w:t>异常恶劣的气候条件的范围：发生连续五天以上40Cº高温天气，或五十年一遇及以上的强降雨（以永州市气象局发布的气象资料为准）。</w:t>
      </w:r>
    </w:p>
    <w:p>
      <w:pPr>
        <w:pStyle w:val="4"/>
        <w:spacing w:beforeLines="50" w:line="440" w:lineRule="exact"/>
        <w:rPr>
          <w:rFonts w:ascii="宋体" w:hAnsi="宋体" w:cs="宋体"/>
          <w:sz w:val="24"/>
        </w:rPr>
      </w:pPr>
      <w:bookmarkStart w:id="174" w:name="_Toc432367767"/>
      <w:bookmarkStart w:id="175" w:name="_Toc2505"/>
      <w:r>
        <w:rPr>
          <w:rFonts w:hint="eastAsia" w:ascii="宋体" w:hAnsi="宋体" w:cs="宋体"/>
          <w:sz w:val="24"/>
        </w:rPr>
        <w:t>12.1承包人暂停施工的责任</w:t>
      </w:r>
      <w:bookmarkEnd w:id="170"/>
      <w:bookmarkEnd w:id="174"/>
      <w:bookmarkEnd w:id="175"/>
    </w:p>
    <w:p>
      <w:pPr>
        <w:snapToGrid w:val="0"/>
        <w:spacing w:line="440" w:lineRule="exact"/>
        <w:ind w:firstLine="480"/>
        <w:rPr>
          <w:rFonts w:ascii="宋体" w:hAnsi="宋体" w:cs="宋体"/>
          <w:szCs w:val="21"/>
        </w:rPr>
      </w:pPr>
      <w:r>
        <w:rPr>
          <w:rFonts w:hint="eastAsia" w:ascii="宋体" w:hAnsi="宋体" w:cs="宋体"/>
          <w:szCs w:val="21"/>
        </w:rPr>
        <w:t>12.1（6）由承包人承担的其他暂停施工：因承包人原因导致第三方阻止承包人施工而造成的暂停施工。</w:t>
      </w:r>
    </w:p>
    <w:p>
      <w:pPr>
        <w:pStyle w:val="4"/>
        <w:spacing w:beforeLines="50" w:line="440" w:lineRule="exact"/>
        <w:rPr>
          <w:rFonts w:hint="eastAsia" w:ascii="宋体" w:hAnsi="宋体" w:cs="宋体"/>
          <w:sz w:val="24"/>
        </w:rPr>
      </w:pPr>
      <w:bookmarkStart w:id="176" w:name="_Toc1751"/>
      <w:bookmarkStart w:id="177" w:name="_Toc432367768"/>
    </w:p>
    <w:p>
      <w:pPr>
        <w:pStyle w:val="4"/>
        <w:spacing w:beforeLines="50" w:line="440" w:lineRule="exact"/>
        <w:rPr>
          <w:rFonts w:ascii="宋体" w:hAnsi="宋体" w:cs="宋体"/>
          <w:sz w:val="24"/>
        </w:rPr>
      </w:pPr>
      <w:r>
        <w:rPr>
          <w:rFonts w:hint="eastAsia" w:ascii="宋体" w:hAnsi="宋体" w:cs="宋体"/>
          <w:sz w:val="24"/>
        </w:rPr>
        <w:t>16. 价格调整</w:t>
      </w:r>
      <w:bookmarkEnd w:id="176"/>
      <w:bookmarkEnd w:id="177"/>
    </w:p>
    <w:p>
      <w:pPr>
        <w:spacing w:line="440" w:lineRule="exact"/>
        <w:ind w:firstLine="420" w:firstLineChars="200"/>
        <w:rPr>
          <w:rFonts w:ascii="宋体" w:hAnsi="宋体" w:cs="宋体"/>
          <w:szCs w:val="21"/>
        </w:rPr>
      </w:pPr>
      <w:r>
        <w:rPr>
          <w:rFonts w:hint="eastAsia" w:ascii="宋体" w:hAnsi="宋体" w:cs="宋体"/>
          <w:szCs w:val="21"/>
        </w:rPr>
        <w:t>16.1物价波动引起的价格调整</w:t>
      </w:r>
    </w:p>
    <w:p>
      <w:pPr>
        <w:spacing w:line="440" w:lineRule="exact"/>
        <w:ind w:firstLine="420" w:firstLineChars="200"/>
        <w:rPr>
          <w:rFonts w:ascii="宋体" w:hAnsi="宋体" w:cs="宋体"/>
          <w:szCs w:val="21"/>
        </w:rPr>
      </w:pPr>
      <w:r>
        <w:rPr>
          <w:rFonts w:hint="eastAsia" w:ascii="宋体" w:hAnsi="宋体" w:cs="宋体"/>
          <w:szCs w:val="21"/>
        </w:rPr>
        <w:t>16.1.2物价波动正负百分之三调差</w:t>
      </w:r>
    </w:p>
    <w:p>
      <w:pPr>
        <w:spacing w:line="440" w:lineRule="exact"/>
        <w:ind w:firstLine="420" w:firstLineChars="200"/>
        <w:rPr>
          <w:rFonts w:ascii="宋体" w:hAnsi="宋体" w:cs="宋体"/>
          <w:szCs w:val="21"/>
        </w:rPr>
      </w:pPr>
      <w:r>
        <w:rPr>
          <w:rFonts w:hint="eastAsia" w:ascii="宋体" w:hAnsi="宋体" w:cs="宋体"/>
          <w:szCs w:val="21"/>
        </w:rPr>
        <w:t>16.1.3市场原因材料价格的调差</w:t>
      </w:r>
    </w:p>
    <w:p>
      <w:pPr>
        <w:snapToGrid w:val="0"/>
        <w:spacing w:line="440" w:lineRule="exact"/>
        <w:rPr>
          <w:rFonts w:ascii="宋体" w:hAnsi="宋体" w:cs="宋体"/>
          <w:b/>
          <w:kern w:val="44"/>
          <w:sz w:val="24"/>
        </w:rPr>
      </w:pPr>
      <w:r>
        <w:rPr>
          <w:rFonts w:hint="eastAsia" w:ascii="宋体" w:hAnsi="宋体" w:cs="宋体"/>
          <w:b/>
          <w:kern w:val="44"/>
          <w:sz w:val="24"/>
        </w:rPr>
        <w:t>17.4 质量保证金</w:t>
      </w:r>
    </w:p>
    <w:p>
      <w:pPr>
        <w:snapToGrid w:val="0"/>
        <w:spacing w:line="440" w:lineRule="exact"/>
        <w:ind w:firstLine="480"/>
        <w:rPr>
          <w:rFonts w:ascii="宋体" w:hAnsi="宋体" w:cs="宋体"/>
          <w:b/>
          <w:kern w:val="44"/>
          <w:sz w:val="24"/>
        </w:rPr>
      </w:pPr>
      <w:r>
        <w:rPr>
          <w:rFonts w:hint="eastAsia" w:ascii="宋体" w:hAnsi="宋体" w:cs="宋体"/>
          <w:b/>
          <w:kern w:val="44"/>
          <w:sz w:val="24"/>
        </w:rPr>
        <w:t>增加：</w:t>
      </w:r>
    </w:p>
    <w:p>
      <w:pPr>
        <w:snapToGrid w:val="0"/>
        <w:spacing w:line="440" w:lineRule="exact"/>
        <w:ind w:firstLine="480"/>
        <w:rPr>
          <w:rFonts w:ascii="宋体" w:hAnsi="宋体" w:cs="宋体"/>
          <w:szCs w:val="21"/>
        </w:rPr>
      </w:pPr>
      <w:r>
        <w:rPr>
          <w:rFonts w:hint="eastAsia" w:ascii="宋体" w:hAnsi="宋体" w:cs="宋体"/>
          <w:szCs w:val="21"/>
        </w:rPr>
        <w:t>17.4.4 签订承包合同时，承包人应向发包人交纳签约合同价2%的民工工资保证金，并保证按时支付所雇佣民工的工资。当承包人未能按时支付所雇佣民工工资时，发包人核实后将代为支付，并从当期工程款中扣回。工程交工验收28日后，发包人凭承包人所雇佣民工认可的“工资已结清”证明退还民工工资保证金。</w:t>
      </w:r>
    </w:p>
    <w:p>
      <w:pPr>
        <w:spacing w:line="440" w:lineRule="exact"/>
        <w:rPr>
          <w:rFonts w:ascii="宋体" w:hAnsi="宋体" w:cs="宋体"/>
          <w:b/>
          <w:kern w:val="44"/>
          <w:sz w:val="24"/>
        </w:rPr>
      </w:pPr>
      <w:r>
        <w:rPr>
          <w:rFonts w:hint="eastAsia" w:ascii="宋体" w:hAnsi="宋体" w:cs="宋体"/>
          <w:b/>
          <w:kern w:val="44"/>
          <w:sz w:val="24"/>
        </w:rPr>
        <w:t>20.保险</w:t>
      </w:r>
    </w:p>
    <w:p>
      <w:pPr>
        <w:spacing w:line="440" w:lineRule="exact"/>
        <w:ind w:firstLine="315" w:firstLineChars="150"/>
        <w:rPr>
          <w:rFonts w:ascii="宋体" w:hAnsi="宋体" w:cs="宋体"/>
          <w:szCs w:val="21"/>
        </w:rPr>
      </w:pPr>
      <w:r>
        <w:rPr>
          <w:rFonts w:hint="eastAsia" w:ascii="宋体" w:hAnsi="宋体" w:cs="宋体"/>
          <w:szCs w:val="21"/>
        </w:rPr>
        <w:t>20.1工程保险</w:t>
      </w:r>
    </w:p>
    <w:p>
      <w:pPr>
        <w:tabs>
          <w:tab w:val="left" w:pos="3193"/>
        </w:tabs>
        <w:spacing w:line="440" w:lineRule="exact"/>
        <w:ind w:firstLine="420" w:firstLineChars="200"/>
        <w:rPr>
          <w:rFonts w:ascii="宋体" w:hAnsi="宋体" w:cs="宋体"/>
          <w:szCs w:val="21"/>
        </w:rPr>
      </w:pPr>
      <w:r>
        <w:rPr>
          <w:rFonts w:hint="eastAsia" w:ascii="宋体" w:hAnsi="宋体" w:cs="宋体"/>
          <w:szCs w:val="21"/>
        </w:rPr>
        <w:t>本款末尾增加：本项目的保险公司由发包人指定，并以发包人和承包人名义共同投保，不超过工程量清单金额的保险费经监理工程师签证后由发包人承担，承包人根据实际情况或有关规定增加的其他商业保险由承包人承担。</w:t>
      </w:r>
    </w:p>
    <w:p>
      <w:pPr>
        <w:tabs>
          <w:tab w:val="left" w:pos="3193"/>
        </w:tabs>
        <w:spacing w:line="440" w:lineRule="exact"/>
        <w:ind w:firstLine="420" w:firstLineChars="200"/>
        <w:rPr>
          <w:rFonts w:ascii="宋体" w:hAnsi="宋体" w:cs="宋体"/>
          <w:szCs w:val="21"/>
        </w:rPr>
      </w:pPr>
      <w:r>
        <w:rPr>
          <w:rFonts w:hint="eastAsia" w:ascii="宋体" w:hAnsi="宋体" w:cs="宋体"/>
          <w:szCs w:val="21"/>
        </w:rPr>
        <w:t>20.5 其他保险</w:t>
      </w:r>
    </w:p>
    <w:p>
      <w:pPr>
        <w:tabs>
          <w:tab w:val="left" w:pos="3193"/>
        </w:tabs>
        <w:spacing w:line="440" w:lineRule="exact"/>
        <w:ind w:firstLine="420" w:firstLineChars="200"/>
        <w:rPr>
          <w:rFonts w:ascii="宋体" w:hAnsi="宋体" w:cs="宋体"/>
          <w:szCs w:val="21"/>
        </w:rPr>
      </w:pPr>
      <w:r>
        <w:rPr>
          <w:rFonts w:hint="eastAsia" w:ascii="宋体" w:hAnsi="宋体" w:cs="宋体"/>
          <w:szCs w:val="21"/>
        </w:rPr>
        <w:t>本款末尾增加：承包人应为其所雇佣的全部人员缴纳工伤保险，保险费为全部人员工资总额的</w:t>
      </w:r>
      <w:r>
        <w:rPr>
          <w:rFonts w:hint="eastAsia" w:ascii="宋体" w:hAnsi="宋体" w:cs="宋体"/>
          <w:szCs w:val="21"/>
          <w:u w:val="single"/>
        </w:rPr>
        <w:t xml:space="preserve"> 9 </w:t>
      </w:r>
      <w:r>
        <w:rPr>
          <w:rFonts w:hint="eastAsia" w:ascii="宋体" w:hAnsi="宋体" w:cs="宋体"/>
          <w:szCs w:val="21"/>
        </w:rPr>
        <w:t xml:space="preserve"> ‰。承包人在承包工程施工过程中发生重大伤亡事故，发包人不承担任何责任和费用。</w:t>
      </w:r>
    </w:p>
    <w:p>
      <w:pPr>
        <w:pStyle w:val="4"/>
        <w:spacing w:beforeLines="50" w:line="440" w:lineRule="exact"/>
        <w:rPr>
          <w:rFonts w:ascii="宋体" w:hAnsi="宋体" w:cs="宋体"/>
          <w:sz w:val="24"/>
        </w:rPr>
      </w:pPr>
      <w:bookmarkStart w:id="178" w:name="_Toc14634"/>
      <w:bookmarkStart w:id="179" w:name="_Toc432367769"/>
      <w:bookmarkStart w:id="180" w:name="_Toc234382942"/>
      <w:r>
        <w:rPr>
          <w:rFonts w:hint="eastAsia" w:ascii="宋体" w:hAnsi="宋体" w:cs="宋体"/>
          <w:sz w:val="24"/>
        </w:rPr>
        <w:t>21.1不可抗力的确认</w:t>
      </w:r>
      <w:bookmarkEnd w:id="178"/>
      <w:bookmarkEnd w:id="179"/>
      <w:bookmarkEnd w:id="180"/>
    </w:p>
    <w:p>
      <w:pPr>
        <w:tabs>
          <w:tab w:val="left" w:pos="3193"/>
        </w:tabs>
        <w:spacing w:line="440" w:lineRule="exact"/>
        <w:ind w:firstLine="420" w:firstLineChars="200"/>
        <w:rPr>
          <w:rFonts w:ascii="宋体" w:hAnsi="宋体" w:cs="宋体"/>
          <w:sz w:val="24"/>
          <w:u w:val="single"/>
        </w:rPr>
      </w:pPr>
      <w:r>
        <w:rPr>
          <w:rFonts w:hint="eastAsia" w:ascii="宋体" w:hAnsi="宋体" w:cs="宋体"/>
          <w:szCs w:val="21"/>
        </w:rPr>
        <w:t>21.1.1（6）不可抗力的其他情形：</w:t>
      </w:r>
      <w:r>
        <w:rPr>
          <w:rFonts w:hint="eastAsia" w:ascii="宋体" w:hAnsi="宋体" w:cs="宋体"/>
          <w:szCs w:val="21"/>
          <w:u w:val="single"/>
        </w:rPr>
        <w:t xml:space="preserve">   </w:t>
      </w:r>
      <w:r>
        <w:rPr>
          <w:rFonts w:hint="eastAsia" w:ascii="宋体" w:hAnsi="宋体" w:cs="宋体"/>
          <w:sz w:val="24"/>
          <w:u w:val="single"/>
        </w:rPr>
        <w:t xml:space="preserve">     /          </w:t>
      </w:r>
    </w:p>
    <w:p>
      <w:pPr>
        <w:pStyle w:val="4"/>
        <w:spacing w:beforeLines="50" w:line="440" w:lineRule="exact"/>
        <w:rPr>
          <w:rFonts w:ascii="宋体" w:hAnsi="宋体" w:cs="宋体"/>
          <w:sz w:val="24"/>
        </w:rPr>
      </w:pPr>
      <w:bookmarkStart w:id="181" w:name="_Toc432367770"/>
      <w:bookmarkStart w:id="182" w:name="_Toc234382943"/>
      <w:bookmarkStart w:id="183" w:name="_Toc8937"/>
      <w:r>
        <w:rPr>
          <w:rFonts w:hint="eastAsia" w:ascii="宋体" w:hAnsi="宋体" w:cs="宋体"/>
          <w:sz w:val="24"/>
        </w:rPr>
        <w:t>22.1承包人违约</w:t>
      </w:r>
      <w:bookmarkEnd w:id="181"/>
      <w:bookmarkEnd w:id="182"/>
      <w:bookmarkEnd w:id="183"/>
    </w:p>
    <w:p>
      <w:pPr>
        <w:spacing w:line="440" w:lineRule="exact"/>
        <w:ind w:firstLine="420" w:firstLineChars="200"/>
        <w:rPr>
          <w:rFonts w:ascii="宋体" w:hAnsi="宋体" w:cs="宋体"/>
          <w:szCs w:val="21"/>
        </w:rPr>
      </w:pPr>
      <w:r>
        <w:rPr>
          <w:rFonts w:hint="eastAsia" w:ascii="宋体" w:hAnsi="宋体" w:cs="宋体"/>
          <w:szCs w:val="21"/>
        </w:rPr>
        <w:t>22.1.1 承包人违约的情形</w:t>
      </w:r>
    </w:p>
    <w:p>
      <w:pPr>
        <w:tabs>
          <w:tab w:val="left" w:pos="3193"/>
        </w:tabs>
        <w:spacing w:line="440" w:lineRule="exact"/>
        <w:ind w:firstLine="420" w:firstLineChars="200"/>
        <w:rPr>
          <w:rFonts w:ascii="宋体" w:hAnsi="宋体" w:cs="宋体"/>
          <w:szCs w:val="21"/>
        </w:rPr>
      </w:pPr>
      <w:r>
        <w:rPr>
          <w:rFonts w:hint="eastAsia" w:ascii="宋体" w:hAnsi="宋体" w:cs="宋体"/>
          <w:szCs w:val="21"/>
        </w:rPr>
        <w:t>（7）改为：</w:t>
      </w:r>
    </w:p>
    <w:p>
      <w:pPr>
        <w:spacing w:line="440" w:lineRule="exact"/>
        <w:ind w:firstLine="420" w:firstLineChars="200"/>
        <w:rPr>
          <w:rFonts w:ascii="宋体" w:hAnsi="宋体" w:cs="宋体"/>
          <w:szCs w:val="21"/>
        </w:rPr>
      </w:pPr>
      <w:r>
        <w:rPr>
          <w:rFonts w:hint="eastAsia" w:ascii="宋体" w:hAnsi="宋体" w:cs="宋体"/>
          <w:szCs w:val="21"/>
        </w:rPr>
        <w:t>承包人违约的其他情况（包括但不限于下列情形）：</w:t>
      </w:r>
    </w:p>
    <w:p>
      <w:pPr>
        <w:spacing w:line="440" w:lineRule="exact"/>
        <w:ind w:firstLine="420" w:firstLineChars="200"/>
        <w:rPr>
          <w:rFonts w:ascii="宋体" w:hAnsi="宋体" w:cs="宋体"/>
          <w:szCs w:val="21"/>
        </w:rPr>
      </w:pPr>
      <w:r>
        <w:rPr>
          <w:rFonts w:hint="eastAsia" w:ascii="宋体" w:hAnsi="宋体" w:cs="宋体"/>
          <w:szCs w:val="21"/>
        </w:rPr>
        <w:t>①承包人的工程发生质量事故或施工中出现重大质量隐患；</w:t>
      </w:r>
    </w:p>
    <w:p>
      <w:pPr>
        <w:spacing w:line="440" w:lineRule="exact"/>
        <w:ind w:firstLine="420" w:firstLineChars="200"/>
        <w:rPr>
          <w:rFonts w:ascii="宋体" w:hAnsi="宋体" w:cs="宋体"/>
          <w:szCs w:val="21"/>
        </w:rPr>
      </w:pPr>
      <w:r>
        <w:rPr>
          <w:rFonts w:hint="eastAsia" w:ascii="宋体" w:hAnsi="宋体" w:cs="宋体"/>
          <w:szCs w:val="21"/>
        </w:rPr>
        <w:t>②项目经理、总工或项目经理部其他主要人员擅离工地（项目经理、总工离开工地3天内未经驻地监理工程师和发包人总经理书面批准，项目经理部其他主要人员离开工地未经项目经理书面批准）；</w:t>
      </w:r>
    </w:p>
    <w:p>
      <w:pPr>
        <w:spacing w:line="440" w:lineRule="exact"/>
        <w:ind w:firstLine="420" w:firstLineChars="200"/>
        <w:rPr>
          <w:rFonts w:ascii="宋体" w:hAnsi="宋体" w:cs="宋体"/>
          <w:szCs w:val="21"/>
        </w:rPr>
      </w:pPr>
      <w:r>
        <w:rPr>
          <w:rFonts w:hint="eastAsia" w:ascii="宋体" w:hAnsi="宋体" w:cs="宋体"/>
          <w:szCs w:val="21"/>
        </w:rPr>
        <w:t>③项目经理、</w:t>
      </w:r>
      <w:r>
        <w:rPr>
          <w:rFonts w:hint="eastAsia" w:ascii="宋体" w:hAnsi="宋体" w:cs="宋体"/>
          <w:szCs w:val="21"/>
          <w:lang w:eastAsia="zh-CN"/>
        </w:rPr>
        <w:t>项目总工程师</w:t>
      </w:r>
      <w:r>
        <w:rPr>
          <w:rFonts w:hint="eastAsia" w:ascii="宋体" w:hAnsi="宋体" w:cs="宋体"/>
          <w:szCs w:val="21"/>
        </w:rPr>
        <w:t>或项目部其他主要人员（测量工程师、计量工程师、试验工程师、质检工程师、专职安全员）在工地的时间每月少于22天；</w:t>
      </w:r>
    </w:p>
    <w:p>
      <w:pPr>
        <w:spacing w:line="440" w:lineRule="exact"/>
        <w:ind w:firstLine="420" w:firstLineChars="200"/>
        <w:rPr>
          <w:rFonts w:ascii="宋体" w:hAnsi="宋体" w:cs="宋体"/>
          <w:szCs w:val="21"/>
        </w:rPr>
      </w:pPr>
      <w:r>
        <w:rPr>
          <w:rFonts w:hint="eastAsia" w:ascii="宋体" w:hAnsi="宋体" w:cs="宋体"/>
          <w:szCs w:val="21"/>
        </w:rPr>
        <w:t>④承包人进场的机械设备数量、型号或新旧程度不符合</w:t>
      </w:r>
      <w:r>
        <w:rPr>
          <w:rFonts w:hint="eastAsia" w:ascii="宋体" w:hAnsi="宋体" w:cs="宋体"/>
          <w:szCs w:val="21"/>
          <w:lang w:eastAsia="zh-CN"/>
        </w:rPr>
        <w:t>交易文件</w:t>
      </w:r>
      <w:r>
        <w:rPr>
          <w:rFonts w:hint="eastAsia" w:ascii="宋体" w:hAnsi="宋体" w:cs="宋体"/>
          <w:szCs w:val="21"/>
        </w:rPr>
        <w:t>要求的；</w:t>
      </w:r>
    </w:p>
    <w:p>
      <w:pPr>
        <w:spacing w:line="440" w:lineRule="exact"/>
        <w:ind w:firstLine="420" w:firstLineChars="200"/>
        <w:rPr>
          <w:rFonts w:ascii="宋体" w:hAnsi="宋体" w:cs="宋体"/>
          <w:szCs w:val="21"/>
        </w:rPr>
      </w:pPr>
      <w:r>
        <w:rPr>
          <w:rFonts w:hint="eastAsia" w:ascii="宋体" w:hAnsi="宋体" w:cs="宋体"/>
          <w:szCs w:val="21"/>
        </w:rPr>
        <w:t>⑤承包人采购的钢筋、水泥不接受发包人和监理人质量监督的。</w:t>
      </w:r>
    </w:p>
    <w:p>
      <w:pPr>
        <w:spacing w:line="440" w:lineRule="exact"/>
        <w:ind w:firstLine="420" w:firstLineChars="200"/>
        <w:rPr>
          <w:rFonts w:ascii="宋体" w:hAnsi="宋体" w:cs="宋体"/>
          <w:spacing w:val="-6"/>
          <w:szCs w:val="21"/>
        </w:rPr>
      </w:pPr>
      <w:r>
        <w:rPr>
          <w:rFonts w:hint="eastAsia" w:ascii="宋体" w:hAnsi="宋体" w:cs="宋体"/>
          <w:szCs w:val="21"/>
        </w:rPr>
        <w:t>⑥</w:t>
      </w:r>
      <w:r>
        <w:rPr>
          <w:rFonts w:hint="eastAsia" w:ascii="宋体" w:hAnsi="宋体" w:cs="宋体"/>
          <w:spacing w:val="-6"/>
          <w:szCs w:val="21"/>
        </w:rPr>
        <w:t>经监理人和发包人检查，发现承包人有安全问题或有违反安全管理规章制度的情况。</w:t>
      </w:r>
    </w:p>
    <w:p>
      <w:pPr>
        <w:tabs>
          <w:tab w:val="left" w:pos="3193"/>
        </w:tabs>
        <w:spacing w:line="440" w:lineRule="exact"/>
        <w:ind w:firstLine="420" w:firstLineChars="200"/>
        <w:rPr>
          <w:rFonts w:ascii="宋体" w:hAnsi="宋体" w:cs="宋体"/>
          <w:szCs w:val="21"/>
        </w:rPr>
      </w:pPr>
      <w:r>
        <w:rPr>
          <w:rFonts w:hint="eastAsia" w:ascii="宋体" w:hAnsi="宋体" w:cs="宋体"/>
          <w:szCs w:val="21"/>
        </w:rPr>
        <w:t>22.1.2 对承包人违约的处理</w:t>
      </w:r>
    </w:p>
    <w:p>
      <w:pPr>
        <w:tabs>
          <w:tab w:val="left" w:pos="3193"/>
        </w:tabs>
        <w:spacing w:line="440" w:lineRule="exact"/>
        <w:ind w:firstLine="420" w:firstLineChars="200"/>
        <w:rPr>
          <w:rFonts w:ascii="宋体" w:hAnsi="宋体" w:cs="宋体"/>
          <w:szCs w:val="21"/>
        </w:rPr>
      </w:pPr>
      <w:r>
        <w:rPr>
          <w:rFonts w:hint="eastAsia" w:ascii="宋体" w:hAnsi="宋体" w:cs="宋体"/>
          <w:szCs w:val="21"/>
        </w:rPr>
        <w:t>增加：</w:t>
      </w:r>
    </w:p>
    <w:p>
      <w:pPr>
        <w:tabs>
          <w:tab w:val="left" w:pos="3193"/>
        </w:tabs>
        <w:spacing w:line="440" w:lineRule="exact"/>
        <w:ind w:firstLine="420" w:firstLineChars="200"/>
        <w:rPr>
          <w:rFonts w:ascii="宋体" w:hAnsi="宋体" w:cs="宋体"/>
          <w:szCs w:val="21"/>
        </w:rPr>
      </w:pPr>
      <w:r>
        <w:rPr>
          <w:rFonts w:hint="eastAsia" w:ascii="宋体" w:hAnsi="宋体" w:cs="宋体"/>
          <w:szCs w:val="21"/>
        </w:rPr>
        <w:t>(4)当承包人发生第22.1.1项约定的违约情况时，发包人有权向承包人课以违约金，具体约定如下：</w:t>
      </w:r>
    </w:p>
    <w:p>
      <w:pPr>
        <w:spacing w:line="440" w:lineRule="exact"/>
        <w:ind w:firstLine="420" w:firstLineChars="200"/>
        <w:rPr>
          <w:rFonts w:ascii="宋体" w:hAnsi="宋体" w:cs="宋体"/>
          <w:szCs w:val="21"/>
        </w:rPr>
      </w:pPr>
      <w:r>
        <w:rPr>
          <w:rFonts w:hint="eastAsia" w:ascii="宋体" w:hAnsi="宋体" w:cs="宋体"/>
          <w:szCs w:val="21"/>
        </w:rPr>
        <w:t>①承包人违反第1.8款（除合同另有约定外，未经对方当事人同意，一方当事人不得将合同权利全部或部分转让给第三人，也不得全部或部分转移合同义务）或第4.3款（承包人不得将其承包的全部工程转包给第三人，或将其承包的全部工程肢解后以分包的名义转包给第三人）的约定，发包人有权终止合同，不退还承包人的履约保证金，并由承包人承担由此引起的发包人的直接损失；</w:t>
      </w:r>
    </w:p>
    <w:p>
      <w:pPr>
        <w:tabs>
          <w:tab w:val="left" w:pos="3193"/>
        </w:tabs>
        <w:spacing w:line="440" w:lineRule="exact"/>
        <w:ind w:firstLine="420" w:firstLineChars="200"/>
        <w:rPr>
          <w:rFonts w:ascii="宋体" w:hAnsi="宋体" w:cs="宋体"/>
          <w:szCs w:val="21"/>
        </w:rPr>
      </w:pPr>
      <w:r>
        <w:rPr>
          <w:rFonts w:hint="eastAsia" w:ascii="宋体" w:hAnsi="宋体" w:cs="宋体"/>
          <w:szCs w:val="21"/>
        </w:rPr>
        <w:t>②承包人违反第5.3款（运入施工场地的材料、工程设备，包括备品备件、安装专用工器具与随机资料，必须专用于合同工程，未经监理人同意，承包人不得运出施工场地或挪作他用）的约定，违约金为每次</w:t>
      </w:r>
      <w:r>
        <w:rPr>
          <w:rFonts w:hint="eastAsia" w:ascii="宋体" w:hAnsi="宋体" w:cs="宋体"/>
          <w:b/>
          <w:szCs w:val="21"/>
        </w:rPr>
        <w:t>0.5</w:t>
      </w:r>
      <w:r>
        <w:rPr>
          <w:rFonts w:hint="eastAsia" w:ascii="宋体" w:hAnsi="宋体" w:cs="宋体"/>
          <w:szCs w:val="21"/>
        </w:rPr>
        <w:t>万—</w:t>
      </w:r>
      <w:r>
        <w:rPr>
          <w:rFonts w:hint="eastAsia" w:ascii="宋体" w:hAnsi="宋体" w:cs="宋体"/>
          <w:b/>
          <w:szCs w:val="21"/>
        </w:rPr>
        <w:t>1</w:t>
      </w:r>
      <w:r>
        <w:rPr>
          <w:rFonts w:hint="eastAsia" w:ascii="宋体" w:hAnsi="宋体" w:cs="宋体"/>
          <w:szCs w:val="21"/>
        </w:rPr>
        <w:t>万元；</w:t>
      </w:r>
    </w:p>
    <w:p>
      <w:pPr>
        <w:tabs>
          <w:tab w:val="left" w:pos="3193"/>
        </w:tabs>
        <w:spacing w:line="440" w:lineRule="exact"/>
        <w:ind w:firstLine="457" w:firstLineChars="218"/>
        <w:rPr>
          <w:rFonts w:ascii="宋体" w:hAnsi="宋体" w:cs="宋体"/>
          <w:szCs w:val="21"/>
        </w:rPr>
      </w:pPr>
      <w:r>
        <w:rPr>
          <w:rFonts w:hint="eastAsia" w:ascii="宋体" w:hAnsi="宋体" w:cs="宋体"/>
          <w:szCs w:val="21"/>
        </w:rPr>
        <w:t>③违反第6.4款（除合同另有约定外，运入施工场地的所有施工设备以及在施工场地建设的临时设施应专用于合同工程。未经监理人同意，不得将上述施工设备和临时设施中的任何部分运出施工场地或挪作他用）的约定，违约金为大中型设备每台次</w:t>
      </w:r>
      <w:r>
        <w:rPr>
          <w:rFonts w:hint="eastAsia" w:ascii="宋体" w:hAnsi="宋体" w:cs="宋体"/>
          <w:b/>
          <w:szCs w:val="21"/>
        </w:rPr>
        <w:t>0.2</w:t>
      </w:r>
      <w:r>
        <w:rPr>
          <w:rFonts w:hint="eastAsia" w:ascii="宋体" w:hAnsi="宋体" w:cs="宋体"/>
          <w:szCs w:val="21"/>
        </w:rPr>
        <w:t>万元，小型设备每台次</w:t>
      </w:r>
      <w:r>
        <w:rPr>
          <w:rFonts w:hint="eastAsia" w:ascii="宋体" w:hAnsi="宋体" w:cs="宋体"/>
          <w:b/>
          <w:szCs w:val="21"/>
        </w:rPr>
        <w:t>0.1</w:t>
      </w:r>
      <w:r>
        <w:rPr>
          <w:rFonts w:hint="eastAsia" w:ascii="宋体" w:hAnsi="宋体" w:cs="宋体"/>
          <w:szCs w:val="21"/>
        </w:rPr>
        <w:t>万元，临时设施为</w:t>
      </w:r>
      <w:r>
        <w:rPr>
          <w:rFonts w:hint="eastAsia" w:ascii="宋体" w:hAnsi="宋体" w:cs="宋体"/>
          <w:b/>
          <w:szCs w:val="21"/>
        </w:rPr>
        <w:t>0.5</w:t>
      </w:r>
      <w:r>
        <w:rPr>
          <w:rFonts w:hint="eastAsia" w:ascii="宋体" w:hAnsi="宋体" w:cs="宋体"/>
          <w:szCs w:val="21"/>
        </w:rPr>
        <w:t>万元；</w:t>
      </w:r>
    </w:p>
    <w:p>
      <w:pPr>
        <w:tabs>
          <w:tab w:val="left" w:pos="3193"/>
        </w:tabs>
        <w:spacing w:line="440" w:lineRule="exact"/>
        <w:ind w:firstLine="420" w:firstLineChars="200"/>
        <w:rPr>
          <w:rFonts w:ascii="宋体" w:hAnsi="宋体" w:cs="宋体"/>
          <w:szCs w:val="21"/>
        </w:rPr>
      </w:pPr>
      <w:r>
        <w:rPr>
          <w:rFonts w:hint="eastAsia" w:ascii="宋体" w:hAnsi="宋体" w:cs="宋体"/>
          <w:szCs w:val="21"/>
        </w:rPr>
        <w:t>④承包人发生22.1.1（3）目（承包人违反第5.4 款禁止使用不合格的材料和工程设备的约定，使用了不合格材料或工程设备，工程质量达不到标准要求，又拒绝清除不合格工程）违约行为，违约金为</w:t>
      </w:r>
      <w:r>
        <w:rPr>
          <w:rFonts w:hint="eastAsia" w:ascii="宋体" w:hAnsi="宋体" w:cs="宋体"/>
          <w:b/>
          <w:szCs w:val="21"/>
        </w:rPr>
        <w:t>1</w:t>
      </w:r>
      <w:r>
        <w:rPr>
          <w:rFonts w:hint="eastAsia" w:ascii="宋体" w:hAnsi="宋体" w:cs="宋体"/>
          <w:szCs w:val="21"/>
        </w:rPr>
        <w:t>万—</w:t>
      </w:r>
      <w:r>
        <w:rPr>
          <w:rFonts w:hint="eastAsia" w:ascii="宋体" w:hAnsi="宋体" w:cs="宋体"/>
          <w:b/>
          <w:szCs w:val="21"/>
        </w:rPr>
        <w:t>5</w:t>
      </w:r>
      <w:r>
        <w:rPr>
          <w:rFonts w:hint="eastAsia" w:ascii="宋体" w:hAnsi="宋体" w:cs="宋体"/>
          <w:szCs w:val="21"/>
        </w:rPr>
        <w:t>万元；</w:t>
      </w:r>
    </w:p>
    <w:p>
      <w:pPr>
        <w:tabs>
          <w:tab w:val="left" w:pos="3193"/>
        </w:tabs>
        <w:spacing w:line="440" w:lineRule="exact"/>
        <w:ind w:firstLine="417" w:firstLineChars="199"/>
        <w:rPr>
          <w:rFonts w:ascii="宋体" w:hAnsi="宋体" w:cs="宋体"/>
          <w:szCs w:val="21"/>
        </w:rPr>
      </w:pPr>
      <w:r>
        <w:rPr>
          <w:rFonts w:hint="eastAsia" w:ascii="宋体" w:hAnsi="宋体" w:cs="宋体"/>
          <w:szCs w:val="21"/>
        </w:rPr>
        <w:t>⑤承包人发生22.1.1（5）目（承包人在缺陷责任期内，未能对工程接收证书所列的缺陷清单的内容或缺陷责任期内发生的缺陷进行修复，而又拒绝按监理人指示再进行修补）违约行为，违约金为缺陷责任修复所需费用的</w:t>
      </w:r>
      <w:r>
        <w:rPr>
          <w:rFonts w:hint="eastAsia" w:ascii="宋体" w:hAnsi="宋体" w:cs="宋体"/>
          <w:b/>
          <w:szCs w:val="21"/>
        </w:rPr>
        <w:t>1.5</w:t>
      </w:r>
      <w:r>
        <w:rPr>
          <w:rFonts w:hint="eastAsia" w:ascii="宋体" w:hAnsi="宋体" w:cs="宋体"/>
          <w:szCs w:val="21"/>
        </w:rPr>
        <w:t>倍。</w:t>
      </w:r>
    </w:p>
    <w:p>
      <w:pPr>
        <w:tabs>
          <w:tab w:val="left" w:pos="3193"/>
        </w:tabs>
        <w:spacing w:line="440" w:lineRule="exact"/>
        <w:ind w:firstLine="457" w:firstLineChars="218"/>
        <w:rPr>
          <w:rFonts w:ascii="宋体" w:hAnsi="宋体" w:cs="宋体"/>
          <w:szCs w:val="21"/>
        </w:rPr>
      </w:pPr>
      <w:r>
        <w:rPr>
          <w:rFonts w:hint="eastAsia" w:ascii="宋体" w:hAnsi="宋体" w:cs="宋体"/>
          <w:szCs w:val="21"/>
        </w:rPr>
        <w:t>⑥承包人发生22.1.1（7）②目[项目经理、总工或项目经理部其他主要人员擅离工地（项目经理、总工离开工地3天内未经驻地监理工程师书面批准，离开工地3天以上未经发包人总经理书面批准，项目经理部其他主要人员离开工地未经项目经理书面批准。）]违约行为，违约金为：项目经理、</w:t>
      </w:r>
      <w:r>
        <w:rPr>
          <w:rFonts w:hint="eastAsia" w:ascii="宋体" w:hAnsi="宋体" w:cs="宋体"/>
          <w:szCs w:val="21"/>
          <w:lang w:eastAsia="zh-CN"/>
        </w:rPr>
        <w:t>项目总工程师</w:t>
      </w:r>
      <w:r>
        <w:rPr>
          <w:rFonts w:hint="eastAsia" w:ascii="宋体" w:hAnsi="宋体" w:cs="宋体"/>
          <w:szCs w:val="21"/>
        </w:rPr>
        <w:t>擅离工地1000元/人.天,其他主要人员500元/人·天。</w:t>
      </w:r>
    </w:p>
    <w:p>
      <w:pPr>
        <w:tabs>
          <w:tab w:val="left" w:pos="3193"/>
        </w:tabs>
        <w:spacing w:line="440" w:lineRule="exact"/>
        <w:ind w:firstLine="457" w:firstLineChars="218"/>
        <w:rPr>
          <w:rFonts w:ascii="宋体" w:hAnsi="宋体" w:cs="宋体"/>
          <w:szCs w:val="21"/>
        </w:rPr>
      </w:pPr>
      <w:r>
        <w:rPr>
          <w:rFonts w:hint="eastAsia" w:ascii="宋体" w:hAnsi="宋体" w:cs="宋体"/>
          <w:szCs w:val="21"/>
        </w:rPr>
        <w:t>⑦承包人发生22.1.1（7）③目[项目经理、</w:t>
      </w:r>
      <w:r>
        <w:rPr>
          <w:rFonts w:hint="eastAsia" w:ascii="宋体" w:hAnsi="宋体" w:cs="宋体"/>
          <w:szCs w:val="21"/>
          <w:lang w:eastAsia="zh-CN"/>
        </w:rPr>
        <w:t>项目总工程师</w:t>
      </w:r>
      <w:r>
        <w:rPr>
          <w:rFonts w:hint="eastAsia" w:ascii="宋体" w:hAnsi="宋体" w:cs="宋体"/>
          <w:szCs w:val="21"/>
        </w:rPr>
        <w:t>或项目部其他主要人员（测量工程师、计量工程师、试验工程师、质检工程师、专职安全员）在工地的时间每月少于22天]违约行为，违约金为项目经理、</w:t>
      </w:r>
      <w:r>
        <w:rPr>
          <w:rFonts w:hint="eastAsia" w:ascii="宋体" w:hAnsi="宋体" w:cs="宋体"/>
          <w:szCs w:val="21"/>
          <w:lang w:eastAsia="zh-CN"/>
        </w:rPr>
        <w:t>项目总工程师</w:t>
      </w:r>
      <w:r>
        <w:rPr>
          <w:rFonts w:hint="eastAsia" w:ascii="宋体" w:hAnsi="宋体" w:cs="宋体"/>
          <w:szCs w:val="21"/>
        </w:rPr>
        <w:t>2000元/人·天,其他主要人员1000元/人·天。</w:t>
      </w:r>
    </w:p>
    <w:p>
      <w:pPr>
        <w:tabs>
          <w:tab w:val="left" w:pos="3193"/>
        </w:tabs>
        <w:spacing w:line="440" w:lineRule="exact"/>
        <w:ind w:firstLine="457" w:firstLineChars="218"/>
        <w:rPr>
          <w:rFonts w:ascii="宋体" w:hAnsi="宋体" w:cs="宋体"/>
          <w:szCs w:val="21"/>
        </w:rPr>
      </w:pPr>
      <w:r>
        <w:rPr>
          <w:rFonts w:hint="eastAsia" w:ascii="宋体" w:hAnsi="宋体" w:cs="宋体"/>
          <w:szCs w:val="21"/>
        </w:rPr>
        <w:t>⑧承包人发生22.1.1（7）④目（承包人进场的机械设备数量、型号或新旧程度不符合</w:t>
      </w:r>
      <w:r>
        <w:rPr>
          <w:rFonts w:hint="eastAsia" w:ascii="宋体" w:hAnsi="宋体" w:cs="宋体"/>
          <w:szCs w:val="21"/>
          <w:lang w:eastAsia="zh-CN"/>
        </w:rPr>
        <w:t>交易文件</w:t>
      </w:r>
      <w:r>
        <w:rPr>
          <w:rFonts w:hint="eastAsia" w:ascii="宋体" w:hAnsi="宋体" w:cs="宋体"/>
          <w:szCs w:val="21"/>
        </w:rPr>
        <w:t>要求的）违约行为，违约金同22.1.2.(3)③。</w:t>
      </w:r>
    </w:p>
    <w:p>
      <w:pPr>
        <w:tabs>
          <w:tab w:val="left" w:pos="3193"/>
        </w:tabs>
        <w:spacing w:line="440" w:lineRule="exact"/>
        <w:ind w:firstLine="457" w:firstLineChars="218"/>
        <w:rPr>
          <w:rFonts w:ascii="宋体" w:hAnsi="宋体" w:cs="宋体"/>
          <w:szCs w:val="21"/>
        </w:rPr>
      </w:pPr>
      <w:r>
        <w:rPr>
          <w:rFonts w:hint="eastAsia" w:ascii="宋体" w:hAnsi="宋体" w:cs="宋体"/>
          <w:szCs w:val="21"/>
        </w:rPr>
        <w:t>⑨承包人发生22.1.1（7）⑤目（承包人采购的钢筋、水泥不接受发包人和监理人质量监督的）违约行为，违约金为承包人违约采购的钢筋、水泥货款的1.5倍。</w:t>
      </w:r>
    </w:p>
    <w:p>
      <w:pPr>
        <w:spacing w:line="440" w:lineRule="exact"/>
        <w:ind w:firstLine="420" w:firstLineChars="200"/>
        <w:rPr>
          <w:rFonts w:ascii="宋体" w:hAnsi="宋体" w:cs="宋体"/>
          <w:szCs w:val="21"/>
        </w:rPr>
      </w:pPr>
      <w:r>
        <w:rPr>
          <w:rFonts w:hint="eastAsia" w:ascii="宋体" w:hAnsi="宋体" w:cs="宋体"/>
          <w:szCs w:val="21"/>
        </w:rPr>
        <w:t>⑩承包人发生22.1.1（7）⑥目（</w:t>
      </w:r>
      <w:r>
        <w:rPr>
          <w:rFonts w:hint="eastAsia" w:ascii="宋体" w:hAnsi="宋体" w:cs="宋体"/>
          <w:spacing w:val="-6"/>
          <w:szCs w:val="21"/>
        </w:rPr>
        <w:t>经监理人和发包人检查，发现承包人有安全问题或有违反安全管理规章制度的情况）</w:t>
      </w:r>
      <w:r>
        <w:rPr>
          <w:rFonts w:hint="eastAsia" w:ascii="宋体" w:hAnsi="宋体" w:cs="宋体"/>
          <w:szCs w:val="21"/>
        </w:rPr>
        <w:t>违约行为，违约金为每次</w:t>
      </w:r>
      <w:r>
        <w:rPr>
          <w:rFonts w:hint="eastAsia" w:ascii="宋体" w:hAnsi="宋体" w:cs="宋体"/>
          <w:b/>
          <w:szCs w:val="21"/>
        </w:rPr>
        <w:t>0.5</w:t>
      </w:r>
      <w:r>
        <w:rPr>
          <w:rFonts w:hint="eastAsia" w:ascii="宋体" w:hAnsi="宋体" w:cs="宋体"/>
          <w:szCs w:val="21"/>
        </w:rPr>
        <w:t>万—</w:t>
      </w:r>
      <w:r>
        <w:rPr>
          <w:rFonts w:hint="eastAsia" w:ascii="宋体" w:hAnsi="宋体" w:cs="宋体"/>
          <w:b/>
          <w:szCs w:val="21"/>
        </w:rPr>
        <w:t>1</w:t>
      </w:r>
      <w:r>
        <w:rPr>
          <w:rFonts w:hint="eastAsia" w:ascii="宋体" w:hAnsi="宋体" w:cs="宋体"/>
          <w:szCs w:val="21"/>
        </w:rPr>
        <w:t>万元。</w:t>
      </w:r>
    </w:p>
    <w:p>
      <w:pPr>
        <w:tabs>
          <w:tab w:val="left" w:pos="3193"/>
        </w:tabs>
        <w:spacing w:line="440" w:lineRule="exact"/>
        <w:ind w:firstLine="477" w:firstLineChars="199"/>
        <w:rPr>
          <w:rFonts w:ascii="宋体" w:hAnsi="宋体" w:cs="宋体"/>
          <w:sz w:val="24"/>
        </w:rPr>
      </w:pPr>
    </w:p>
    <w:p>
      <w:pPr>
        <w:tabs>
          <w:tab w:val="left" w:pos="3193"/>
        </w:tabs>
        <w:spacing w:line="440" w:lineRule="exact"/>
        <w:rPr>
          <w:rFonts w:ascii="宋体" w:hAnsi="宋体" w:cs="宋体"/>
          <w:szCs w:val="21"/>
        </w:rPr>
      </w:pPr>
      <w:r>
        <w:rPr>
          <w:rFonts w:hint="eastAsia" w:ascii="宋体" w:hAnsi="宋体" w:cs="宋体"/>
        </w:rPr>
        <w:t xml:space="preserve">                                                </w:t>
      </w:r>
    </w:p>
    <w:p>
      <w:pPr>
        <w:pStyle w:val="11"/>
        <w:adjustRightInd w:val="0"/>
        <w:snapToGrid w:val="0"/>
        <w:spacing w:line="240" w:lineRule="exact"/>
        <w:rPr>
          <w:rFonts w:hAnsi="宋体" w:cs="宋体"/>
          <w:sz w:val="30"/>
        </w:rPr>
      </w:pPr>
    </w:p>
    <w:p>
      <w:pPr>
        <w:pStyle w:val="11"/>
        <w:adjustRightInd w:val="0"/>
        <w:snapToGrid w:val="0"/>
        <w:spacing w:line="240" w:lineRule="exact"/>
        <w:rPr>
          <w:rFonts w:hAnsi="宋体" w:cs="宋体"/>
          <w:sz w:val="30"/>
        </w:rPr>
      </w:pPr>
    </w:p>
    <w:p>
      <w:pPr>
        <w:pStyle w:val="11"/>
        <w:adjustRightInd w:val="0"/>
        <w:snapToGrid w:val="0"/>
        <w:spacing w:line="240" w:lineRule="exact"/>
        <w:rPr>
          <w:rFonts w:hAnsi="宋体" w:cs="宋体"/>
          <w:sz w:val="30"/>
        </w:rPr>
      </w:pPr>
    </w:p>
    <w:p>
      <w:pPr>
        <w:pStyle w:val="11"/>
        <w:adjustRightInd w:val="0"/>
        <w:snapToGrid w:val="0"/>
        <w:spacing w:line="360" w:lineRule="auto"/>
        <w:jc w:val="center"/>
        <w:rPr>
          <w:rFonts w:hAnsi="宋体" w:cs="宋体"/>
          <w:sz w:val="36"/>
        </w:rPr>
      </w:pPr>
      <w:r>
        <w:rPr>
          <w:rFonts w:hint="eastAsia" w:hAnsi="宋体" w:cs="宋体"/>
          <w:sz w:val="36"/>
        </w:rPr>
        <w:t>三、合同附件格式</w:t>
      </w:r>
    </w:p>
    <w:p>
      <w:pPr>
        <w:rPr>
          <w:rFonts w:ascii="宋体" w:hAnsi="宋体" w:cs="宋体"/>
          <w:b/>
          <w:sz w:val="28"/>
        </w:rPr>
      </w:pPr>
    </w:p>
    <w:p>
      <w:pPr>
        <w:jc w:val="center"/>
        <w:rPr>
          <w:rFonts w:ascii="宋体" w:hAnsi="宋体" w:cs="宋体"/>
          <w:sz w:val="24"/>
          <w:szCs w:val="24"/>
        </w:rPr>
      </w:pPr>
      <w:r>
        <w:rPr>
          <w:rFonts w:hint="eastAsia" w:ascii="宋体" w:hAnsi="宋体" w:cs="宋体"/>
          <w:sz w:val="24"/>
          <w:szCs w:val="24"/>
        </w:rPr>
        <w:t xml:space="preserve"> （中标后填写）</w:t>
      </w:r>
    </w:p>
    <w:p>
      <w:pPr>
        <w:rPr>
          <w:rFonts w:ascii="宋体" w:hAnsi="宋体" w:cs="宋体"/>
          <w:b/>
          <w:sz w:val="32"/>
        </w:rPr>
      </w:pPr>
    </w:p>
    <w:p>
      <w:pPr>
        <w:spacing w:line="480" w:lineRule="exact"/>
        <w:ind w:firstLine="482" w:firstLineChars="200"/>
        <w:rPr>
          <w:rFonts w:ascii="宋体" w:hAnsi="宋体" w:cs="宋体"/>
          <w:b/>
          <w:bCs/>
          <w:kern w:val="44"/>
          <w:szCs w:val="21"/>
        </w:rPr>
      </w:pPr>
      <w:r>
        <w:rPr>
          <w:rFonts w:hint="eastAsia" w:ascii="宋体" w:hAnsi="宋体" w:cs="宋体"/>
          <w:b/>
          <w:bCs/>
          <w:sz w:val="24"/>
          <w:szCs w:val="24"/>
        </w:rPr>
        <w:t>附件一  合同协议书</w:t>
      </w:r>
      <w:r>
        <w:rPr>
          <w:rFonts w:hint="eastAsia" w:ascii="宋体" w:hAnsi="宋体" w:cs="宋体"/>
          <w:b/>
          <w:bCs/>
          <w:kern w:val="44"/>
          <w:szCs w:val="21"/>
        </w:rPr>
        <w:t>（见《公路</w:t>
      </w:r>
      <w:r>
        <w:rPr>
          <w:rFonts w:hint="eastAsia" w:ascii="宋体" w:hAnsi="宋体" w:cs="宋体"/>
          <w:b/>
          <w:bCs/>
          <w:kern w:val="44"/>
          <w:szCs w:val="21"/>
          <w:lang w:eastAsia="zh-CN"/>
        </w:rPr>
        <w:t>交易文件</w:t>
      </w:r>
      <w:r>
        <w:rPr>
          <w:rFonts w:hint="eastAsia" w:ascii="宋体" w:hAnsi="宋体" w:cs="宋体"/>
          <w:b/>
          <w:bCs/>
          <w:kern w:val="44"/>
          <w:szCs w:val="21"/>
        </w:rPr>
        <w:t>范本》（2018年版））</w:t>
      </w:r>
    </w:p>
    <w:p>
      <w:pPr>
        <w:spacing w:line="480" w:lineRule="exact"/>
        <w:ind w:firstLine="482" w:firstLineChars="200"/>
        <w:rPr>
          <w:rFonts w:ascii="宋体" w:hAnsi="宋体" w:cs="宋体"/>
          <w:b/>
          <w:bCs/>
          <w:kern w:val="44"/>
          <w:szCs w:val="21"/>
        </w:rPr>
      </w:pPr>
      <w:r>
        <w:rPr>
          <w:rFonts w:hint="eastAsia" w:ascii="宋体" w:hAnsi="宋体" w:cs="宋体"/>
          <w:b/>
          <w:bCs/>
          <w:sz w:val="24"/>
          <w:szCs w:val="24"/>
        </w:rPr>
        <w:t>附件二  廉政合同</w:t>
      </w:r>
      <w:r>
        <w:rPr>
          <w:rFonts w:hint="eastAsia" w:ascii="宋体" w:hAnsi="宋体" w:cs="宋体"/>
          <w:b/>
          <w:bCs/>
          <w:kern w:val="44"/>
        </w:rPr>
        <w:t>（见《公路</w:t>
      </w:r>
      <w:r>
        <w:rPr>
          <w:rFonts w:hint="eastAsia" w:ascii="宋体" w:hAnsi="宋体" w:cs="宋体"/>
          <w:b/>
          <w:bCs/>
          <w:kern w:val="44"/>
          <w:lang w:eastAsia="zh-CN"/>
        </w:rPr>
        <w:t>交易文件</w:t>
      </w:r>
      <w:r>
        <w:rPr>
          <w:rFonts w:hint="eastAsia" w:ascii="宋体" w:hAnsi="宋体" w:cs="宋体"/>
          <w:b/>
          <w:bCs/>
          <w:kern w:val="44"/>
        </w:rPr>
        <w:t>范本》（2018年版））</w:t>
      </w:r>
    </w:p>
    <w:p>
      <w:pPr>
        <w:spacing w:line="480" w:lineRule="exact"/>
        <w:ind w:firstLine="482" w:firstLineChars="200"/>
        <w:rPr>
          <w:rFonts w:ascii="宋体" w:hAnsi="宋体" w:cs="宋体"/>
          <w:b/>
          <w:bCs/>
          <w:kern w:val="44"/>
          <w:szCs w:val="21"/>
        </w:rPr>
      </w:pPr>
      <w:r>
        <w:rPr>
          <w:rFonts w:hint="eastAsia" w:ascii="宋体" w:hAnsi="宋体" w:cs="宋体"/>
          <w:b/>
          <w:bCs/>
          <w:sz w:val="24"/>
          <w:szCs w:val="24"/>
        </w:rPr>
        <w:t>附件三  安全生产合同</w:t>
      </w:r>
      <w:r>
        <w:rPr>
          <w:rFonts w:hint="eastAsia" w:ascii="宋体" w:hAnsi="宋体" w:cs="宋体"/>
          <w:b/>
          <w:bCs/>
          <w:kern w:val="44"/>
          <w:szCs w:val="21"/>
        </w:rPr>
        <w:t>（见《公路</w:t>
      </w:r>
      <w:r>
        <w:rPr>
          <w:rFonts w:hint="eastAsia" w:ascii="宋体" w:hAnsi="宋体" w:cs="宋体"/>
          <w:b/>
          <w:bCs/>
          <w:kern w:val="44"/>
          <w:szCs w:val="21"/>
          <w:lang w:eastAsia="zh-CN"/>
        </w:rPr>
        <w:t>交易文件</w:t>
      </w:r>
      <w:r>
        <w:rPr>
          <w:rFonts w:hint="eastAsia" w:ascii="宋体" w:hAnsi="宋体" w:cs="宋体"/>
          <w:b/>
          <w:bCs/>
          <w:kern w:val="44"/>
          <w:szCs w:val="21"/>
        </w:rPr>
        <w:t>范本》（2018年版））</w:t>
      </w:r>
    </w:p>
    <w:p>
      <w:pPr>
        <w:spacing w:line="480" w:lineRule="exact"/>
        <w:ind w:firstLine="482" w:firstLineChars="200"/>
        <w:rPr>
          <w:rFonts w:ascii="宋体" w:hAnsi="宋体" w:cs="宋体"/>
          <w:b/>
          <w:bCs/>
          <w:sz w:val="24"/>
          <w:szCs w:val="24"/>
        </w:rPr>
      </w:pPr>
      <w:r>
        <w:rPr>
          <w:rFonts w:hint="eastAsia" w:ascii="宋体" w:hAnsi="宋体" w:cs="宋体"/>
          <w:b/>
          <w:bCs/>
          <w:sz w:val="24"/>
          <w:szCs w:val="24"/>
        </w:rPr>
        <w:t>附件四  其他主要管理人员和技术人员最低要求</w:t>
      </w:r>
    </w:p>
    <w:p>
      <w:pPr>
        <w:spacing w:line="480" w:lineRule="exact"/>
        <w:ind w:firstLine="482" w:firstLineChars="200"/>
        <w:rPr>
          <w:rFonts w:ascii="宋体" w:hAnsi="宋体" w:cs="宋体"/>
          <w:b/>
          <w:bCs/>
          <w:kern w:val="44"/>
          <w:sz w:val="24"/>
          <w:szCs w:val="24"/>
        </w:rPr>
      </w:pPr>
      <w:r>
        <w:rPr>
          <w:rFonts w:hint="eastAsia" w:ascii="宋体" w:hAnsi="宋体" w:cs="宋体"/>
          <w:b/>
          <w:bCs/>
          <w:kern w:val="44"/>
          <w:sz w:val="24"/>
          <w:szCs w:val="24"/>
        </w:rPr>
        <w:t>附件五  主要机械设备和试验检测设备最低要求</w:t>
      </w:r>
    </w:p>
    <w:p>
      <w:pPr>
        <w:spacing w:line="480" w:lineRule="exact"/>
        <w:ind w:firstLine="482" w:firstLineChars="200"/>
        <w:rPr>
          <w:rFonts w:ascii="宋体" w:hAnsi="宋体" w:cs="宋体"/>
          <w:b/>
          <w:bCs/>
          <w:kern w:val="44"/>
          <w:szCs w:val="21"/>
        </w:rPr>
      </w:pPr>
      <w:r>
        <w:rPr>
          <w:rFonts w:hint="eastAsia" w:ascii="宋体" w:hAnsi="宋体" w:cs="宋体"/>
          <w:b/>
          <w:bCs/>
          <w:sz w:val="24"/>
          <w:szCs w:val="24"/>
        </w:rPr>
        <w:t>附件六  项目经理委书格式</w:t>
      </w:r>
      <w:r>
        <w:rPr>
          <w:rFonts w:hint="eastAsia" w:ascii="宋体" w:hAnsi="宋体" w:cs="宋体"/>
          <w:b/>
          <w:bCs/>
          <w:kern w:val="44"/>
          <w:szCs w:val="21"/>
        </w:rPr>
        <w:t>（见《公路</w:t>
      </w:r>
      <w:r>
        <w:rPr>
          <w:rFonts w:hint="eastAsia" w:ascii="宋体" w:hAnsi="宋体" w:cs="宋体"/>
          <w:b/>
          <w:bCs/>
          <w:kern w:val="44"/>
          <w:szCs w:val="21"/>
          <w:lang w:eastAsia="zh-CN"/>
        </w:rPr>
        <w:t>交易文件</w:t>
      </w:r>
      <w:r>
        <w:rPr>
          <w:rFonts w:hint="eastAsia" w:ascii="宋体" w:hAnsi="宋体" w:cs="宋体"/>
          <w:b/>
          <w:bCs/>
          <w:kern w:val="44"/>
          <w:szCs w:val="21"/>
        </w:rPr>
        <w:t>范本》（2018年版））</w:t>
      </w:r>
    </w:p>
    <w:p>
      <w:pPr>
        <w:spacing w:line="480" w:lineRule="exact"/>
        <w:ind w:firstLine="482" w:firstLineChars="200"/>
        <w:rPr>
          <w:rFonts w:ascii="宋体" w:hAnsi="宋体" w:cs="宋体"/>
          <w:b/>
          <w:bCs/>
          <w:kern w:val="44"/>
          <w:szCs w:val="21"/>
        </w:rPr>
      </w:pPr>
      <w:r>
        <w:rPr>
          <w:rFonts w:hint="eastAsia" w:ascii="宋体" w:hAnsi="宋体" w:cs="宋体"/>
          <w:b/>
          <w:bCs/>
          <w:sz w:val="24"/>
          <w:szCs w:val="24"/>
        </w:rPr>
        <w:t>附件七  履约担保格式</w:t>
      </w:r>
      <w:r>
        <w:rPr>
          <w:rFonts w:hint="eastAsia" w:ascii="宋体" w:hAnsi="宋体" w:cs="宋体"/>
          <w:b/>
          <w:bCs/>
          <w:kern w:val="44"/>
          <w:szCs w:val="21"/>
        </w:rPr>
        <w:t>（见《公路</w:t>
      </w:r>
      <w:r>
        <w:rPr>
          <w:rFonts w:hint="eastAsia" w:ascii="宋体" w:hAnsi="宋体" w:cs="宋体"/>
          <w:b/>
          <w:bCs/>
          <w:kern w:val="44"/>
          <w:szCs w:val="21"/>
          <w:lang w:eastAsia="zh-CN"/>
        </w:rPr>
        <w:t>交易文件</w:t>
      </w:r>
      <w:r>
        <w:rPr>
          <w:rFonts w:hint="eastAsia" w:ascii="宋体" w:hAnsi="宋体" w:cs="宋体"/>
          <w:b/>
          <w:bCs/>
          <w:kern w:val="44"/>
          <w:szCs w:val="21"/>
        </w:rPr>
        <w:t>范本》（2018年版））</w:t>
      </w:r>
    </w:p>
    <w:p>
      <w:pPr>
        <w:spacing w:line="480" w:lineRule="exact"/>
        <w:ind w:firstLine="482" w:firstLineChars="200"/>
        <w:rPr>
          <w:rFonts w:ascii="宋体" w:hAnsi="宋体" w:cs="宋体"/>
          <w:b/>
          <w:bCs/>
          <w:sz w:val="24"/>
          <w:szCs w:val="24"/>
        </w:rPr>
      </w:pPr>
      <w:r>
        <w:rPr>
          <w:rFonts w:hint="eastAsia" w:ascii="宋体" w:hAnsi="宋体" w:cs="宋体"/>
          <w:b/>
          <w:bCs/>
          <w:sz w:val="24"/>
          <w:szCs w:val="24"/>
        </w:rPr>
        <w:t>附件八  工程资金监管协议格式</w:t>
      </w:r>
      <w:r>
        <w:rPr>
          <w:rFonts w:hint="eastAsia" w:ascii="宋体" w:hAnsi="宋体" w:cs="宋体"/>
          <w:b/>
          <w:bCs/>
          <w:kern w:val="44"/>
          <w:szCs w:val="21"/>
        </w:rPr>
        <w:t>（见《公路</w:t>
      </w:r>
      <w:r>
        <w:rPr>
          <w:rFonts w:hint="eastAsia" w:ascii="宋体" w:hAnsi="宋体" w:cs="宋体"/>
          <w:b/>
          <w:bCs/>
          <w:kern w:val="44"/>
          <w:szCs w:val="21"/>
          <w:lang w:eastAsia="zh-CN"/>
        </w:rPr>
        <w:t>交易文件</w:t>
      </w:r>
      <w:r>
        <w:rPr>
          <w:rFonts w:hint="eastAsia" w:ascii="宋体" w:hAnsi="宋体" w:cs="宋体"/>
          <w:b/>
          <w:bCs/>
          <w:kern w:val="44"/>
          <w:szCs w:val="21"/>
        </w:rPr>
        <w:t>范本》（2018年版））</w:t>
      </w:r>
    </w:p>
    <w:p>
      <w:pPr>
        <w:rPr>
          <w:rFonts w:ascii="宋体" w:hAnsi="宋体" w:cs="宋体"/>
          <w:szCs w:val="21"/>
        </w:rPr>
      </w:pPr>
      <w:r>
        <w:rPr>
          <w:rFonts w:hint="eastAsia" w:ascii="宋体" w:hAnsi="宋体" w:cs="宋体"/>
          <w:szCs w:val="21"/>
        </w:rPr>
        <w:br w:type="page"/>
      </w:r>
    </w:p>
    <w:p>
      <w:pPr>
        <w:pStyle w:val="4"/>
        <w:rPr>
          <w:rFonts w:ascii="宋体" w:hAnsi="宋体" w:cs="宋体"/>
          <w:sz w:val="52"/>
          <w:szCs w:val="52"/>
        </w:rPr>
      </w:pPr>
      <w:bookmarkStart w:id="184" w:name="_Toc9380"/>
      <w:r>
        <w:rPr>
          <w:rFonts w:hint="eastAsia" w:ascii="宋体" w:hAnsi="宋体" w:cs="宋体"/>
          <w:sz w:val="52"/>
          <w:szCs w:val="52"/>
        </w:rPr>
        <w:t>第五章  工程量清单</w:t>
      </w:r>
      <w:bookmarkEnd w:id="184"/>
    </w:p>
    <w:p>
      <w:pPr>
        <w:tabs>
          <w:tab w:val="left" w:pos="775"/>
        </w:tabs>
        <w:autoSpaceDE w:val="0"/>
        <w:autoSpaceDN w:val="0"/>
        <w:spacing w:before="248" w:line="440" w:lineRule="exact"/>
        <w:ind w:firstLine="478" w:firstLineChars="200"/>
        <w:jc w:val="left"/>
        <w:rPr>
          <w:rFonts w:ascii="宋体" w:hAnsi="宋体" w:cs="宋体"/>
          <w:sz w:val="24"/>
          <w:szCs w:val="24"/>
        </w:rPr>
      </w:pPr>
      <w:r>
        <w:rPr>
          <w:rFonts w:hint="eastAsia" w:ascii="宋体" w:hAnsi="宋体" w:cs="宋体"/>
          <w:b/>
          <w:bCs/>
          <w:spacing w:val="-1"/>
          <w:sz w:val="24"/>
          <w:szCs w:val="24"/>
        </w:rPr>
        <w:t>1.工程量清单说明</w:t>
      </w:r>
    </w:p>
    <w:p>
      <w:pPr>
        <w:pStyle w:val="34"/>
        <w:tabs>
          <w:tab w:val="left" w:pos="1385"/>
        </w:tabs>
        <w:autoSpaceDE w:val="0"/>
        <w:autoSpaceDN w:val="0"/>
        <w:spacing w:line="440" w:lineRule="exact"/>
        <w:ind w:left="0" w:right="384" w:firstLine="476" w:firstLineChars="200"/>
        <w:jc w:val="left"/>
        <w:rPr>
          <w:sz w:val="24"/>
          <w:szCs w:val="24"/>
        </w:rPr>
      </w:pPr>
      <w:r>
        <w:rPr>
          <w:rFonts w:hint="eastAsia"/>
          <w:spacing w:val="-1"/>
          <w:sz w:val="24"/>
          <w:szCs w:val="24"/>
          <w:lang w:val="en-US"/>
        </w:rPr>
        <w:t>1.1</w:t>
      </w:r>
      <w:r>
        <w:rPr>
          <w:rFonts w:hint="eastAsia"/>
          <w:spacing w:val="-1"/>
          <w:sz w:val="24"/>
          <w:szCs w:val="24"/>
        </w:rPr>
        <w:t>本工程量清单是根据</w:t>
      </w:r>
      <w:r>
        <w:rPr>
          <w:rFonts w:hint="eastAsia"/>
          <w:spacing w:val="-1"/>
          <w:sz w:val="24"/>
          <w:szCs w:val="24"/>
          <w:lang w:eastAsia="zh-CN"/>
        </w:rPr>
        <w:t>交易文件</w:t>
      </w:r>
      <w:r>
        <w:rPr>
          <w:rFonts w:hint="eastAsia"/>
          <w:spacing w:val="-1"/>
          <w:sz w:val="24"/>
          <w:szCs w:val="24"/>
        </w:rPr>
        <w:t>中包括的有合同约束力的工程量清单计量规则、图纸以及有关工程量清单的国家标准、行业标准、合同条款中约定的其他规则</w:t>
      </w:r>
      <w:r>
        <w:rPr>
          <w:rFonts w:hint="eastAsia"/>
          <w:sz w:val="24"/>
          <w:szCs w:val="24"/>
        </w:rPr>
        <w:t>编制。约定计量规则中没有的子目，其工程量按照有合同约束力的图纸所标示尺寸的理论净量计算。计量采用中华人民共和国法定计量单位。</w:t>
      </w:r>
    </w:p>
    <w:p>
      <w:pPr>
        <w:pStyle w:val="34"/>
        <w:tabs>
          <w:tab w:val="left" w:pos="1385"/>
        </w:tabs>
        <w:autoSpaceDE w:val="0"/>
        <w:autoSpaceDN w:val="0"/>
        <w:spacing w:before="2" w:line="440" w:lineRule="exact"/>
        <w:ind w:left="0" w:right="389" w:firstLine="476" w:firstLineChars="200"/>
        <w:jc w:val="left"/>
        <w:rPr>
          <w:sz w:val="24"/>
          <w:szCs w:val="24"/>
        </w:rPr>
      </w:pPr>
      <w:r>
        <w:rPr>
          <w:rFonts w:hint="eastAsia"/>
          <w:spacing w:val="-1"/>
          <w:sz w:val="24"/>
          <w:szCs w:val="24"/>
          <w:lang w:val="en-US"/>
        </w:rPr>
        <w:t>1.2</w:t>
      </w:r>
      <w:r>
        <w:rPr>
          <w:rFonts w:hint="eastAsia"/>
          <w:spacing w:val="-1"/>
          <w:sz w:val="24"/>
          <w:szCs w:val="24"/>
        </w:rPr>
        <w:t>本工程量清单应与</w:t>
      </w:r>
      <w:r>
        <w:rPr>
          <w:rFonts w:hint="eastAsia"/>
          <w:spacing w:val="-1"/>
          <w:sz w:val="24"/>
          <w:szCs w:val="24"/>
          <w:lang w:eastAsia="zh-CN"/>
        </w:rPr>
        <w:t>交易文件</w:t>
      </w:r>
      <w:r>
        <w:rPr>
          <w:rFonts w:hint="eastAsia"/>
          <w:spacing w:val="-1"/>
          <w:sz w:val="24"/>
          <w:szCs w:val="24"/>
        </w:rPr>
        <w:t>中的</w:t>
      </w:r>
      <w:r>
        <w:rPr>
          <w:rFonts w:hint="eastAsia"/>
          <w:spacing w:val="-1"/>
          <w:sz w:val="24"/>
          <w:szCs w:val="24"/>
          <w:lang w:eastAsia="zh-CN"/>
        </w:rPr>
        <w:t>交易须知</w:t>
      </w:r>
      <w:r>
        <w:rPr>
          <w:rFonts w:hint="eastAsia"/>
          <w:spacing w:val="-1"/>
          <w:sz w:val="24"/>
          <w:szCs w:val="24"/>
        </w:rPr>
        <w:t>、通用合同条款、专用合同条</w:t>
      </w:r>
      <w:r>
        <w:rPr>
          <w:rFonts w:hint="eastAsia"/>
          <w:sz w:val="24"/>
          <w:szCs w:val="24"/>
        </w:rPr>
        <w:t>款、工程量清单计量规则、技术规范及图纸等一起阅读和理解。</w:t>
      </w:r>
    </w:p>
    <w:p>
      <w:pPr>
        <w:pStyle w:val="34"/>
        <w:tabs>
          <w:tab w:val="left" w:pos="1385"/>
        </w:tabs>
        <w:autoSpaceDE w:val="0"/>
        <w:autoSpaceDN w:val="0"/>
        <w:spacing w:line="440" w:lineRule="exact"/>
        <w:ind w:left="0" w:right="264" w:firstLineChars="200"/>
        <w:jc w:val="left"/>
        <w:rPr>
          <w:sz w:val="24"/>
          <w:szCs w:val="24"/>
        </w:rPr>
      </w:pPr>
      <w:r>
        <w:rPr>
          <w:rFonts w:hint="eastAsia"/>
          <w:sz w:val="24"/>
          <w:szCs w:val="24"/>
          <w:lang w:val="en-US"/>
        </w:rPr>
        <w:t>1.3</w:t>
      </w:r>
      <w:r>
        <w:rPr>
          <w:rFonts w:hint="eastAsia"/>
          <w:sz w:val="24"/>
          <w:szCs w:val="24"/>
        </w:rPr>
        <w:t>本工程量清单中所列工程数量是估算的或设计的预计数量，仅作为投标报</w:t>
      </w:r>
      <w:r>
        <w:rPr>
          <w:rFonts w:hint="eastAsia"/>
          <w:spacing w:val="-10"/>
          <w:sz w:val="24"/>
          <w:szCs w:val="24"/>
        </w:rPr>
        <w:t xml:space="preserve">价的共同基础，不能作为最终结算与支付的依据。实际支付应按实际完成的工程量， </w:t>
      </w:r>
      <w:r>
        <w:rPr>
          <w:rFonts w:hint="eastAsia"/>
          <w:spacing w:val="-5"/>
          <w:sz w:val="24"/>
          <w:szCs w:val="24"/>
        </w:rPr>
        <w:t xml:space="preserve">由承包人按工程量清单计量规则规定的计量方法，以监理人认可的尺寸、断面计量， </w:t>
      </w:r>
      <w:r>
        <w:rPr>
          <w:rFonts w:hint="eastAsia"/>
          <w:spacing w:val="-11"/>
          <w:sz w:val="24"/>
          <w:szCs w:val="24"/>
        </w:rPr>
        <w:t xml:space="preserve">按本工程量清单的单价和总额价计算支付金额；或根据具体情况，按合同条款第 </w:t>
      </w:r>
      <w:r>
        <w:rPr>
          <w:rFonts w:hint="eastAsia"/>
          <w:sz w:val="24"/>
          <w:szCs w:val="24"/>
        </w:rPr>
        <w:t>15.4 款的规定，按监理人确定的单价或总额价计算支付额。</w:t>
      </w:r>
    </w:p>
    <w:p>
      <w:pPr>
        <w:pStyle w:val="34"/>
        <w:tabs>
          <w:tab w:val="left" w:pos="1387"/>
        </w:tabs>
        <w:autoSpaceDE w:val="0"/>
        <w:autoSpaceDN w:val="0"/>
        <w:spacing w:before="1" w:line="440" w:lineRule="exact"/>
        <w:ind w:left="0" w:right="280" w:firstLineChars="200"/>
        <w:jc w:val="left"/>
        <w:rPr>
          <w:sz w:val="24"/>
          <w:szCs w:val="24"/>
        </w:rPr>
      </w:pPr>
      <w:r>
        <w:rPr>
          <w:rFonts w:hint="eastAsia"/>
          <w:sz w:val="24"/>
          <w:szCs w:val="24"/>
          <w:lang w:val="en-US"/>
        </w:rPr>
        <w:t>1.4</w:t>
      </w:r>
      <w:r>
        <w:rPr>
          <w:rFonts w:hint="eastAsia"/>
          <w:sz w:val="24"/>
          <w:szCs w:val="24"/>
        </w:rPr>
        <w:t>工程量清单各章是按第八章“工程量清单计量规则”</w:t>
      </w:r>
      <w:r>
        <w:rPr>
          <w:rFonts w:hint="eastAsia"/>
          <w:spacing w:val="1"/>
          <w:sz w:val="24"/>
          <w:szCs w:val="24"/>
        </w:rPr>
        <w:t>、第七章</w:t>
      </w:r>
      <w:r>
        <w:rPr>
          <w:rFonts w:hint="eastAsia"/>
          <w:sz w:val="24"/>
          <w:szCs w:val="24"/>
        </w:rPr>
        <w:t>“技术规范”的</w:t>
      </w:r>
      <w:r>
        <w:rPr>
          <w:rFonts w:hint="eastAsia"/>
          <w:spacing w:val="-8"/>
          <w:sz w:val="24"/>
          <w:szCs w:val="24"/>
        </w:rPr>
        <w:t>相应章次编号的，因此，工程量清单中各章的工程子目的范围与计量等应与</w:t>
      </w:r>
      <w:r>
        <w:rPr>
          <w:rFonts w:hint="eastAsia"/>
          <w:sz w:val="24"/>
          <w:szCs w:val="24"/>
        </w:rPr>
        <w:t>“工程量清单计量规则</w:t>
      </w:r>
      <w:r>
        <w:rPr>
          <w:rFonts w:hint="eastAsia"/>
          <w:spacing w:val="-1"/>
          <w:sz w:val="24"/>
          <w:szCs w:val="24"/>
        </w:rPr>
        <w:t>” “</w:t>
      </w:r>
      <w:r>
        <w:rPr>
          <w:rFonts w:hint="eastAsia"/>
          <w:sz w:val="24"/>
          <w:szCs w:val="24"/>
        </w:rPr>
        <w:t>技术规范”</w:t>
      </w:r>
      <w:r>
        <w:rPr>
          <w:rFonts w:hint="eastAsia"/>
          <w:spacing w:val="-1"/>
          <w:sz w:val="24"/>
          <w:szCs w:val="24"/>
        </w:rPr>
        <w:t>相应章节的范围、计量与支付条款结合起来理解或解释。</w:t>
      </w:r>
    </w:p>
    <w:p>
      <w:pPr>
        <w:pStyle w:val="34"/>
        <w:tabs>
          <w:tab w:val="left" w:pos="1385"/>
        </w:tabs>
        <w:autoSpaceDE w:val="0"/>
        <w:autoSpaceDN w:val="0"/>
        <w:spacing w:before="1" w:line="440" w:lineRule="exact"/>
        <w:ind w:left="0" w:right="384" w:firstLine="476" w:firstLineChars="200"/>
        <w:jc w:val="left"/>
        <w:rPr>
          <w:sz w:val="24"/>
          <w:szCs w:val="24"/>
        </w:rPr>
      </w:pPr>
      <w:r>
        <w:rPr>
          <w:rFonts w:hint="eastAsia"/>
          <w:spacing w:val="-1"/>
          <w:sz w:val="24"/>
          <w:szCs w:val="24"/>
          <w:lang w:val="en-US"/>
        </w:rPr>
        <w:t>1.5</w:t>
      </w:r>
      <w:r>
        <w:rPr>
          <w:rFonts w:hint="eastAsia"/>
          <w:spacing w:val="-1"/>
          <w:sz w:val="24"/>
          <w:szCs w:val="24"/>
        </w:rPr>
        <w:t>对作业和材料的一般说明或规定，未重复写入工程量清单内，在给工程量</w:t>
      </w:r>
      <w:r>
        <w:rPr>
          <w:rFonts w:hint="eastAsia"/>
          <w:sz w:val="24"/>
          <w:szCs w:val="24"/>
        </w:rPr>
        <w:t>清单各子目标价前，应参阅第七章“技术规范”的有关内容。</w:t>
      </w:r>
    </w:p>
    <w:p>
      <w:pPr>
        <w:pStyle w:val="34"/>
        <w:tabs>
          <w:tab w:val="left" w:pos="1385"/>
        </w:tabs>
        <w:autoSpaceDE w:val="0"/>
        <w:autoSpaceDN w:val="0"/>
        <w:spacing w:before="2" w:line="440" w:lineRule="exact"/>
        <w:ind w:left="0" w:right="389" w:firstLine="476" w:firstLineChars="200"/>
        <w:jc w:val="left"/>
        <w:rPr>
          <w:sz w:val="24"/>
          <w:szCs w:val="24"/>
        </w:rPr>
      </w:pPr>
      <w:r>
        <w:rPr>
          <w:rFonts w:hint="eastAsia"/>
          <w:spacing w:val="-1"/>
          <w:sz w:val="24"/>
          <w:szCs w:val="24"/>
          <w:lang w:val="en-US"/>
        </w:rPr>
        <w:t>1.6</w:t>
      </w:r>
      <w:r>
        <w:rPr>
          <w:rFonts w:hint="eastAsia"/>
          <w:spacing w:val="-1"/>
          <w:sz w:val="24"/>
          <w:szCs w:val="24"/>
        </w:rPr>
        <w:t xml:space="preserve">工程量清单中所列工程量的变动，丝毫不会降低或影响合同条款的效力， </w:t>
      </w:r>
      <w:r>
        <w:rPr>
          <w:rFonts w:hint="eastAsia"/>
          <w:sz w:val="24"/>
          <w:szCs w:val="24"/>
        </w:rPr>
        <w:t>也不免除承包人按规定的标准进行施工和修复缺陷的责任。</w:t>
      </w:r>
    </w:p>
    <w:p>
      <w:pPr>
        <w:pStyle w:val="34"/>
        <w:tabs>
          <w:tab w:val="left" w:pos="1385"/>
        </w:tabs>
        <w:autoSpaceDE w:val="0"/>
        <w:autoSpaceDN w:val="0"/>
        <w:spacing w:line="440" w:lineRule="exact"/>
        <w:ind w:left="0" w:right="389" w:firstLine="476" w:firstLineChars="200"/>
        <w:jc w:val="left"/>
        <w:rPr>
          <w:sz w:val="24"/>
          <w:szCs w:val="24"/>
        </w:rPr>
      </w:pPr>
      <w:r>
        <w:rPr>
          <w:rFonts w:hint="eastAsia"/>
          <w:spacing w:val="-1"/>
          <w:sz w:val="24"/>
          <w:szCs w:val="24"/>
          <w:lang w:val="en-US"/>
        </w:rPr>
        <w:t>1.7</w:t>
      </w:r>
      <w:r>
        <w:rPr>
          <w:rFonts w:hint="eastAsia"/>
          <w:spacing w:val="-1"/>
          <w:sz w:val="24"/>
          <w:szCs w:val="24"/>
        </w:rPr>
        <w:t>图纸中所列的工程数量表及数量汇总表仅是提供资料，不是工程量清单的外延。当图纸与工程量清单所列数量不一致时，以工程量清单所列数量作为报价的</w:t>
      </w:r>
      <w:r>
        <w:rPr>
          <w:rFonts w:hint="eastAsia"/>
          <w:sz w:val="24"/>
          <w:szCs w:val="24"/>
        </w:rPr>
        <w:t>依据。</w:t>
      </w:r>
    </w:p>
    <w:p>
      <w:pPr>
        <w:tabs>
          <w:tab w:val="left" w:pos="775"/>
        </w:tabs>
        <w:autoSpaceDE w:val="0"/>
        <w:autoSpaceDN w:val="0"/>
        <w:spacing w:before="1" w:line="440" w:lineRule="exact"/>
        <w:ind w:firstLine="478" w:firstLineChars="200"/>
        <w:jc w:val="left"/>
        <w:rPr>
          <w:rFonts w:ascii="宋体" w:hAnsi="宋体" w:cs="宋体"/>
          <w:b/>
          <w:bCs/>
          <w:sz w:val="24"/>
          <w:szCs w:val="24"/>
        </w:rPr>
      </w:pPr>
      <w:bookmarkStart w:id="185" w:name="_bookmark279"/>
      <w:bookmarkEnd w:id="185"/>
      <w:r>
        <w:rPr>
          <w:rFonts w:hint="eastAsia" w:ascii="宋体" w:hAnsi="宋体" w:cs="宋体"/>
          <w:b/>
          <w:bCs/>
          <w:spacing w:val="-1"/>
          <w:sz w:val="24"/>
          <w:szCs w:val="24"/>
        </w:rPr>
        <w:t>2.投标报价说明</w:t>
      </w:r>
    </w:p>
    <w:p>
      <w:pPr>
        <w:pStyle w:val="34"/>
        <w:tabs>
          <w:tab w:val="left" w:pos="1385"/>
        </w:tabs>
        <w:autoSpaceDE w:val="0"/>
        <w:autoSpaceDN w:val="0"/>
        <w:spacing w:line="440" w:lineRule="exact"/>
        <w:ind w:left="0" w:firstLineChars="200"/>
        <w:jc w:val="left"/>
        <w:rPr>
          <w:sz w:val="24"/>
          <w:szCs w:val="24"/>
        </w:rPr>
      </w:pPr>
      <w:r>
        <w:rPr>
          <w:rFonts w:hint="eastAsia"/>
          <w:sz w:val="24"/>
          <w:szCs w:val="24"/>
          <w:lang w:val="en-US"/>
        </w:rPr>
        <w:t>2.1</w:t>
      </w:r>
      <w:r>
        <w:rPr>
          <w:rFonts w:hint="eastAsia"/>
          <w:sz w:val="24"/>
          <w:szCs w:val="24"/>
        </w:rPr>
        <w:t>工程量清单中的每一子目须填入单价或价格，且只允许有一个报价。</w:t>
      </w:r>
    </w:p>
    <w:p>
      <w:pPr>
        <w:pStyle w:val="34"/>
        <w:tabs>
          <w:tab w:val="left" w:pos="1385"/>
        </w:tabs>
        <w:autoSpaceDE w:val="0"/>
        <w:autoSpaceDN w:val="0"/>
        <w:spacing w:before="93" w:line="440" w:lineRule="exact"/>
        <w:ind w:left="0" w:right="265" w:firstLineChars="200"/>
        <w:jc w:val="left"/>
        <w:rPr>
          <w:sz w:val="24"/>
          <w:szCs w:val="24"/>
        </w:rPr>
      </w:pPr>
      <w:r>
        <w:rPr>
          <w:rFonts w:hint="eastAsia"/>
          <w:sz w:val="24"/>
          <w:szCs w:val="24"/>
          <w:lang w:val="en-US"/>
        </w:rPr>
        <w:t>2.2</w:t>
      </w:r>
      <w:r>
        <w:rPr>
          <w:rFonts w:hint="eastAsia"/>
          <w:sz w:val="24"/>
          <w:szCs w:val="24"/>
        </w:rPr>
        <w:t>除非合同另有规定，工程量清单中有标价的单价和总额价均已包括了为实</w:t>
      </w:r>
      <w:r>
        <w:rPr>
          <w:rFonts w:hint="eastAsia"/>
          <w:spacing w:val="-8"/>
          <w:sz w:val="24"/>
          <w:szCs w:val="24"/>
        </w:rPr>
        <w:t>施和完成合同工程所需的劳务、材料、机械、质检</w:t>
      </w:r>
      <w:r>
        <w:rPr>
          <w:rFonts w:hint="eastAsia"/>
          <w:sz w:val="24"/>
          <w:szCs w:val="24"/>
        </w:rPr>
        <w:t>（自检</w:t>
      </w:r>
      <w:r>
        <w:rPr>
          <w:rFonts w:hint="eastAsia"/>
          <w:spacing w:val="-120"/>
          <w:sz w:val="24"/>
          <w:szCs w:val="24"/>
        </w:rPr>
        <w:t>）</w:t>
      </w:r>
      <w:r>
        <w:rPr>
          <w:rFonts w:hint="eastAsia"/>
          <w:spacing w:val="-11"/>
          <w:sz w:val="24"/>
          <w:szCs w:val="24"/>
        </w:rPr>
        <w:t>、安装、缺陷修复、管理、</w:t>
      </w:r>
      <w:r>
        <w:rPr>
          <w:rFonts w:hint="eastAsia"/>
          <w:sz w:val="24"/>
          <w:szCs w:val="24"/>
        </w:rPr>
        <w:t>保险、税费、利润等费用，以及合同明示或暗示的所有责任、义务和一般风险。</w:t>
      </w:r>
    </w:p>
    <w:p>
      <w:pPr>
        <w:pStyle w:val="34"/>
        <w:tabs>
          <w:tab w:val="left" w:pos="1385"/>
        </w:tabs>
        <w:autoSpaceDE w:val="0"/>
        <w:autoSpaceDN w:val="0"/>
        <w:spacing w:before="1" w:line="440" w:lineRule="exact"/>
        <w:ind w:left="0" w:right="390" w:firstLine="476" w:firstLineChars="200"/>
        <w:jc w:val="left"/>
        <w:rPr>
          <w:sz w:val="24"/>
          <w:szCs w:val="24"/>
        </w:rPr>
      </w:pPr>
      <w:r>
        <w:rPr>
          <w:rFonts w:hint="eastAsia"/>
          <w:spacing w:val="-1"/>
          <w:sz w:val="24"/>
          <w:szCs w:val="24"/>
          <w:lang w:val="en-US"/>
        </w:rPr>
        <w:t>2.3</w:t>
      </w:r>
      <w:r>
        <w:rPr>
          <w:rFonts w:hint="eastAsia"/>
          <w:spacing w:val="-1"/>
          <w:sz w:val="24"/>
          <w:szCs w:val="24"/>
        </w:rPr>
        <w:t>工程量清单中</w:t>
      </w:r>
      <w:r>
        <w:rPr>
          <w:rFonts w:hint="eastAsia"/>
          <w:spacing w:val="-1"/>
          <w:sz w:val="24"/>
          <w:szCs w:val="24"/>
          <w:lang w:eastAsia="zh-CN"/>
        </w:rPr>
        <w:t>交易响应单位</w:t>
      </w:r>
      <w:r>
        <w:rPr>
          <w:rFonts w:hint="eastAsia"/>
          <w:spacing w:val="-1"/>
          <w:sz w:val="24"/>
          <w:szCs w:val="24"/>
        </w:rPr>
        <w:t>没有填入单价或价格的子目，其费用视为已分摊在工程量清单中其他相关子目的单价或价格之中。承包人必须按监理人指令完成工程量</w:t>
      </w:r>
      <w:r>
        <w:rPr>
          <w:rFonts w:hint="eastAsia"/>
          <w:sz w:val="24"/>
          <w:szCs w:val="24"/>
        </w:rPr>
        <w:t>清单中未填入单价或价格的子目，但不能得到结算与支付。</w:t>
      </w:r>
    </w:p>
    <w:p>
      <w:pPr>
        <w:pStyle w:val="34"/>
        <w:tabs>
          <w:tab w:val="left" w:pos="1385"/>
        </w:tabs>
        <w:autoSpaceDE w:val="0"/>
        <w:autoSpaceDN w:val="0"/>
        <w:spacing w:line="440" w:lineRule="exact"/>
        <w:ind w:left="0" w:right="391" w:firstLine="476" w:firstLineChars="200"/>
        <w:jc w:val="left"/>
        <w:rPr>
          <w:sz w:val="24"/>
          <w:szCs w:val="24"/>
        </w:rPr>
      </w:pPr>
      <w:r>
        <w:rPr>
          <w:rFonts w:hint="eastAsia"/>
          <w:spacing w:val="-1"/>
          <w:sz w:val="24"/>
          <w:szCs w:val="24"/>
          <w:lang w:val="en-US"/>
        </w:rPr>
        <w:t>2.4</w:t>
      </w:r>
      <w:r>
        <w:rPr>
          <w:rFonts w:hint="eastAsia"/>
          <w:spacing w:val="-1"/>
          <w:sz w:val="24"/>
          <w:szCs w:val="24"/>
        </w:rPr>
        <w:t>符合合同条款规定的全部费用应认为已被计入有标价的工程量清单所列各子目之中，未列子目不予计量的工作，其费用应视为已分摊在本合同工程的有关子</w:t>
      </w:r>
      <w:r>
        <w:rPr>
          <w:rFonts w:hint="eastAsia"/>
          <w:sz w:val="24"/>
          <w:szCs w:val="24"/>
        </w:rPr>
        <w:t>目的单价或总额价之中。</w:t>
      </w:r>
    </w:p>
    <w:p>
      <w:pPr>
        <w:pStyle w:val="34"/>
        <w:tabs>
          <w:tab w:val="left" w:pos="1385"/>
        </w:tabs>
        <w:autoSpaceDE w:val="0"/>
        <w:autoSpaceDN w:val="0"/>
        <w:spacing w:before="1" w:line="440" w:lineRule="exact"/>
        <w:ind w:left="0" w:right="389" w:firstLine="476" w:firstLineChars="200"/>
        <w:jc w:val="left"/>
        <w:rPr>
          <w:sz w:val="24"/>
          <w:szCs w:val="24"/>
        </w:rPr>
      </w:pPr>
      <w:r>
        <w:rPr>
          <w:rFonts w:hint="eastAsia"/>
          <w:spacing w:val="-1"/>
          <w:sz w:val="24"/>
          <w:szCs w:val="24"/>
          <w:lang w:val="en-US"/>
        </w:rPr>
        <w:t>2.5</w:t>
      </w:r>
      <w:r>
        <w:rPr>
          <w:rFonts w:hint="eastAsia"/>
          <w:spacing w:val="-1"/>
          <w:sz w:val="24"/>
          <w:szCs w:val="24"/>
        </w:rPr>
        <w:t>承包人用于本合同工程的各类装备的提供、运输、维护、拆卸、拼装等支</w:t>
      </w:r>
      <w:r>
        <w:rPr>
          <w:rFonts w:hint="eastAsia"/>
          <w:sz w:val="24"/>
          <w:szCs w:val="24"/>
        </w:rPr>
        <w:t>付的费用，已包括在工程量清单的单价与总额价之中。</w:t>
      </w:r>
    </w:p>
    <w:p>
      <w:pPr>
        <w:pStyle w:val="34"/>
        <w:tabs>
          <w:tab w:val="left" w:pos="1385"/>
        </w:tabs>
        <w:autoSpaceDE w:val="0"/>
        <w:autoSpaceDN w:val="0"/>
        <w:spacing w:line="440" w:lineRule="exact"/>
        <w:ind w:left="0" w:firstLineChars="200"/>
        <w:jc w:val="left"/>
        <w:rPr>
          <w:sz w:val="24"/>
          <w:szCs w:val="24"/>
        </w:rPr>
      </w:pPr>
      <w:r>
        <w:rPr>
          <w:rFonts w:hint="eastAsia"/>
          <w:sz w:val="24"/>
          <w:szCs w:val="24"/>
          <w:lang w:val="en-US"/>
        </w:rPr>
        <w:t>2.6</w:t>
      </w:r>
      <w:r>
        <w:rPr>
          <w:rFonts w:hint="eastAsia"/>
          <w:sz w:val="24"/>
          <w:szCs w:val="24"/>
        </w:rPr>
        <w:t>工程量清单中各项金额均以人民币（元）结算。</w:t>
      </w:r>
    </w:p>
    <w:p>
      <w:pPr>
        <w:pStyle w:val="34"/>
        <w:tabs>
          <w:tab w:val="left" w:pos="1385"/>
          <w:tab w:val="left" w:pos="8984"/>
        </w:tabs>
        <w:autoSpaceDE w:val="0"/>
        <w:autoSpaceDN w:val="0"/>
        <w:spacing w:before="94" w:line="440" w:lineRule="exact"/>
        <w:ind w:left="0" w:firstLineChars="200"/>
        <w:jc w:val="left"/>
        <w:rPr>
          <w:sz w:val="24"/>
          <w:szCs w:val="24"/>
        </w:rPr>
      </w:pPr>
      <w:r>
        <w:rPr>
          <w:rFonts w:hint="eastAsia"/>
          <w:sz w:val="24"/>
          <w:szCs w:val="24"/>
          <w:lang w:val="en-US"/>
        </w:rPr>
        <w:t>2.7</w:t>
      </w:r>
      <w:r>
        <w:rPr>
          <w:rFonts w:hint="eastAsia"/>
          <w:sz w:val="24"/>
          <w:szCs w:val="24"/>
        </w:rPr>
        <w:t>暂列金</w:t>
      </w:r>
      <w:r>
        <w:rPr>
          <w:rFonts w:hint="eastAsia"/>
          <w:spacing w:val="-68"/>
          <w:sz w:val="24"/>
          <w:szCs w:val="24"/>
        </w:rPr>
        <w:t>额</w:t>
      </w:r>
      <w:r>
        <w:rPr>
          <w:rFonts w:hint="eastAsia"/>
          <w:sz w:val="24"/>
          <w:szCs w:val="24"/>
        </w:rPr>
        <w:t>（不含计日工总额</w:t>
      </w:r>
      <w:r>
        <w:rPr>
          <w:rFonts w:hint="eastAsia"/>
          <w:spacing w:val="-68"/>
          <w:sz w:val="24"/>
          <w:szCs w:val="24"/>
        </w:rPr>
        <w:t>）</w:t>
      </w:r>
      <w:r>
        <w:rPr>
          <w:rFonts w:hint="eastAsia"/>
          <w:sz w:val="24"/>
          <w:szCs w:val="24"/>
        </w:rPr>
        <w:t>的数量及拟用子目的说明</w:t>
      </w:r>
      <w:r>
        <w:rPr>
          <w:rFonts w:hint="eastAsia"/>
          <w:sz w:val="24"/>
          <w:szCs w:val="24"/>
          <w:u w:val="single"/>
        </w:rPr>
        <w:t>：</w:t>
      </w:r>
      <w:r>
        <w:rPr>
          <w:rFonts w:hint="eastAsia"/>
          <w:sz w:val="24"/>
          <w:szCs w:val="24"/>
          <w:u w:val="single"/>
        </w:rPr>
        <w:tab/>
      </w:r>
      <w:r>
        <w:rPr>
          <w:rFonts w:hint="eastAsia"/>
          <w:sz w:val="24"/>
          <w:szCs w:val="24"/>
        </w:rPr>
        <w:t>。</w:t>
      </w:r>
    </w:p>
    <w:p>
      <w:pPr>
        <w:pStyle w:val="34"/>
        <w:tabs>
          <w:tab w:val="left" w:pos="1385"/>
          <w:tab w:val="left" w:pos="7385"/>
        </w:tabs>
        <w:autoSpaceDE w:val="0"/>
        <w:autoSpaceDN w:val="0"/>
        <w:spacing w:before="91" w:line="440" w:lineRule="exact"/>
        <w:ind w:left="0" w:firstLineChars="200"/>
        <w:jc w:val="left"/>
        <w:rPr>
          <w:sz w:val="24"/>
          <w:szCs w:val="24"/>
        </w:rPr>
      </w:pPr>
      <w:r>
        <w:rPr>
          <w:rFonts w:hint="eastAsia"/>
          <w:sz w:val="24"/>
          <w:szCs w:val="24"/>
          <w:lang w:val="en-US"/>
        </w:rPr>
        <w:t>2.8</w:t>
      </w:r>
      <w:r>
        <w:rPr>
          <w:rFonts w:hint="eastAsia"/>
          <w:sz w:val="24"/>
          <w:szCs w:val="24"/>
        </w:rPr>
        <w:t>暂估价的数量及拟用子目的说明：</w:t>
      </w:r>
      <w:r>
        <w:rPr>
          <w:rFonts w:hint="eastAsia"/>
          <w:sz w:val="24"/>
          <w:szCs w:val="24"/>
          <w:u w:val="single"/>
        </w:rPr>
        <w:t xml:space="preserve"> </w:t>
      </w:r>
      <w:r>
        <w:rPr>
          <w:rFonts w:hint="eastAsia"/>
          <w:sz w:val="24"/>
          <w:szCs w:val="24"/>
          <w:u w:val="single"/>
        </w:rPr>
        <w:tab/>
      </w:r>
      <w:r>
        <w:rPr>
          <w:rFonts w:hint="eastAsia"/>
          <w:sz w:val="24"/>
          <w:szCs w:val="24"/>
        </w:rPr>
        <w:t>。</w:t>
      </w:r>
    </w:p>
    <w:p>
      <w:pPr>
        <w:tabs>
          <w:tab w:val="left" w:pos="775"/>
        </w:tabs>
        <w:autoSpaceDE w:val="0"/>
        <w:autoSpaceDN w:val="0"/>
        <w:spacing w:before="1" w:line="440" w:lineRule="exact"/>
        <w:ind w:firstLine="478" w:firstLineChars="200"/>
        <w:jc w:val="left"/>
        <w:rPr>
          <w:rFonts w:ascii="宋体" w:hAnsi="宋体" w:cs="宋体"/>
          <w:sz w:val="24"/>
          <w:szCs w:val="24"/>
        </w:rPr>
      </w:pPr>
      <w:bookmarkStart w:id="186" w:name="_bookmark280"/>
      <w:bookmarkEnd w:id="186"/>
      <w:r>
        <w:rPr>
          <w:rFonts w:hint="eastAsia" w:ascii="宋体" w:hAnsi="宋体" w:cs="宋体"/>
          <w:b/>
          <w:bCs/>
          <w:spacing w:val="-1"/>
          <w:sz w:val="24"/>
          <w:szCs w:val="24"/>
        </w:rPr>
        <w:t>3.计日工说明</w:t>
      </w:r>
    </w:p>
    <w:p>
      <w:pPr>
        <w:pStyle w:val="34"/>
        <w:tabs>
          <w:tab w:val="left" w:pos="1385"/>
        </w:tabs>
        <w:autoSpaceDE w:val="0"/>
        <w:autoSpaceDN w:val="0"/>
        <w:spacing w:line="440" w:lineRule="exact"/>
        <w:ind w:left="0" w:firstLine="482" w:firstLineChars="200"/>
        <w:jc w:val="left"/>
        <w:rPr>
          <w:b/>
          <w:bCs/>
          <w:sz w:val="24"/>
          <w:szCs w:val="24"/>
        </w:rPr>
      </w:pPr>
      <w:r>
        <w:rPr>
          <w:rFonts w:hint="eastAsia"/>
          <w:b/>
          <w:bCs/>
          <w:sz w:val="24"/>
          <w:szCs w:val="24"/>
          <w:lang w:val="en-US"/>
        </w:rPr>
        <w:t>3.1</w:t>
      </w:r>
      <w:r>
        <w:rPr>
          <w:rFonts w:hint="eastAsia"/>
          <w:b/>
          <w:bCs/>
          <w:sz w:val="24"/>
          <w:szCs w:val="24"/>
        </w:rPr>
        <w:t>总则</w:t>
      </w:r>
    </w:p>
    <w:p>
      <w:pPr>
        <w:pStyle w:val="34"/>
        <w:tabs>
          <w:tab w:val="left" w:pos="1566"/>
        </w:tabs>
        <w:autoSpaceDE w:val="0"/>
        <w:autoSpaceDN w:val="0"/>
        <w:spacing w:before="93" w:line="440" w:lineRule="exact"/>
        <w:ind w:left="0" w:firstLine="460" w:firstLineChars="200"/>
        <w:jc w:val="left"/>
        <w:rPr>
          <w:sz w:val="24"/>
          <w:szCs w:val="24"/>
        </w:rPr>
      </w:pPr>
      <w:r>
        <w:rPr>
          <w:rFonts w:hint="eastAsia"/>
          <w:spacing w:val="-5"/>
          <w:sz w:val="24"/>
          <w:szCs w:val="24"/>
        </w:rPr>
        <w:t>（</w:t>
      </w:r>
      <w:r>
        <w:rPr>
          <w:rFonts w:hint="eastAsia"/>
          <w:spacing w:val="-5"/>
          <w:sz w:val="24"/>
          <w:szCs w:val="24"/>
          <w:lang w:val="en-US"/>
        </w:rPr>
        <w:t>1</w:t>
      </w:r>
      <w:r>
        <w:rPr>
          <w:rFonts w:hint="eastAsia"/>
          <w:spacing w:val="-5"/>
          <w:sz w:val="24"/>
          <w:szCs w:val="24"/>
        </w:rPr>
        <w:t xml:space="preserve">）本说明应参照通用合同条款第 </w:t>
      </w:r>
      <w:r>
        <w:rPr>
          <w:rFonts w:hint="eastAsia"/>
          <w:sz w:val="24"/>
          <w:szCs w:val="24"/>
        </w:rPr>
        <w:t>15.7 款一并理解。</w:t>
      </w:r>
    </w:p>
    <w:p>
      <w:pPr>
        <w:pStyle w:val="34"/>
        <w:tabs>
          <w:tab w:val="left" w:pos="1572"/>
        </w:tabs>
        <w:autoSpaceDE w:val="0"/>
        <w:autoSpaceDN w:val="0"/>
        <w:spacing w:before="94" w:line="440" w:lineRule="exact"/>
        <w:ind w:left="0" w:right="393" w:firstLineChars="200"/>
        <w:jc w:val="left"/>
        <w:rPr>
          <w:sz w:val="24"/>
          <w:szCs w:val="24"/>
        </w:rPr>
      </w:pPr>
      <w:r>
        <w:rPr>
          <w:rFonts w:hint="eastAsia"/>
          <w:sz w:val="24"/>
          <w:szCs w:val="24"/>
        </w:rPr>
        <w:t>（</w:t>
      </w:r>
      <w:r>
        <w:rPr>
          <w:rFonts w:hint="eastAsia"/>
          <w:sz w:val="24"/>
          <w:szCs w:val="24"/>
          <w:lang w:val="en-US"/>
        </w:rPr>
        <w:t>2</w:t>
      </w:r>
      <w:r>
        <w:rPr>
          <w:rFonts w:hint="eastAsia"/>
          <w:sz w:val="24"/>
          <w:szCs w:val="24"/>
        </w:rPr>
        <w:t>）未经监理人书面指令，任何工程不得按计日工施工；接到监理人按计日工施工的书面指令，承包人也不得拒绝。</w:t>
      </w:r>
    </w:p>
    <w:p>
      <w:pPr>
        <w:pStyle w:val="34"/>
        <w:tabs>
          <w:tab w:val="left" w:pos="1572"/>
        </w:tabs>
        <w:autoSpaceDE w:val="0"/>
        <w:autoSpaceDN w:val="0"/>
        <w:spacing w:line="440" w:lineRule="exact"/>
        <w:ind w:left="0" w:right="388" w:firstLineChars="200"/>
        <w:jc w:val="left"/>
        <w:rPr>
          <w:sz w:val="24"/>
          <w:szCs w:val="24"/>
        </w:rPr>
      </w:pPr>
      <w:r>
        <w:rPr>
          <w:rFonts w:hint="eastAsia"/>
          <w:sz w:val="24"/>
          <w:szCs w:val="24"/>
        </w:rPr>
        <w:t>（</w:t>
      </w:r>
      <w:r>
        <w:rPr>
          <w:rFonts w:hint="eastAsia"/>
          <w:sz w:val="24"/>
          <w:szCs w:val="24"/>
          <w:lang w:val="en-US"/>
        </w:rPr>
        <w:t>3</w:t>
      </w:r>
      <w:r>
        <w:rPr>
          <w:rFonts w:hint="eastAsia"/>
          <w:sz w:val="24"/>
          <w:szCs w:val="24"/>
        </w:rPr>
        <w:t>）</w:t>
      </w:r>
      <w:r>
        <w:rPr>
          <w:rFonts w:hint="eastAsia"/>
          <w:sz w:val="24"/>
          <w:szCs w:val="24"/>
          <w:lang w:eastAsia="zh-CN"/>
        </w:rPr>
        <w:t>交易响应单位</w:t>
      </w:r>
      <w:r>
        <w:rPr>
          <w:rFonts w:hint="eastAsia"/>
          <w:sz w:val="24"/>
          <w:szCs w:val="24"/>
        </w:rPr>
        <w:t>应在计日工单价表中填列计日工子目的基本单价或租价，该基本</w:t>
      </w:r>
      <w:r>
        <w:rPr>
          <w:rFonts w:hint="eastAsia"/>
          <w:spacing w:val="-1"/>
          <w:sz w:val="24"/>
          <w:szCs w:val="24"/>
        </w:rPr>
        <w:t>单价或租价适用于监理人指令的任何数量的计日工的结算与支付。计日工的劳务、</w:t>
      </w:r>
      <w:r>
        <w:rPr>
          <w:rFonts w:hint="eastAsia"/>
          <w:sz w:val="24"/>
          <w:szCs w:val="24"/>
        </w:rPr>
        <w:t>材料和施工机械由招标人（或发包人）</w:t>
      </w:r>
      <w:r>
        <w:rPr>
          <w:rFonts w:hint="eastAsia"/>
          <w:spacing w:val="-1"/>
          <w:sz w:val="24"/>
          <w:szCs w:val="24"/>
        </w:rPr>
        <w:t>列出正常的估计数量，</w:t>
      </w:r>
      <w:r>
        <w:rPr>
          <w:rFonts w:hint="eastAsia"/>
          <w:spacing w:val="-1"/>
          <w:sz w:val="24"/>
          <w:szCs w:val="24"/>
          <w:lang w:eastAsia="zh-CN"/>
        </w:rPr>
        <w:t>交易响应单位</w:t>
      </w:r>
      <w:r>
        <w:rPr>
          <w:rFonts w:hint="eastAsia"/>
          <w:spacing w:val="-1"/>
          <w:sz w:val="24"/>
          <w:szCs w:val="24"/>
        </w:rPr>
        <w:t>报出单价，计</w:t>
      </w:r>
      <w:r>
        <w:rPr>
          <w:rFonts w:hint="eastAsia"/>
          <w:sz w:val="24"/>
          <w:szCs w:val="24"/>
        </w:rPr>
        <w:t>算出计日工总额后列入工程量清单汇总表中并进入评标价。</w:t>
      </w:r>
    </w:p>
    <w:p>
      <w:pPr>
        <w:pStyle w:val="34"/>
        <w:tabs>
          <w:tab w:val="left" w:pos="1566"/>
        </w:tabs>
        <w:autoSpaceDE w:val="0"/>
        <w:autoSpaceDN w:val="0"/>
        <w:spacing w:before="1" w:line="440" w:lineRule="exact"/>
        <w:ind w:left="0" w:firstLineChars="200"/>
        <w:jc w:val="left"/>
        <w:rPr>
          <w:sz w:val="24"/>
          <w:szCs w:val="24"/>
        </w:rPr>
      </w:pPr>
      <w:r>
        <w:rPr>
          <w:rFonts w:hint="eastAsia"/>
          <w:sz w:val="24"/>
          <w:szCs w:val="24"/>
        </w:rPr>
        <w:t>（</w:t>
      </w:r>
      <w:r>
        <w:rPr>
          <w:rFonts w:hint="eastAsia"/>
          <w:sz w:val="24"/>
          <w:szCs w:val="24"/>
          <w:lang w:val="en-US"/>
        </w:rPr>
        <w:t>4</w:t>
      </w:r>
      <w:r>
        <w:rPr>
          <w:rFonts w:hint="eastAsia"/>
          <w:sz w:val="24"/>
          <w:szCs w:val="24"/>
        </w:rPr>
        <w:t>）计日工不调价。</w:t>
      </w:r>
    </w:p>
    <w:p>
      <w:pPr>
        <w:pStyle w:val="34"/>
        <w:tabs>
          <w:tab w:val="left" w:pos="1385"/>
        </w:tabs>
        <w:autoSpaceDE w:val="0"/>
        <w:autoSpaceDN w:val="0"/>
        <w:spacing w:before="91" w:line="440" w:lineRule="exact"/>
        <w:ind w:left="0" w:firstLine="482" w:firstLineChars="200"/>
        <w:jc w:val="left"/>
        <w:rPr>
          <w:b/>
          <w:bCs/>
          <w:sz w:val="24"/>
          <w:szCs w:val="24"/>
        </w:rPr>
      </w:pPr>
      <w:r>
        <w:rPr>
          <w:rFonts w:hint="eastAsia"/>
          <w:b/>
          <w:bCs/>
          <w:sz w:val="24"/>
          <w:szCs w:val="24"/>
          <w:lang w:val="en-US"/>
        </w:rPr>
        <w:t>3.2</w:t>
      </w:r>
      <w:r>
        <w:rPr>
          <w:rFonts w:hint="eastAsia"/>
          <w:b/>
          <w:bCs/>
          <w:sz w:val="24"/>
          <w:szCs w:val="24"/>
        </w:rPr>
        <w:t>计日工劳务</w:t>
      </w:r>
    </w:p>
    <w:p>
      <w:pPr>
        <w:pStyle w:val="34"/>
        <w:tabs>
          <w:tab w:val="left" w:pos="1572"/>
        </w:tabs>
        <w:autoSpaceDE w:val="0"/>
        <w:autoSpaceDN w:val="0"/>
        <w:spacing w:before="94" w:line="440" w:lineRule="exact"/>
        <w:ind w:left="0" w:right="388" w:firstLineChars="200"/>
        <w:jc w:val="left"/>
        <w:rPr>
          <w:sz w:val="24"/>
          <w:szCs w:val="24"/>
        </w:rPr>
      </w:pPr>
      <w:r>
        <w:rPr>
          <w:rFonts w:hint="eastAsia"/>
          <w:sz w:val="24"/>
          <w:szCs w:val="24"/>
        </w:rPr>
        <w:t>（</w:t>
      </w:r>
      <w:r>
        <w:rPr>
          <w:rFonts w:hint="eastAsia"/>
          <w:sz w:val="24"/>
          <w:szCs w:val="24"/>
          <w:lang w:val="en-US"/>
        </w:rPr>
        <w:t>1</w:t>
      </w:r>
      <w:r>
        <w:rPr>
          <w:rFonts w:hint="eastAsia"/>
          <w:sz w:val="24"/>
          <w:szCs w:val="24"/>
        </w:rPr>
        <w:t>）在计算应付给承包人的计日工工资时，工时应从工人到达施工现场，并</w:t>
      </w:r>
      <w:r>
        <w:rPr>
          <w:rFonts w:hint="eastAsia"/>
          <w:spacing w:val="-1"/>
          <w:sz w:val="24"/>
          <w:szCs w:val="24"/>
        </w:rPr>
        <w:t>开始从事指定的工作算起，到返回原出发地点为止，扣去用餐和休息的时间。只有直接从事指定的工作，且能胜任该工作的工人才能计工，随同工人一起做工的班长</w:t>
      </w:r>
      <w:r>
        <w:rPr>
          <w:rFonts w:hint="eastAsia"/>
          <w:sz w:val="24"/>
          <w:szCs w:val="24"/>
        </w:rPr>
        <w:t>应计算在内，但不包括领工（工长）和其他质检管理人员。</w:t>
      </w:r>
    </w:p>
    <w:p>
      <w:pPr>
        <w:pStyle w:val="34"/>
        <w:tabs>
          <w:tab w:val="left" w:pos="1572"/>
        </w:tabs>
        <w:autoSpaceDE w:val="0"/>
        <w:autoSpaceDN w:val="0"/>
        <w:spacing w:before="2" w:line="440" w:lineRule="exact"/>
        <w:ind w:left="0" w:right="265" w:firstLineChars="200"/>
        <w:jc w:val="left"/>
        <w:rPr>
          <w:sz w:val="24"/>
          <w:szCs w:val="24"/>
        </w:rPr>
      </w:pPr>
      <w:r>
        <w:rPr>
          <w:rFonts w:hint="eastAsia"/>
          <w:sz w:val="24"/>
          <w:szCs w:val="24"/>
        </w:rPr>
        <w:t>（</w:t>
      </w:r>
      <w:r>
        <w:rPr>
          <w:rFonts w:hint="eastAsia"/>
          <w:sz w:val="24"/>
          <w:szCs w:val="24"/>
          <w:lang w:val="en-US"/>
        </w:rPr>
        <w:t>2</w:t>
      </w:r>
      <w:r>
        <w:rPr>
          <w:rFonts w:hint="eastAsia"/>
          <w:sz w:val="24"/>
          <w:szCs w:val="24"/>
        </w:rPr>
        <w:t>）承包人可以得到用于计日工劳务的全部工时的支付，此支付按承包人填报的“计日工劳务单价表”</w:t>
      </w:r>
      <w:r>
        <w:rPr>
          <w:rFonts w:hint="eastAsia"/>
          <w:spacing w:val="-9"/>
          <w:sz w:val="24"/>
          <w:szCs w:val="24"/>
        </w:rPr>
        <w:t>所列单价计算，该单价应包括基本单价及承包人的管理费、</w:t>
      </w:r>
      <w:r>
        <w:rPr>
          <w:rFonts w:hint="eastAsia"/>
          <w:sz w:val="24"/>
          <w:szCs w:val="24"/>
        </w:rPr>
        <w:t>税费、利润等所有附加费，说明如下：</w:t>
      </w:r>
    </w:p>
    <w:p>
      <w:pPr>
        <w:pStyle w:val="34"/>
        <w:tabs>
          <w:tab w:val="left" w:pos="1250"/>
        </w:tabs>
        <w:autoSpaceDE w:val="0"/>
        <w:autoSpaceDN w:val="0"/>
        <w:spacing w:before="1" w:line="440" w:lineRule="exact"/>
        <w:ind w:left="0" w:right="265" w:firstLine="432" w:firstLineChars="200"/>
        <w:jc w:val="left"/>
        <w:rPr>
          <w:sz w:val="24"/>
          <w:szCs w:val="24"/>
        </w:rPr>
      </w:pPr>
      <w:r>
        <w:rPr>
          <w:rFonts w:hint="eastAsia"/>
          <w:spacing w:val="-12"/>
          <w:sz w:val="24"/>
          <w:szCs w:val="24"/>
          <w:lang w:val="en-US"/>
        </w:rPr>
        <w:t>a.</w:t>
      </w:r>
      <w:r>
        <w:rPr>
          <w:rFonts w:hint="eastAsia"/>
          <w:spacing w:val="-12"/>
          <w:sz w:val="24"/>
          <w:szCs w:val="24"/>
        </w:rPr>
        <w:t>劳务基本单价包括：承包人劳务的全部直接费用，如：工资、加班费、津贴、</w:t>
      </w:r>
      <w:r>
        <w:rPr>
          <w:rFonts w:hint="eastAsia"/>
          <w:sz w:val="24"/>
          <w:szCs w:val="24"/>
        </w:rPr>
        <w:t>福利费及劳动保护费等。</w:t>
      </w:r>
    </w:p>
    <w:p>
      <w:pPr>
        <w:pStyle w:val="34"/>
        <w:tabs>
          <w:tab w:val="left" w:pos="1265"/>
        </w:tabs>
        <w:autoSpaceDE w:val="0"/>
        <w:autoSpaceDN w:val="0"/>
        <w:spacing w:line="440" w:lineRule="exact"/>
        <w:ind w:left="0" w:right="298" w:firstLine="476" w:firstLineChars="200"/>
        <w:jc w:val="left"/>
        <w:rPr>
          <w:sz w:val="24"/>
          <w:szCs w:val="24"/>
        </w:rPr>
      </w:pPr>
      <w:r>
        <w:rPr>
          <w:rFonts w:hint="eastAsia"/>
          <w:spacing w:val="-1"/>
          <w:sz w:val="24"/>
          <w:szCs w:val="24"/>
          <w:lang w:val="en-US"/>
        </w:rPr>
        <w:t>b.</w:t>
      </w:r>
      <w:r>
        <w:rPr>
          <w:rFonts w:hint="eastAsia"/>
          <w:spacing w:val="-1"/>
          <w:sz w:val="24"/>
          <w:szCs w:val="24"/>
        </w:rPr>
        <w:t xml:space="preserve">承包人的利润、管理、质检、保险、税费；易耗品的使用，水电及照明费， </w:t>
      </w:r>
      <w:r>
        <w:rPr>
          <w:rFonts w:hint="eastAsia"/>
          <w:sz w:val="24"/>
          <w:szCs w:val="24"/>
        </w:rPr>
        <w:t>工作台、脚手架、临时设施费，手动机具与工具的使用及维修，以及上述各项伴随而来的费用。</w:t>
      </w:r>
    </w:p>
    <w:p>
      <w:pPr>
        <w:pStyle w:val="34"/>
        <w:tabs>
          <w:tab w:val="left" w:pos="1265"/>
        </w:tabs>
        <w:autoSpaceDE w:val="0"/>
        <w:autoSpaceDN w:val="0"/>
        <w:spacing w:line="440" w:lineRule="exact"/>
        <w:ind w:left="0" w:right="298" w:firstLine="482" w:firstLineChars="200"/>
        <w:jc w:val="left"/>
        <w:rPr>
          <w:b/>
          <w:bCs/>
          <w:sz w:val="24"/>
          <w:szCs w:val="24"/>
        </w:rPr>
      </w:pPr>
      <w:r>
        <w:rPr>
          <w:rFonts w:hint="eastAsia"/>
          <w:b/>
          <w:bCs/>
          <w:sz w:val="24"/>
          <w:szCs w:val="24"/>
          <w:lang w:val="en-US"/>
        </w:rPr>
        <w:t>3.3</w:t>
      </w:r>
      <w:r>
        <w:rPr>
          <w:rFonts w:hint="eastAsia"/>
          <w:b/>
          <w:bCs/>
          <w:sz w:val="24"/>
          <w:szCs w:val="24"/>
        </w:rPr>
        <w:t>计日工材料</w:t>
      </w:r>
    </w:p>
    <w:p>
      <w:pPr>
        <w:pStyle w:val="34"/>
        <w:tabs>
          <w:tab w:val="left" w:pos="1265"/>
        </w:tabs>
        <w:autoSpaceDE w:val="0"/>
        <w:autoSpaceDN w:val="0"/>
        <w:spacing w:line="440" w:lineRule="exact"/>
        <w:ind w:left="0" w:right="298" w:firstLineChars="200"/>
        <w:jc w:val="left"/>
        <w:rPr>
          <w:sz w:val="24"/>
          <w:szCs w:val="24"/>
        </w:rPr>
      </w:pPr>
      <w:r>
        <w:rPr>
          <w:rFonts w:hint="eastAsia"/>
          <w:sz w:val="24"/>
          <w:szCs w:val="24"/>
        </w:rPr>
        <w:t>承包人可以得到计日工使用的材料费用（</w:t>
      </w:r>
      <w:r>
        <w:rPr>
          <w:rFonts w:hint="eastAsia"/>
          <w:spacing w:val="-15"/>
          <w:sz w:val="24"/>
          <w:szCs w:val="24"/>
        </w:rPr>
        <w:t xml:space="preserve">上述 </w:t>
      </w:r>
      <w:r>
        <w:rPr>
          <w:rFonts w:hint="eastAsia"/>
          <w:sz w:val="24"/>
          <w:szCs w:val="24"/>
        </w:rPr>
        <w:t xml:space="preserve">3.2 </w:t>
      </w:r>
      <w:r>
        <w:rPr>
          <w:rFonts w:hint="eastAsia"/>
          <w:spacing w:val="-2"/>
          <w:sz w:val="24"/>
          <w:szCs w:val="24"/>
        </w:rPr>
        <w:t>款已计入劳务费内的材料费</w:t>
      </w:r>
      <w:r>
        <w:rPr>
          <w:rFonts w:hint="eastAsia"/>
          <w:sz w:val="24"/>
          <w:szCs w:val="24"/>
        </w:rPr>
        <w:t>用除外）的支付，此费用按承包人“计日工材料单价表”</w:t>
      </w:r>
      <w:r>
        <w:rPr>
          <w:rFonts w:hint="eastAsia"/>
          <w:spacing w:val="-1"/>
          <w:sz w:val="24"/>
          <w:szCs w:val="24"/>
        </w:rPr>
        <w:t>中所填报的单价计算，该单</w:t>
      </w:r>
      <w:r>
        <w:rPr>
          <w:rFonts w:hint="eastAsia"/>
          <w:sz w:val="24"/>
          <w:szCs w:val="24"/>
        </w:rPr>
        <w:t>价应包括基本单价及承包人的管理费、税费、利润等所有附加费，说明如下：</w:t>
      </w:r>
    </w:p>
    <w:p>
      <w:pPr>
        <w:pStyle w:val="34"/>
        <w:tabs>
          <w:tab w:val="left" w:pos="1265"/>
        </w:tabs>
        <w:autoSpaceDE w:val="0"/>
        <w:autoSpaceDN w:val="0"/>
        <w:spacing w:line="440" w:lineRule="exact"/>
        <w:ind w:left="0" w:right="298" w:firstLine="476" w:firstLineChars="200"/>
        <w:jc w:val="left"/>
        <w:rPr>
          <w:sz w:val="24"/>
          <w:szCs w:val="24"/>
        </w:rPr>
      </w:pPr>
      <w:r>
        <w:rPr>
          <w:rFonts w:hint="eastAsia"/>
          <w:spacing w:val="-1"/>
          <w:sz w:val="24"/>
          <w:szCs w:val="24"/>
        </w:rPr>
        <w:t>（</w:t>
      </w:r>
      <w:r>
        <w:rPr>
          <w:rFonts w:hint="eastAsia"/>
          <w:spacing w:val="-1"/>
          <w:sz w:val="24"/>
          <w:szCs w:val="24"/>
          <w:lang w:val="en-US"/>
        </w:rPr>
        <w:t>1</w:t>
      </w:r>
      <w:r>
        <w:rPr>
          <w:rFonts w:hint="eastAsia"/>
          <w:spacing w:val="-1"/>
          <w:sz w:val="24"/>
          <w:szCs w:val="24"/>
        </w:rPr>
        <w:t>）材料基本单价按供货价加运杂费</w:t>
      </w:r>
      <w:r>
        <w:rPr>
          <w:rFonts w:hint="eastAsia"/>
          <w:sz w:val="24"/>
          <w:szCs w:val="24"/>
        </w:rPr>
        <w:t>（到达承包人现场仓库</w:t>
      </w:r>
      <w:r>
        <w:rPr>
          <w:rFonts w:hint="eastAsia"/>
          <w:spacing w:val="-120"/>
          <w:sz w:val="24"/>
          <w:szCs w:val="24"/>
        </w:rPr>
        <w:t>）</w:t>
      </w:r>
      <w:r>
        <w:rPr>
          <w:rFonts w:hint="eastAsia"/>
          <w:spacing w:val="-6"/>
          <w:sz w:val="24"/>
          <w:szCs w:val="24"/>
        </w:rPr>
        <w:t>、保险费、仓库</w:t>
      </w:r>
      <w:r>
        <w:rPr>
          <w:rFonts w:hint="eastAsia"/>
          <w:sz w:val="24"/>
          <w:szCs w:val="24"/>
        </w:rPr>
        <w:t>管理费以及运输损耗等计算；</w:t>
      </w:r>
    </w:p>
    <w:p>
      <w:pPr>
        <w:pStyle w:val="34"/>
        <w:tabs>
          <w:tab w:val="left" w:pos="1265"/>
        </w:tabs>
        <w:autoSpaceDE w:val="0"/>
        <w:autoSpaceDN w:val="0"/>
        <w:spacing w:line="440" w:lineRule="exact"/>
        <w:ind w:left="0" w:right="298" w:firstLineChars="200"/>
        <w:jc w:val="left"/>
        <w:rPr>
          <w:sz w:val="24"/>
          <w:szCs w:val="24"/>
        </w:rPr>
      </w:pPr>
      <w:r>
        <w:rPr>
          <w:rFonts w:hint="eastAsia"/>
          <w:sz w:val="24"/>
          <w:szCs w:val="24"/>
        </w:rPr>
        <w:t>（</w:t>
      </w:r>
      <w:r>
        <w:rPr>
          <w:rFonts w:hint="eastAsia"/>
          <w:sz w:val="24"/>
          <w:szCs w:val="24"/>
          <w:lang w:val="en-US"/>
        </w:rPr>
        <w:t>2</w:t>
      </w:r>
      <w:r>
        <w:rPr>
          <w:rFonts w:hint="eastAsia"/>
          <w:sz w:val="24"/>
          <w:szCs w:val="24"/>
        </w:rPr>
        <w:t>）承包人的利润、管理、质检、保险、税费及其他附加费；</w:t>
      </w:r>
    </w:p>
    <w:p>
      <w:pPr>
        <w:pStyle w:val="34"/>
        <w:tabs>
          <w:tab w:val="left" w:pos="1265"/>
        </w:tabs>
        <w:autoSpaceDE w:val="0"/>
        <w:autoSpaceDN w:val="0"/>
        <w:spacing w:line="440" w:lineRule="exact"/>
        <w:ind w:left="0" w:right="298" w:firstLineChars="200"/>
        <w:jc w:val="left"/>
        <w:rPr>
          <w:sz w:val="24"/>
          <w:szCs w:val="24"/>
        </w:rPr>
      </w:pPr>
      <w:r>
        <w:rPr>
          <w:rFonts w:hint="eastAsia"/>
          <w:sz w:val="24"/>
          <w:szCs w:val="24"/>
        </w:rPr>
        <w:t>（</w:t>
      </w:r>
      <w:r>
        <w:rPr>
          <w:rFonts w:hint="eastAsia"/>
          <w:sz w:val="24"/>
          <w:szCs w:val="24"/>
          <w:lang w:val="en-US"/>
        </w:rPr>
        <w:t>3</w:t>
      </w:r>
      <w:r>
        <w:rPr>
          <w:rFonts w:hint="eastAsia"/>
          <w:sz w:val="24"/>
          <w:szCs w:val="24"/>
        </w:rPr>
        <w:t>）从现场运至使用地点的人工费和施工机械使用费不包括在上述基本单价内。</w:t>
      </w:r>
    </w:p>
    <w:p>
      <w:pPr>
        <w:pStyle w:val="34"/>
        <w:tabs>
          <w:tab w:val="left" w:pos="1385"/>
        </w:tabs>
        <w:autoSpaceDE w:val="0"/>
        <w:autoSpaceDN w:val="0"/>
        <w:spacing w:before="93" w:line="440" w:lineRule="exact"/>
        <w:ind w:left="0" w:firstLine="482" w:firstLineChars="200"/>
        <w:jc w:val="left"/>
        <w:rPr>
          <w:b/>
          <w:bCs/>
          <w:sz w:val="24"/>
          <w:szCs w:val="24"/>
        </w:rPr>
      </w:pPr>
      <w:r>
        <w:rPr>
          <w:rFonts w:hint="eastAsia"/>
          <w:b/>
          <w:bCs/>
          <w:sz w:val="24"/>
          <w:szCs w:val="24"/>
          <w:lang w:val="en-US"/>
        </w:rPr>
        <w:t>3.4</w:t>
      </w:r>
      <w:r>
        <w:rPr>
          <w:rFonts w:hint="eastAsia"/>
          <w:b/>
          <w:bCs/>
          <w:sz w:val="24"/>
          <w:szCs w:val="24"/>
        </w:rPr>
        <w:t>计日工施工机械</w:t>
      </w:r>
    </w:p>
    <w:p>
      <w:pPr>
        <w:pStyle w:val="34"/>
        <w:tabs>
          <w:tab w:val="left" w:pos="1572"/>
        </w:tabs>
        <w:autoSpaceDE w:val="0"/>
        <w:autoSpaceDN w:val="0"/>
        <w:spacing w:before="94" w:line="440" w:lineRule="exact"/>
        <w:ind w:left="0" w:firstLineChars="200"/>
        <w:jc w:val="left"/>
        <w:rPr>
          <w:sz w:val="24"/>
          <w:szCs w:val="24"/>
        </w:rPr>
      </w:pPr>
      <w:r>
        <w:rPr>
          <w:rFonts w:hint="eastAsia"/>
          <w:sz w:val="24"/>
          <w:szCs w:val="24"/>
        </w:rPr>
        <w:t>（</w:t>
      </w:r>
      <w:r>
        <w:rPr>
          <w:rFonts w:hint="eastAsia"/>
          <w:sz w:val="24"/>
          <w:szCs w:val="24"/>
          <w:lang w:val="en-US"/>
        </w:rPr>
        <w:t>1</w:t>
      </w:r>
      <w:r>
        <w:rPr>
          <w:rFonts w:hint="eastAsia"/>
          <w:sz w:val="24"/>
          <w:szCs w:val="24"/>
        </w:rPr>
        <w:t>）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pPr>
        <w:pStyle w:val="34"/>
        <w:tabs>
          <w:tab w:val="left" w:pos="1572"/>
        </w:tabs>
        <w:autoSpaceDE w:val="0"/>
        <w:autoSpaceDN w:val="0"/>
        <w:spacing w:line="440" w:lineRule="exact"/>
        <w:ind w:left="0" w:right="391" w:firstLineChars="200"/>
        <w:jc w:val="left"/>
        <w:rPr>
          <w:sz w:val="24"/>
          <w:szCs w:val="24"/>
        </w:rPr>
      </w:pPr>
      <w:r>
        <w:rPr>
          <w:rFonts w:hint="eastAsia"/>
          <w:sz w:val="24"/>
          <w:szCs w:val="24"/>
        </w:rPr>
        <w:t>（</w:t>
      </w:r>
      <w:r>
        <w:rPr>
          <w:rFonts w:hint="eastAsia"/>
          <w:sz w:val="24"/>
          <w:szCs w:val="24"/>
          <w:lang w:val="en-US"/>
        </w:rPr>
        <w:t>2</w:t>
      </w:r>
      <w:r>
        <w:rPr>
          <w:rFonts w:hint="eastAsia"/>
          <w:sz w:val="24"/>
          <w:szCs w:val="24"/>
        </w:rPr>
        <w:t>）在计日工作业中，承包人计算所用的施工机械费用时，应按实际工作小</w:t>
      </w:r>
      <w:r>
        <w:rPr>
          <w:rFonts w:hint="eastAsia"/>
          <w:spacing w:val="-1"/>
          <w:sz w:val="24"/>
          <w:szCs w:val="24"/>
        </w:rPr>
        <w:t>时支付。除非经监理人的同意，计算的工作小时才能将施工机械从现场某处运到监</w:t>
      </w:r>
      <w:r>
        <w:rPr>
          <w:rFonts w:hint="eastAsia"/>
          <w:sz w:val="24"/>
          <w:szCs w:val="24"/>
        </w:rPr>
        <w:t>理人指令的计日工作业的另一现场往返运送时间包括在内。</w:t>
      </w:r>
      <w:bookmarkStart w:id="187" w:name="_bookmark281"/>
      <w:bookmarkEnd w:id="187"/>
    </w:p>
    <w:p>
      <w:pPr>
        <w:pStyle w:val="34"/>
        <w:tabs>
          <w:tab w:val="left" w:pos="1572"/>
        </w:tabs>
        <w:autoSpaceDE w:val="0"/>
        <w:autoSpaceDN w:val="0"/>
        <w:spacing w:line="440" w:lineRule="exact"/>
        <w:ind w:left="0" w:right="391" w:firstLine="482" w:firstLineChars="200"/>
        <w:jc w:val="left"/>
        <w:rPr>
          <w:b/>
          <w:bCs/>
          <w:sz w:val="24"/>
          <w:szCs w:val="24"/>
        </w:rPr>
      </w:pPr>
      <w:r>
        <w:rPr>
          <w:rFonts w:hint="eastAsia"/>
          <w:b/>
          <w:bCs/>
          <w:sz w:val="24"/>
          <w:szCs w:val="24"/>
          <w:lang w:val="en-US"/>
        </w:rPr>
        <w:t>4.</w:t>
      </w:r>
      <w:r>
        <w:rPr>
          <w:rFonts w:hint="eastAsia"/>
          <w:b/>
          <w:bCs/>
          <w:sz w:val="24"/>
          <w:szCs w:val="24"/>
        </w:rPr>
        <w:t>其他说明</w:t>
      </w:r>
    </w:p>
    <w:p>
      <w:pPr>
        <w:pStyle w:val="34"/>
        <w:tabs>
          <w:tab w:val="left" w:pos="1572"/>
        </w:tabs>
        <w:autoSpaceDE w:val="0"/>
        <w:autoSpaceDN w:val="0"/>
        <w:spacing w:line="440" w:lineRule="exact"/>
        <w:ind w:left="0" w:right="391" w:firstLine="482" w:firstLineChars="200"/>
        <w:jc w:val="left"/>
        <w:rPr>
          <w:b/>
          <w:bCs/>
          <w:sz w:val="24"/>
          <w:szCs w:val="24"/>
          <w:lang w:val="en-US"/>
        </w:rPr>
      </w:pPr>
      <w:r>
        <w:rPr>
          <w:rFonts w:hint="eastAsia"/>
          <w:b/>
          <w:bCs/>
          <w:sz w:val="24"/>
          <w:szCs w:val="24"/>
          <w:lang w:val="en-US"/>
        </w:rPr>
        <w:t>5.工程量清单（另册）</w:t>
      </w:r>
    </w:p>
    <w:p>
      <w:pPr>
        <w:pStyle w:val="34"/>
        <w:tabs>
          <w:tab w:val="left" w:pos="1385"/>
        </w:tabs>
        <w:autoSpaceDE w:val="0"/>
        <w:autoSpaceDN w:val="0"/>
        <w:spacing w:before="1" w:line="440" w:lineRule="exact"/>
        <w:ind w:left="0" w:right="390" w:firstLine="0"/>
        <w:jc w:val="left"/>
        <w:rPr>
          <w:sz w:val="24"/>
          <w:szCs w:val="24"/>
        </w:rPr>
      </w:pPr>
    </w:p>
    <w:p>
      <w:pPr>
        <w:pStyle w:val="34"/>
        <w:tabs>
          <w:tab w:val="left" w:pos="1385"/>
        </w:tabs>
        <w:autoSpaceDE w:val="0"/>
        <w:autoSpaceDN w:val="0"/>
        <w:spacing w:before="1" w:line="440" w:lineRule="exact"/>
        <w:ind w:left="0" w:right="390" w:firstLine="0"/>
        <w:jc w:val="left"/>
        <w:rPr>
          <w:sz w:val="24"/>
          <w:szCs w:val="24"/>
        </w:rPr>
      </w:pPr>
      <w:r>
        <w:rPr>
          <w:rFonts w:hint="eastAsia"/>
          <w:sz w:val="24"/>
          <w:szCs w:val="24"/>
        </w:rPr>
        <w:br w:type="page"/>
      </w:r>
    </w:p>
    <w:p>
      <w:pPr>
        <w:pStyle w:val="34"/>
        <w:tabs>
          <w:tab w:val="left" w:pos="1572"/>
        </w:tabs>
        <w:autoSpaceDE w:val="0"/>
        <w:autoSpaceDN w:val="0"/>
        <w:spacing w:line="440" w:lineRule="exact"/>
        <w:ind w:left="0" w:right="391" w:firstLine="0"/>
        <w:jc w:val="left"/>
        <w:rPr>
          <w:sz w:val="52"/>
          <w:szCs w:val="52"/>
        </w:rPr>
      </w:pPr>
    </w:p>
    <w:p>
      <w:pPr>
        <w:pStyle w:val="4"/>
        <w:rPr>
          <w:rFonts w:ascii="宋体" w:hAnsi="宋体" w:cs="宋体"/>
          <w:sz w:val="52"/>
          <w:szCs w:val="52"/>
        </w:rPr>
      </w:pPr>
    </w:p>
    <w:p>
      <w:pPr>
        <w:pStyle w:val="4"/>
        <w:jc w:val="both"/>
        <w:rPr>
          <w:rFonts w:ascii="宋体" w:hAnsi="宋体" w:cs="宋体"/>
          <w:sz w:val="52"/>
          <w:szCs w:val="52"/>
        </w:rPr>
      </w:pPr>
    </w:p>
    <w:p>
      <w:pPr>
        <w:pStyle w:val="4"/>
        <w:rPr>
          <w:rFonts w:ascii="宋体" w:hAnsi="宋体" w:cs="宋体"/>
          <w:sz w:val="52"/>
          <w:szCs w:val="52"/>
        </w:rPr>
      </w:pPr>
    </w:p>
    <w:p>
      <w:pPr>
        <w:pStyle w:val="4"/>
        <w:rPr>
          <w:rFonts w:ascii="宋体" w:hAnsi="宋体" w:cs="宋体"/>
          <w:szCs w:val="52"/>
        </w:rPr>
      </w:pPr>
      <w:r>
        <w:rPr>
          <w:rFonts w:hint="eastAsia" w:ascii="宋体" w:hAnsi="宋体" w:cs="宋体"/>
          <w:sz w:val="52"/>
          <w:szCs w:val="52"/>
        </w:rPr>
        <w:t>第六章  图</w:t>
      </w:r>
      <w:r>
        <w:rPr>
          <w:rFonts w:hint="eastAsia" w:ascii="宋体" w:hAnsi="宋体" w:cs="宋体"/>
          <w:sz w:val="52"/>
          <w:szCs w:val="52"/>
        </w:rPr>
        <w:tab/>
      </w:r>
      <w:r>
        <w:rPr>
          <w:rFonts w:hint="eastAsia" w:ascii="宋体" w:hAnsi="宋体" w:cs="宋体"/>
          <w:sz w:val="52"/>
          <w:szCs w:val="52"/>
        </w:rPr>
        <w:t xml:space="preserve"> 纸</w:t>
      </w:r>
    </w:p>
    <w:p>
      <w:pPr>
        <w:jc w:val="center"/>
        <w:rPr>
          <w:rFonts w:ascii="宋体" w:hAnsi="宋体" w:cs="宋体"/>
          <w:sz w:val="48"/>
          <w:szCs w:val="48"/>
        </w:rPr>
      </w:pPr>
    </w:p>
    <w:p>
      <w:pPr>
        <w:jc w:val="center"/>
        <w:rPr>
          <w:rFonts w:ascii="宋体" w:hAnsi="宋体" w:cs="宋体"/>
          <w:sz w:val="48"/>
          <w:szCs w:val="48"/>
        </w:rPr>
      </w:pPr>
      <w:r>
        <w:rPr>
          <w:rFonts w:hint="eastAsia" w:ascii="宋体" w:hAnsi="宋体" w:cs="宋体"/>
          <w:sz w:val="32"/>
          <w:szCs w:val="32"/>
        </w:rPr>
        <w:t>（另 册）</w:t>
      </w:r>
    </w:p>
    <w:p>
      <w:pPr>
        <w:pStyle w:val="34"/>
        <w:tabs>
          <w:tab w:val="left" w:pos="1572"/>
        </w:tabs>
        <w:autoSpaceDE w:val="0"/>
        <w:autoSpaceDN w:val="0"/>
        <w:spacing w:line="440" w:lineRule="exact"/>
        <w:ind w:left="0" w:right="391" w:firstLine="482" w:firstLineChars="200"/>
        <w:jc w:val="left"/>
        <w:rPr>
          <w:b/>
          <w:bCs/>
          <w:sz w:val="24"/>
          <w:szCs w:val="24"/>
          <w:lang w:val="en-US"/>
        </w:rPr>
      </w:pPr>
      <w:r>
        <w:rPr>
          <w:rFonts w:hint="eastAsia"/>
          <w:b/>
          <w:bCs/>
          <w:sz w:val="24"/>
          <w:szCs w:val="24"/>
          <w:lang w:val="en-US"/>
        </w:rPr>
        <w:br w:type="page"/>
      </w:r>
    </w:p>
    <w:p>
      <w:pPr>
        <w:pStyle w:val="4"/>
        <w:rPr>
          <w:rFonts w:ascii="宋体" w:hAnsi="宋体" w:cs="宋体"/>
          <w:sz w:val="52"/>
          <w:szCs w:val="52"/>
        </w:rPr>
      </w:pPr>
      <w:bookmarkStart w:id="188" w:name="_Toc1859"/>
    </w:p>
    <w:p>
      <w:pPr>
        <w:pStyle w:val="4"/>
        <w:rPr>
          <w:rFonts w:ascii="宋体" w:hAnsi="宋体" w:cs="宋体"/>
          <w:sz w:val="52"/>
          <w:szCs w:val="52"/>
        </w:rPr>
      </w:pPr>
    </w:p>
    <w:p>
      <w:pPr>
        <w:pStyle w:val="4"/>
        <w:jc w:val="both"/>
        <w:rPr>
          <w:rFonts w:ascii="宋体" w:hAnsi="宋体" w:cs="宋体"/>
          <w:sz w:val="52"/>
          <w:szCs w:val="52"/>
        </w:rPr>
      </w:pPr>
    </w:p>
    <w:p>
      <w:pPr>
        <w:pStyle w:val="4"/>
        <w:rPr>
          <w:rFonts w:ascii="宋体" w:hAnsi="宋体" w:cs="宋体"/>
          <w:sz w:val="52"/>
          <w:szCs w:val="52"/>
        </w:rPr>
      </w:pPr>
    </w:p>
    <w:p>
      <w:pPr>
        <w:pStyle w:val="4"/>
        <w:rPr>
          <w:rFonts w:ascii="宋体" w:hAnsi="宋体" w:cs="宋体"/>
          <w:szCs w:val="52"/>
        </w:rPr>
      </w:pPr>
      <w:r>
        <w:rPr>
          <w:rFonts w:hint="eastAsia" w:ascii="宋体" w:hAnsi="宋体" w:cs="宋体"/>
          <w:sz w:val="52"/>
          <w:szCs w:val="52"/>
        </w:rPr>
        <w:t>第七章</w:t>
      </w:r>
      <w:r>
        <w:rPr>
          <w:rFonts w:hint="eastAsia" w:ascii="宋体" w:hAnsi="宋体" w:cs="宋体"/>
          <w:sz w:val="52"/>
          <w:szCs w:val="52"/>
        </w:rPr>
        <w:tab/>
      </w:r>
      <w:r>
        <w:rPr>
          <w:rFonts w:hint="eastAsia" w:ascii="宋体" w:hAnsi="宋体" w:cs="宋体"/>
          <w:sz w:val="52"/>
          <w:szCs w:val="52"/>
        </w:rPr>
        <w:t xml:space="preserve"> 技术规范</w:t>
      </w:r>
      <w:bookmarkEnd w:id="188"/>
    </w:p>
    <w:p>
      <w:pPr>
        <w:rPr>
          <w:rFonts w:ascii="宋体" w:hAnsi="宋体" w:cs="宋体"/>
          <w:sz w:val="24"/>
        </w:rPr>
      </w:pPr>
    </w:p>
    <w:p>
      <w:pPr>
        <w:adjustRightInd w:val="0"/>
        <w:snapToGrid w:val="0"/>
        <w:spacing w:line="240" w:lineRule="exact"/>
        <w:rPr>
          <w:rFonts w:ascii="宋体" w:hAnsi="宋体" w:cs="宋体"/>
          <w:sz w:val="33"/>
          <w:szCs w:val="21"/>
        </w:rPr>
      </w:pPr>
    </w:p>
    <w:p>
      <w:pPr>
        <w:adjustRightInd w:val="0"/>
        <w:snapToGrid w:val="0"/>
        <w:spacing w:line="360" w:lineRule="auto"/>
        <w:jc w:val="center"/>
        <w:rPr>
          <w:rFonts w:ascii="宋体" w:hAnsi="宋体" w:cs="宋体"/>
          <w:sz w:val="33"/>
          <w:szCs w:val="21"/>
        </w:rPr>
      </w:pPr>
      <w:r>
        <w:rPr>
          <w:rFonts w:hint="eastAsia" w:ascii="宋体" w:hAnsi="宋体" w:cs="宋体"/>
          <w:sz w:val="33"/>
          <w:szCs w:val="21"/>
        </w:rPr>
        <w:t xml:space="preserve">  见《公路</w:t>
      </w:r>
      <w:r>
        <w:rPr>
          <w:rFonts w:hint="eastAsia" w:ascii="宋体" w:hAnsi="宋体" w:cs="宋体"/>
          <w:sz w:val="33"/>
          <w:szCs w:val="21"/>
          <w:lang w:eastAsia="zh-CN"/>
        </w:rPr>
        <w:t>交易文件</w:t>
      </w:r>
      <w:r>
        <w:rPr>
          <w:rFonts w:hint="eastAsia" w:ascii="宋体" w:hAnsi="宋体" w:cs="宋体"/>
          <w:sz w:val="33"/>
          <w:szCs w:val="21"/>
        </w:rPr>
        <w:t>范本》（2018年版）</w:t>
      </w:r>
    </w:p>
    <w:p>
      <w:pPr>
        <w:pStyle w:val="34"/>
        <w:tabs>
          <w:tab w:val="left" w:pos="1572"/>
        </w:tabs>
        <w:autoSpaceDE w:val="0"/>
        <w:autoSpaceDN w:val="0"/>
        <w:spacing w:line="440" w:lineRule="exact"/>
        <w:ind w:left="0" w:right="391" w:firstLine="482" w:firstLineChars="200"/>
        <w:jc w:val="left"/>
        <w:rPr>
          <w:b/>
          <w:bCs/>
          <w:sz w:val="24"/>
          <w:szCs w:val="24"/>
          <w:lang w:val="en-US"/>
        </w:rPr>
      </w:pPr>
      <w:r>
        <w:rPr>
          <w:rFonts w:hint="eastAsia"/>
          <w:b/>
          <w:bCs/>
          <w:sz w:val="24"/>
          <w:szCs w:val="24"/>
          <w:lang w:val="en-US"/>
        </w:rPr>
        <w:br w:type="page"/>
      </w:r>
    </w:p>
    <w:p>
      <w:pPr>
        <w:pStyle w:val="4"/>
        <w:rPr>
          <w:rFonts w:ascii="宋体" w:hAnsi="宋体" w:cs="宋体"/>
          <w:sz w:val="52"/>
          <w:szCs w:val="52"/>
        </w:rPr>
      </w:pPr>
    </w:p>
    <w:p>
      <w:pPr>
        <w:pStyle w:val="4"/>
        <w:rPr>
          <w:rFonts w:ascii="宋体" w:hAnsi="宋体" w:cs="宋体"/>
          <w:sz w:val="52"/>
          <w:szCs w:val="52"/>
        </w:rPr>
      </w:pPr>
    </w:p>
    <w:p>
      <w:pPr>
        <w:pStyle w:val="4"/>
        <w:rPr>
          <w:rFonts w:ascii="宋体" w:hAnsi="宋体" w:cs="宋体"/>
          <w:sz w:val="52"/>
          <w:szCs w:val="52"/>
        </w:rPr>
      </w:pPr>
    </w:p>
    <w:p>
      <w:pPr>
        <w:pStyle w:val="4"/>
        <w:rPr>
          <w:rFonts w:ascii="宋体" w:hAnsi="宋体" w:cs="宋体"/>
          <w:sz w:val="52"/>
          <w:szCs w:val="52"/>
        </w:rPr>
      </w:pPr>
    </w:p>
    <w:p>
      <w:pPr>
        <w:pStyle w:val="4"/>
        <w:rPr>
          <w:rFonts w:ascii="宋体" w:hAnsi="宋体" w:cs="宋体"/>
          <w:sz w:val="52"/>
          <w:szCs w:val="52"/>
        </w:rPr>
      </w:pPr>
    </w:p>
    <w:p>
      <w:pPr>
        <w:pStyle w:val="4"/>
        <w:rPr>
          <w:rFonts w:ascii="宋体" w:hAnsi="宋体" w:cs="宋体"/>
          <w:szCs w:val="52"/>
        </w:rPr>
      </w:pPr>
      <w:r>
        <w:rPr>
          <w:rFonts w:hint="eastAsia" w:ascii="宋体" w:hAnsi="宋体" w:cs="宋体"/>
          <w:sz w:val="52"/>
          <w:szCs w:val="52"/>
        </w:rPr>
        <w:t>第八章</w:t>
      </w:r>
      <w:r>
        <w:rPr>
          <w:rFonts w:hint="eastAsia" w:ascii="宋体" w:hAnsi="宋体" w:cs="宋体"/>
          <w:sz w:val="52"/>
          <w:szCs w:val="52"/>
        </w:rPr>
        <w:tab/>
      </w:r>
      <w:r>
        <w:rPr>
          <w:rFonts w:hint="eastAsia" w:ascii="宋体" w:hAnsi="宋体" w:cs="宋体"/>
          <w:sz w:val="52"/>
          <w:szCs w:val="52"/>
        </w:rPr>
        <w:t xml:space="preserve"> 工程量清单计量规则</w:t>
      </w:r>
    </w:p>
    <w:p>
      <w:pPr>
        <w:rPr>
          <w:rFonts w:ascii="宋体" w:hAnsi="宋体" w:cs="宋体"/>
          <w:sz w:val="24"/>
        </w:rPr>
      </w:pPr>
    </w:p>
    <w:p>
      <w:pPr>
        <w:adjustRightInd w:val="0"/>
        <w:snapToGrid w:val="0"/>
        <w:spacing w:line="240" w:lineRule="exact"/>
        <w:rPr>
          <w:rFonts w:ascii="宋体" w:hAnsi="宋体" w:cs="宋体"/>
          <w:sz w:val="33"/>
          <w:szCs w:val="21"/>
        </w:rPr>
      </w:pPr>
    </w:p>
    <w:p>
      <w:pPr>
        <w:adjustRightInd w:val="0"/>
        <w:snapToGrid w:val="0"/>
        <w:spacing w:line="360" w:lineRule="auto"/>
        <w:jc w:val="center"/>
        <w:rPr>
          <w:rFonts w:ascii="宋体" w:hAnsi="宋体" w:cs="宋体"/>
          <w:sz w:val="33"/>
          <w:szCs w:val="21"/>
        </w:rPr>
      </w:pPr>
      <w:r>
        <w:rPr>
          <w:rFonts w:hint="eastAsia" w:ascii="宋体" w:hAnsi="宋体" w:cs="宋体"/>
          <w:sz w:val="33"/>
          <w:szCs w:val="21"/>
        </w:rPr>
        <w:t xml:space="preserve">  见《公路</w:t>
      </w:r>
      <w:r>
        <w:rPr>
          <w:rFonts w:hint="eastAsia" w:ascii="宋体" w:hAnsi="宋体" w:cs="宋体"/>
          <w:sz w:val="33"/>
          <w:szCs w:val="21"/>
          <w:lang w:eastAsia="zh-CN"/>
        </w:rPr>
        <w:t>交易文件</w:t>
      </w:r>
      <w:r>
        <w:rPr>
          <w:rFonts w:hint="eastAsia" w:ascii="宋体" w:hAnsi="宋体" w:cs="宋体"/>
          <w:sz w:val="33"/>
          <w:szCs w:val="21"/>
        </w:rPr>
        <w:t>范本》（2018年版）</w:t>
      </w:r>
    </w:p>
    <w:p>
      <w:pPr>
        <w:pStyle w:val="34"/>
        <w:tabs>
          <w:tab w:val="left" w:pos="1572"/>
        </w:tabs>
        <w:autoSpaceDE w:val="0"/>
        <w:autoSpaceDN w:val="0"/>
        <w:spacing w:line="440" w:lineRule="exact"/>
        <w:ind w:left="0" w:right="391" w:firstLineChars="200"/>
        <w:jc w:val="left"/>
        <w:rPr>
          <w:sz w:val="24"/>
          <w:szCs w:val="24"/>
          <w:lang w:val="en-US"/>
        </w:rPr>
      </w:pPr>
      <w:r>
        <w:rPr>
          <w:rFonts w:hint="eastAsia"/>
          <w:sz w:val="24"/>
          <w:szCs w:val="24"/>
          <w:lang w:val="en-US"/>
        </w:rPr>
        <w:br w:type="page"/>
      </w:r>
    </w:p>
    <w:p>
      <w:pPr>
        <w:pStyle w:val="4"/>
        <w:rPr>
          <w:rFonts w:ascii="宋体" w:hAnsi="宋体" w:cs="宋体"/>
          <w:sz w:val="52"/>
          <w:szCs w:val="52"/>
        </w:rPr>
      </w:pPr>
    </w:p>
    <w:p>
      <w:pPr>
        <w:pStyle w:val="4"/>
        <w:rPr>
          <w:rFonts w:ascii="宋体" w:hAnsi="宋体" w:cs="宋体"/>
          <w:sz w:val="52"/>
          <w:szCs w:val="52"/>
        </w:rPr>
      </w:pPr>
    </w:p>
    <w:p>
      <w:pPr>
        <w:pStyle w:val="4"/>
        <w:rPr>
          <w:rFonts w:ascii="宋体" w:hAnsi="宋体" w:cs="宋体"/>
          <w:sz w:val="52"/>
          <w:szCs w:val="52"/>
        </w:rPr>
      </w:pPr>
    </w:p>
    <w:p>
      <w:pPr>
        <w:pStyle w:val="4"/>
        <w:rPr>
          <w:rFonts w:ascii="宋体" w:hAnsi="宋体" w:cs="宋体"/>
          <w:sz w:val="52"/>
          <w:szCs w:val="52"/>
        </w:rPr>
      </w:pPr>
    </w:p>
    <w:p>
      <w:pPr>
        <w:pStyle w:val="4"/>
        <w:rPr>
          <w:rFonts w:ascii="宋体" w:hAnsi="宋体" w:cs="宋体"/>
          <w:sz w:val="52"/>
          <w:szCs w:val="52"/>
        </w:rPr>
      </w:pPr>
    </w:p>
    <w:p>
      <w:pPr>
        <w:pStyle w:val="4"/>
        <w:rPr>
          <w:rFonts w:ascii="宋体" w:hAnsi="宋体" w:cs="宋体"/>
          <w:sz w:val="52"/>
          <w:szCs w:val="52"/>
        </w:rPr>
      </w:pPr>
      <w:r>
        <w:rPr>
          <w:rFonts w:hint="eastAsia" w:ascii="宋体" w:hAnsi="宋体" w:cs="宋体"/>
          <w:sz w:val="52"/>
          <w:szCs w:val="52"/>
        </w:rPr>
        <w:t>第九章</w:t>
      </w:r>
      <w:r>
        <w:rPr>
          <w:rFonts w:hint="eastAsia" w:ascii="宋体" w:hAnsi="宋体" w:cs="宋体"/>
          <w:sz w:val="52"/>
          <w:szCs w:val="52"/>
        </w:rPr>
        <w:tab/>
      </w:r>
      <w:r>
        <w:rPr>
          <w:rFonts w:hint="eastAsia" w:ascii="宋体" w:hAnsi="宋体" w:cs="宋体"/>
          <w:sz w:val="52"/>
          <w:szCs w:val="52"/>
        </w:rPr>
        <w:t xml:space="preserve"> </w:t>
      </w:r>
      <w:r>
        <w:rPr>
          <w:rFonts w:hint="eastAsia" w:ascii="宋体" w:hAnsi="宋体" w:cs="宋体"/>
          <w:sz w:val="52"/>
          <w:szCs w:val="52"/>
          <w:lang w:eastAsia="zh-CN"/>
        </w:rPr>
        <w:t>交易响应文件</w:t>
      </w:r>
      <w:r>
        <w:rPr>
          <w:rFonts w:hint="eastAsia" w:ascii="宋体" w:hAnsi="宋体" w:cs="宋体"/>
          <w:sz w:val="52"/>
          <w:szCs w:val="52"/>
        </w:rPr>
        <w:t>格式</w:t>
      </w:r>
    </w:p>
    <w:p/>
    <w:p>
      <w:pPr>
        <w:pStyle w:val="34"/>
        <w:tabs>
          <w:tab w:val="left" w:pos="1572"/>
        </w:tabs>
        <w:autoSpaceDE w:val="0"/>
        <w:autoSpaceDN w:val="0"/>
        <w:spacing w:line="440" w:lineRule="exact"/>
        <w:ind w:left="0" w:right="391" w:firstLineChars="200"/>
        <w:jc w:val="left"/>
        <w:rPr>
          <w:sz w:val="24"/>
          <w:szCs w:val="24"/>
          <w:lang w:val="en-US"/>
        </w:rPr>
      </w:pPr>
      <w:r>
        <w:rPr>
          <w:rFonts w:hint="eastAsia"/>
          <w:sz w:val="24"/>
          <w:szCs w:val="24"/>
          <w:lang w:val="en-US"/>
        </w:rPr>
        <w:br w:type="page"/>
      </w:r>
    </w:p>
    <w:p>
      <w:pPr>
        <w:rPr>
          <w:rFonts w:ascii="宋体" w:hAnsi="宋体" w:cs="宋体"/>
          <w:sz w:val="24"/>
        </w:rPr>
      </w:pPr>
      <w:r>
        <w:rPr>
          <w:rFonts w:hint="eastAsia" w:ascii="宋体" w:hAnsi="宋体" w:cs="宋体"/>
          <w:sz w:val="24"/>
        </w:rPr>
        <w:t xml:space="preserve">                                 </w:t>
      </w:r>
    </w:p>
    <w:p>
      <w:pPr>
        <w:rPr>
          <w:rFonts w:ascii="宋体" w:hAnsi="宋体" w:cs="宋体"/>
          <w:sz w:val="24"/>
        </w:rPr>
      </w:pPr>
    </w:p>
    <w:p>
      <w:pPr>
        <w:rPr>
          <w:rFonts w:ascii="宋体" w:hAnsi="宋体" w:cs="宋体"/>
          <w:sz w:val="24"/>
        </w:rPr>
      </w:pPr>
    </w:p>
    <w:p>
      <w:pPr>
        <w:rPr>
          <w:rFonts w:ascii="宋体" w:hAnsi="宋体" w:cs="宋体"/>
          <w:sz w:val="24"/>
        </w:rPr>
      </w:pPr>
    </w:p>
    <w:p>
      <w:pPr>
        <w:pStyle w:val="10"/>
        <w:tabs>
          <w:tab w:val="left" w:pos="2212"/>
          <w:tab w:val="left" w:pos="4918"/>
        </w:tabs>
        <w:spacing w:before="74"/>
        <w:ind w:right="293"/>
        <w:jc w:val="center"/>
        <w:rPr>
          <w:rFonts w:ascii="黑体" w:eastAsia="黑体"/>
        </w:rPr>
      </w:pPr>
      <w:r>
        <w:rPr>
          <w:rFonts w:eastAsia="Times New Roman"/>
          <w:u w:val="single"/>
        </w:rPr>
        <w:tab/>
      </w:r>
      <w:r>
        <w:rPr>
          <w:rFonts w:eastAsia="Times New Roman"/>
          <w:spacing w:val="5"/>
        </w:rPr>
        <w:t xml:space="preserve"> </w:t>
      </w:r>
      <w:r>
        <w:rPr>
          <w:rFonts w:hint="eastAsia" w:ascii="黑体" w:eastAsia="黑体"/>
        </w:rPr>
        <w:t>（项目名称）</w:t>
      </w:r>
      <w:r>
        <w:rPr>
          <w:rFonts w:hint="eastAsia" w:ascii="黑体" w:eastAsia="黑体"/>
          <w:u w:val="single"/>
        </w:rPr>
        <w:t xml:space="preserve"> </w:t>
      </w:r>
      <w:r>
        <w:rPr>
          <w:rFonts w:hint="eastAsia" w:ascii="黑体" w:eastAsia="黑体"/>
          <w:u w:val="single"/>
        </w:rPr>
        <w:tab/>
      </w:r>
      <w:r>
        <w:rPr>
          <w:rFonts w:hint="eastAsia" w:ascii="黑体" w:eastAsia="黑体"/>
        </w:rPr>
        <w:t>标段施工招标</w:t>
      </w:r>
    </w:p>
    <w:p>
      <w:pPr>
        <w:spacing w:line="360" w:lineRule="auto"/>
        <w:ind w:firstLine="880" w:firstLineChars="200"/>
        <w:rPr>
          <w:rFonts w:ascii="宋体" w:hAnsi="宋体" w:cs="宋体"/>
          <w:sz w:val="44"/>
          <w:szCs w:val="44"/>
        </w:rPr>
      </w:pPr>
      <w:r>
        <w:rPr>
          <w:rFonts w:hint="eastAsia" w:ascii="宋体" w:hAnsi="宋体" w:cs="宋体"/>
          <w:sz w:val="44"/>
          <w:szCs w:val="44"/>
        </w:rPr>
        <w:t xml:space="preserve">       </w:t>
      </w:r>
    </w:p>
    <w:p>
      <w:pPr>
        <w:spacing w:line="360" w:lineRule="auto"/>
        <w:ind w:firstLine="420" w:firstLineChars="200"/>
        <w:rPr>
          <w:rFonts w:ascii="宋体" w:hAnsi="宋体" w:cs="宋体"/>
        </w:rPr>
      </w:pPr>
      <w:r>
        <w:rPr>
          <w:rFonts w:hint="eastAsia" w:ascii="宋体" w:hAnsi="宋体" w:cs="宋体"/>
        </w:rPr>
        <w:t xml:space="preserve"> </w:t>
      </w:r>
    </w:p>
    <w:p>
      <w:pPr>
        <w:spacing w:line="360" w:lineRule="auto"/>
        <w:rPr>
          <w:rFonts w:ascii="宋体" w:hAnsi="宋体" w:cs="宋体"/>
          <w:b/>
          <w:sz w:val="52"/>
        </w:rPr>
      </w:pPr>
    </w:p>
    <w:p>
      <w:pPr>
        <w:spacing w:line="360" w:lineRule="auto"/>
        <w:jc w:val="center"/>
        <w:rPr>
          <w:rFonts w:ascii="宋体" w:hAnsi="宋体" w:cs="宋体"/>
          <w:b/>
          <w:sz w:val="72"/>
        </w:rPr>
      </w:pPr>
    </w:p>
    <w:p>
      <w:pPr>
        <w:spacing w:line="360" w:lineRule="auto"/>
        <w:jc w:val="center"/>
        <w:rPr>
          <w:rFonts w:ascii="宋体" w:hAnsi="宋体" w:cs="宋体"/>
          <w:b/>
          <w:sz w:val="72"/>
        </w:rPr>
      </w:pPr>
      <w:r>
        <w:rPr>
          <w:rFonts w:hint="eastAsia" w:ascii="宋体" w:hAnsi="宋体" w:cs="宋体"/>
          <w:b/>
          <w:sz w:val="72"/>
        </w:rPr>
        <w:t>投 标 文 件</w:t>
      </w:r>
    </w:p>
    <w:p>
      <w:pPr>
        <w:spacing w:line="360" w:lineRule="auto"/>
        <w:jc w:val="center"/>
        <w:rPr>
          <w:rFonts w:ascii="宋体" w:hAnsi="宋体" w:cs="宋体"/>
          <w:b/>
          <w:sz w:val="32"/>
        </w:rPr>
      </w:pPr>
      <w:r>
        <w:rPr>
          <w:rFonts w:hint="eastAsia" w:ascii="宋体" w:hAnsi="宋体" w:cs="宋体"/>
          <w:b/>
          <w:sz w:val="32"/>
        </w:rPr>
        <w:t>（商务及技术文件）</w:t>
      </w:r>
    </w:p>
    <w:p>
      <w:pPr>
        <w:spacing w:line="360" w:lineRule="auto"/>
        <w:rPr>
          <w:rFonts w:ascii="宋体" w:hAnsi="宋体" w:cs="宋体"/>
          <w:b/>
          <w:sz w:val="32"/>
        </w:rPr>
      </w:pPr>
    </w:p>
    <w:p>
      <w:pPr>
        <w:spacing w:line="360" w:lineRule="auto"/>
        <w:rPr>
          <w:rFonts w:ascii="宋体" w:hAnsi="宋体" w:cs="宋体"/>
          <w:b/>
          <w:sz w:val="32"/>
        </w:rPr>
      </w:pPr>
    </w:p>
    <w:p>
      <w:pPr>
        <w:spacing w:line="360" w:lineRule="auto"/>
        <w:rPr>
          <w:rFonts w:ascii="宋体" w:hAnsi="宋体" w:cs="宋体"/>
          <w:b/>
          <w:sz w:val="32"/>
        </w:rPr>
      </w:pPr>
    </w:p>
    <w:p>
      <w:pPr>
        <w:spacing w:line="360" w:lineRule="auto"/>
        <w:rPr>
          <w:rFonts w:ascii="宋体" w:hAnsi="宋体" w:cs="宋体"/>
          <w:b/>
          <w:sz w:val="32"/>
        </w:rPr>
      </w:pPr>
    </w:p>
    <w:p>
      <w:pPr>
        <w:spacing w:line="360" w:lineRule="auto"/>
        <w:jc w:val="center"/>
        <w:rPr>
          <w:rFonts w:ascii="宋体" w:hAnsi="宋体" w:cs="宋体"/>
          <w:sz w:val="36"/>
          <w:szCs w:val="36"/>
          <w:u w:val="single"/>
        </w:rPr>
      </w:pPr>
      <w:r>
        <w:rPr>
          <w:rFonts w:hint="eastAsia" w:ascii="宋体" w:hAnsi="宋体" w:cs="宋体"/>
          <w:sz w:val="36"/>
          <w:szCs w:val="36"/>
          <w:lang w:eastAsia="zh-CN"/>
        </w:rPr>
        <w:t>交易响应单位</w:t>
      </w:r>
      <w:r>
        <w:rPr>
          <w:rFonts w:hint="eastAsia" w:ascii="宋体" w:hAnsi="宋体" w:cs="宋体"/>
          <w:sz w:val="36"/>
          <w:szCs w:val="36"/>
        </w:rPr>
        <w:t>：</w:t>
      </w:r>
      <w:r>
        <w:rPr>
          <w:rFonts w:hint="eastAsia" w:ascii="宋体" w:hAnsi="宋体" w:cs="宋体"/>
          <w:sz w:val="36"/>
          <w:szCs w:val="36"/>
          <w:u w:val="single"/>
        </w:rPr>
        <w:t xml:space="preserve">    （盖单位章）    </w:t>
      </w:r>
    </w:p>
    <w:p>
      <w:pPr>
        <w:spacing w:line="360" w:lineRule="auto"/>
        <w:jc w:val="center"/>
        <w:rPr>
          <w:rFonts w:ascii="宋体" w:hAnsi="宋体" w:cs="宋体"/>
          <w:sz w:val="36"/>
          <w:szCs w:val="36"/>
        </w:rPr>
      </w:pPr>
      <w:r>
        <w:rPr>
          <w:rFonts w:hint="eastAsia" w:ascii="宋体" w:hAnsi="宋体" w:cs="宋体"/>
          <w:sz w:val="36"/>
          <w:szCs w:val="36"/>
        </w:rPr>
        <w:t xml:space="preserve">      </w:t>
      </w:r>
      <w:r>
        <w:rPr>
          <w:rFonts w:hint="eastAsia" w:ascii="宋体" w:hAnsi="宋体" w:cs="宋体"/>
          <w:sz w:val="36"/>
          <w:szCs w:val="36"/>
          <w:u w:val="single"/>
        </w:rPr>
        <w:t xml:space="preserve">         </w:t>
      </w:r>
      <w:r>
        <w:rPr>
          <w:rFonts w:hint="eastAsia" w:ascii="宋体" w:hAnsi="宋体" w:cs="宋体"/>
          <w:sz w:val="36"/>
          <w:szCs w:val="36"/>
        </w:rPr>
        <w:t>年</w:t>
      </w:r>
      <w:r>
        <w:rPr>
          <w:rFonts w:hint="eastAsia" w:ascii="宋体" w:hAnsi="宋体" w:cs="宋体"/>
          <w:sz w:val="36"/>
          <w:szCs w:val="36"/>
          <w:u w:val="single"/>
        </w:rPr>
        <w:t xml:space="preserve">      </w:t>
      </w:r>
      <w:r>
        <w:rPr>
          <w:rFonts w:hint="eastAsia" w:ascii="宋体" w:hAnsi="宋体" w:cs="宋体"/>
          <w:sz w:val="36"/>
          <w:szCs w:val="36"/>
        </w:rPr>
        <w:t>月</w:t>
      </w:r>
      <w:r>
        <w:rPr>
          <w:rFonts w:hint="eastAsia" w:ascii="宋体" w:hAnsi="宋体" w:cs="宋体"/>
          <w:sz w:val="36"/>
          <w:szCs w:val="36"/>
          <w:u w:val="single"/>
        </w:rPr>
        <w:t xml:space="preserve">    </w:t>
      </w:r>
      <w:r>
        <w:rPr>
          <w:rFonts w:hint="eastAsia" w:ascii="宋体" w:hAnsi="宋体" w:cs="宋体"/>
          <w:sz w:val="36"/>
          <w:szCs w:val="36"/>
        </w:rPr>
        <w:t>日</w:t>
      </w:r>
    </w:p>
    <w:p>
      <w:pPr>
        <w:rPr>
          <w:rFonts w:ascii="宋体" w:hAnsi="宋体" w:cs="宋体"/>
          <w:sz w:val="24"/>
        </w:rPr>
      </w:pPr>
    </w:p>
    <w:p>
      <w:pPr>
        <w:jc w:val="center"/>
        <w:rPr>
          <w:rFonts w:ascii="宋体" w:hAnsi="宋体" w:cs="宋体"/>
          <w:b/>
          <w:sz w:val="44"/>
        </w:rPr>
      </w:pPr>
    </w:p>
    <w:p>
      <w:pPr>
        <w:rPr>
          <w:rFonts w:ascii="宋体" w:hAnsi="宋体" w:cs="宋体"/>
          <w:b/>
          <w:sz w:val="44"/>
        </w:rPr>
      </w:pPr>
    </w:p>
    <w:p>
      <w:pPr>
        <w:jc w:val="center"/>
        <w:rPr>
          <w:rFonts w:ascii="宋体" w:hAnsi="宋体" w:cs="宋体"/>
          <w:b/>
          <w:sz w:val="36"/>
        </w:rPr>
      </w:pPr>
      <w:r>
        <w:rPr>
          <w:rFonts w:hint="eastAsia" w:ascii="宋体" w:hAnsi="宋体" w:cs="宋体"/>
          <w:b/>
          <w:sz w:val="36"/>
        </w:rPr>
        <w:br w:type="page"/>
      </w:r>
    </w:p>
    <w:p>
      <w:pPr>
        <w:jc w:val="center"/>
        <w:rPr>
          <w:rFonts w:ascii="宋体" w:hAnsi="宋体" w:cs="宋体"/>
          <w:b/>
          <w:sz w:val="36"/>
        </w:rPr>
      </w:pPr>
      <w:r>
        <w:rPr>
          <w:rFonts w:hint="eastAsia" w:ascii="宋体" w:hAnsi="宋体" w:cs="宋体"/>
          <w:b/>
          <w:sz w:val="36"/>
        </w:rPr>
        <w:t>目</w:t>
      </w:r>
      <w:r>
        <w:rPr>
          <w:rFonts w:hint="eastAsia" w:ascii="宋体" w:hAnsi="宋体" w:cs="宋体"/>
          <w:b/>
          <w:sz w:val="36"/>
        </w:rPr>
        <w:tab/>
      </w:r>
      <w:r>
        <w:rPr>
          <w:rFonts w:hint="eastAsia" w:ascii="宋体" w:hAnsi="宋体" w:cs="宋体"/>
          <w:b/>
          <w:sz w:val="36"/>
        </w:rPr>
        <w:t xml:space="preserve">   录</w:t>
      </w:r>
    </w:p>
    <w:p>
      <w:pPr>
        <w:spacing w:line="500" w:lineRule="exact"/>
        <w:rPr>
          <w:rFonts w:ascii="宋体" w:hAnsi="宋体" w:cs="宋体"/>
          <w:sz w:val="24"/>
        </w:rPr>
      </w:pPr>
    </w:p>
    <w:p>
      <w:pPr>
        <w:spacing w:line="500" w:lineRule="exact"/>
        <w:ind w:firstLine="1054" w:firstLineChars="500"/>
        <w:rPr>
          <w:rFonts w:ascii="宋体" w:hAnsi="宋体" w:cs="宋体"/>
          <w:b/>
          <w:bCs/>
          <w:szCs w:val="21"/>
        </w:rPr>
      </w:pPr>
      <w:r>
        <w:rPr>
          <w:rFonts w:hint="eastAsia" w:ascii="宋体" w:hAnsi="宋体" w:cs="宋体"/>
          <w:b/>
          <w:bCs/>
          <w:szCs w:val="21"/>
        </w:rPr>
        <w:t>一、投标函及投标函附录</w:t>
      </w:r>
    </w:p>
    <w:p>
      <w:pPr>
        <w:spacing w:line="500" w:lineRule="exact"/>
        <w:ind w:firstLine="1054" w:firstLineChars="500"/>
        <w:rPr>
          <w:rFonts w:ascii="宋体" w:hAnsi="宋体" w:cs="宋体"/>
          <w:b/>
          <w:bCs/>
          <w:szCs w:val="21"/>
        </w:rPr>
      </w:pPr>
      <w:r>
        <w:rPr>
          <w:rFonts w:hint="eastAsia" w:ascii="宋体" w:hAnsi="宋体" w:cs="宋体"/>
          <w:b/>
          <w:bCs/>
          <w:szCs w:val="21"/>
        </w:rPr>
        <w:t>二、授权委托书或法定代表人身份证明</w:t>
      </w:r>
    </w:p>
    <w:p>
      <w:pPr>
        <w:spacing w:line="500" w:lineRule="exact"/>
        <w:ind w:firstLine="1054" w:firstLineChars="500"/>
        <w:rPr>
          <w:rFonts w:hint="eastAsia" w:ascii="宋体" w:hAnsi="宋体" w:eastAsia="宋体" w:cs="宋体"/>
          <w:b/>
          <w:bCs/>
          <w:szCs w:val="21"/>
          <w:lang w:eastAsia="zh-CN"/>
        </w:rPr>
      </w:pPr>
      <w:r>
        <w:rPr>
          <w:rFonts w:hint="eastAsia" w:ascii="宋体" w:hAnsi="宋体" w:cs="宋体"/>
          <w:b/>
          <w:bCs/>
          <w:szCs w:val="21"/>
        </w:rPr>
        <w:t>三、</w:t>
      </w:r>
      <w:r>
        <w:rPr>
          <w:rFonts w:hint="eastAsia" w:ascii="宋体" w:hAnsi="宋体" w:cs="宋体"/>
          <w:b/>
          <w:bCs/>
          <w:szCs w:val="21"/>
          <w:lang w:eastAsia="zh-CN"/>
        </w:rPr>
        <w:t>交易保证金</w:t>
      </w:r>
    </w:p>
    <w:p>
      <w:pPr>
        <w:spacing w:line="500" w:lineRule="exact"/>
        <w:ind w:firstLine="1054" w:firstLineChars="500"/>
        <w:rPr>
          <w:rFonts w:ascii="宋体" w:hAnsi="宋体" w:cs="宋体"/>
          <w:b/>
          <w:bCs/>
          <w:szCs w:val="21"/>
        </w:rPr>
      </w:pPr>
      <w:r>
        <w:rPr>
          <w:rFonts w:hint="eastAsia" w:ascii="宋体" w:hAnsi="宋体" w:cs="宋体"/>
          <w:b/>
          <w:bCs/>
          <w:szCs w:val="21"/>
        </w:rPr>
        <w:t>四、施工组织设计</w:t>
      </w:r>
    </w:p>
    <w:p>
      <w:pPr>
        <w:spacing w:line="500" w:lineRule="exact"/>
        <w:ind w:firstLine="1054" w:firstLineChars="500"/>
        <w:rPr>
          <w:rFonts w:ascii="宋体" w:hAnsi="宋体" w:cs="宋体"/>
          <w:b/>
          <w:bCs/>
          <w:szCs w:val="21"/>
        </w:rPr>
      </w:pPr>
      <w:r>
        <w:rPr>
          <w:rFonts w:hint="eastAsia" w:ascii="宋体" w:hAnsi="宋体" w:cs="宋体"/>
          <w:b/>
          <w:bCs/>
          <w:szCs w:val="21"/>
        </w:rPr>
        <w:t>五、项目管理机构</w:t>
      </w:r>
    </w:p>
    <w:p>
      <w:pPr>
        <w:spacing w:line="500" w:lineRule="exact"/>
        <w:ind w:firstLine="1054" w:firstLineChars="500"/>
        <w:rPr>
          <w:rFonts w:ascii="宋体" w:hAnsi="宋体" w:cs="宋体"/>
          <w:b/>
          <w:bCs/>
          <w:szCs w:val="21"/>
        </w:rPr>
      </w:pPr>
      <w:r>
        <w:rPr>
          <w:rFonts w:hint="eastAsia" w:ascii="宋体" w:hAnsi="宋体" w:cs="宋体"/>
          <w:b/>
          <w:bCs/>
          <w:szCs w:val="21"/>
        </w:rPr>
        <w:t>六、资格审查资料</w:t>
      </w:r>
    </w:p>
    <w:p>
      <w:pPr>
        <w:spacing w:line="500" w:lineRule="exact"/>
        <w:rPr>
          <w:rFonts w:ascii="宋体" w:hAnsi="宋体" w:cs="宋体"/>
          <w:b/>
          <w:bCs/>
          <w:sz w:val="24"/>
        </w:rPr>
        <w:sectPr>
          <w:headerReference r:id="rId10" w:type="default"/>
          <w:footerReference r:id="rId11" w:type="default"/>
          <w:footnotePr>
            <w:numFmt w:val="decimalEnclosedCircleChinese"/>
            <w:numRestart w:val="eachPage"/>
          </w:footnotePr>
          <w:pgSz w:w="11911" w:h="16849"/>
          <w:pgMar w:top="1480" w:right="1202" w:bottom="1480" w:left="1219" w:header="879" w:footer="850" w:gutter="0"/>
          <w:pgBorders>
            <w:top w:val="none" w:sz="0" w:space="0"/>
            <w:left w:val="none" w:sz="0" w:space="0"/>
            <w:bottom w:val="none" w:sz="0" w:space="0"/>
            <w:right w:val="none" w:sz="0" w:space="0"/>
          </w:pgBorders>
          <w:cols w:space="425" w:num="1"/>
          <w:docGrid w:linePitch="286" w:charSpace="0"/>
        </w:sectPr>
      </w:pPr>
      <w:r>
        <w:rPr>
          <w:rFonts w:hint="eastAsia" w:ascii="宋体" w:hAnsi="宋体" w:cs="宋体"/>
          <w:b/>
          <w:bCs/>
          <w:szCs w:val="21"/>
        </w:rPr>
        <w:t xml:space="preserve">          七、其他材料</w:t>
      </w:r>
    </w:p>
    <w:p>
      <w:pPr>
        <w:pStyle w:val="4"/>
        <w:spacing w:beforeLines="50" w:line="360" w:lineRule="exact"/>
        <w:rPr>
          <w:rFonts w:ascii="宋体" w:hAnsi="宋体" w:cs="宋体"/>
          <w:sz w:val="36"/>
          <w:szCs w:val="36"/>
        </w:rPr>
      </w:pPr>
      <w:bookmarkStart w:id="189" w:name="_Toc13664"/>
      <w:bookmarkStart w:id="190" w:name="_Toc234382957"/>
      <w:bookmarkStart w:id="191" w:name="_Toc432367772"/>
      <w:r>
        <w:rPr>
          <w:rFonts w:hint="eastAsia" w:ascii="宋体" w:hAnsi="宋体" w:cs="宋体"/>
          <w:sz w:val="36"/>
          <w:szCs w:val="36"/>
        </w:rPr>
        <w:t>一、投标函及投标函附录</w:t>
      </w:r>
      <w:bookmarkEnd w:id="189"/>
      <w:bookmarkEnd w:id="190"/>
      <w:bookmarkEnd w:id="191"/>
    </w:p>
    <w:p>
      <w:pPr>
        <w:pStyle w:val="4"/>
        <w:spacing w:beforeLines="50" w:line="240" w:lineRule="auto"/>
        <w:rPr>
          <w:rFonts w:ascii="宋体" w:hAnsi="宋体" w:cs="宋体"/>
          <w:sz w:val="18"/>
          <w:szCs w:val="18"/>
        </w:rPr>
      </w:pPr>
      <w:bookmarkStart w:id="192" w:name="_Toc234382958"/>
    </w:p>
    <w:p>
      <w:pPr>
        <w:pStyle w:val="4"/>
        <w:spacing w:beforeLines="50" w:line="240" w:lineRule="auto"/>
        <w:rPr>
          <w:rFonts w:ascii="宋体" w:hAnsi="宋体" w:cs="宋体"/>
          <w:b w:val="0"/>
          <w:sz w:val="30"/>
        </w:rPr>
      </w:pPr>
      <w:bookmarkStart w:id="193" w:name="_Toc432367773"/>
      <w:bookmarkStart w:id="194" w:name="_Toc15658"/>
      <w:r>
        <w:rPr>
          <w:rFonts w:hint="eastAsia" w:ascii="宋体" w:hAnsi="宋体" w:cs="宋体"/>
          <w:b w:val="0"/>
          <w:sz w:val="30"/>
        </w:rPr>
        <w:t>（一）投标函</w:t>
      </w:r>
      <w:bookmarkEnd w:id="192"/>
      <w:bookmarkEnd w:id="193"/>
      <w:bookmarkEnd w:id="194"/>
    </w:p>
    <w:p>
      <w:pPr>
        <w:rPr>
          <w:rFonts w:ascii="宋体" w:hAnsi="宋体" w:cs="宋体"/>
          <w:sz w:val="24"/>
          <w:u w:val="single"/>
        </w:rPr>
      </w:pPr>
    </w:p>
    <w:p>
      <w:pPr>
        <w:spacing w:line="320" w:lineRule="exact"/>
      </w:pPr>
      <w:r>
        <w:rPr>
          <w:rFonts w:hint="eastAsia" w:ascii="宋体" w:hAnsi="宋体" w:cs="宋体"/>
          <w:szCs w:val="21"/>
        </w:rPr>
        <w:t>致：</w:t>
      </w:r>
      <w:r>
        <w:rPr>
          <w:rFonts w:hint="eastAsia" w:ascii="宋体" w:hAnsi="宋体" w:cs="宋体"/>
          <w:szCs w:val="21"/>
          <w:u w:val="single"/>
        </w:rPr>
        <w:t xml:space="preserve">   （招标人全称）   </w:t>
      </w:r>
      <w:r>
        <w:rPr>
          <w:rFonts w:eastAsia="Times New Roman"/>
          <w:u w:val="single"/>
        </w:rPr>
        <w:tab/>
      </w:r>
      <w:r>
        <w:t>（招标人名称</w:t>
      </w:r>
      <w:r>
        <w:rPr>
          <w:spacing w:val="-120"/>
        </w:rPr>
        <w:t>）</w:t>
      </w:r>
      <w:r>
        <w:t>：</w:t>
      </w:r>
    </w:p>
    <w:p>
      <w:pPr>
        <w:pStyle w:val="34"/>
        <w:numPr>
          <w:ilvl w:val="0"/>
          <w:numId w:val="2"/>
        </w:numPr>
        <w:tabs>
          <w:tab w:val="left" w:pos="1066"/>
        </w:tabs>
        <w:spacing w:before="1"/>
        <w:ind w:left="1065"/>
        <w:rPr>
          <w:sz w:val="24"/>
        </w:rPr>
      </w:pPr>
      <w:r>
        <w:rPr>
          <w:rFonts w:ascii="宋体" w:hAnsi="宋体"/>
          <w:color w:val="000000"/>
          <w:sz w:val="24"/>
          <w:szCs w:val="24"/>
        </w:rPr>
        <w:t>1</w:t>
      </w:r>
      <w:r>
        <w:rPr>
          <w:rFonts w:hint="eastAsia" w:ascii="宋体" w:hAnsi="宋体"/>
          <w:color w:val="000000"/>
          <w:sz w:val="24"/>
          <w:szCs w:val="24"/>
        </w:rPr>
        <w:t>.</w:t>
      </w:r>
      <w:r>
        <w:rPr>
          <w:rFonts w:ascii="宋体" w:hAnsi="宋体"/>
          <w:color w:val="000000"/>
          <w:sz w:val="24"/>
          <w:szCs w:val="24"/>
        </w:rPr>
        <w:t>我方已仔细研究</w:t>
      </w:r>
      <w:r>
        <w:rPr>
          <w:rFonts w:ascii="宋体" w:hAnsi="宋体"/>
          <w:color w:val="000000"/>
          <w:sz w:val="24"/>
          <w:szCs w:val="24"/>
          <w:u w:val="single"/>
        </w:rPr>
        <w:t>了</w:t>
      </w:r>
      <w:r>
        <w:rPr>
          <w:rFonts w:hint="eastAsia" w:ascii="宋体" w:hAnsi="宋体"/>
          <w:color w:val="000000"/>
          <w:sz w:val="24"/>
          <w:szCs w:val="24"/>
          <w:u w:val="single"/>
        </w:rPr>
        <w:t xml:space="preserve">   （项目名称）    </w:t>
      </w:r>
      <w:r>
        <w:rPr>
          <w:rFonts w:hint="eastAsia" w:ascii="宋体" w:hAnsi="宋体"/>
          <w:color w:val="000000"/>
          <w:sz w:val="24"/>
          <w:szCs w:val="24"/>
        </w:rPr>
        <w:t>施工招标文件</w:t>
      </w:r>
      <w:r>
        <w:rPr>
          <w:rFonts w:ascii="宋体" w:hAnsi="宋体"/>
          <w:color w:val="000000"/>
          <w:sz w:val="24"/>
          <w:szCs w:val="24"/>
        </w:rPr>
        <w:t>的全部内容</w:t>
      </w:r>
      <w:r>
        <w:rPr>
          <w:rFonts w:hint="eastAsia" w:ascii="宋体" w:hAnsi="宋体"/>
          <w:color w:val="000000"/>
          <w:sz w:val="24"/>
          <w:szCs w:val="24"/>
        </w:rPr>
        <w:t>（含补遗书第</w:t>
      </w:r>
      <w:r>
        <w:rPr>
          <w:rFonts w:hint="eastAsia" w:ascii="宋体" w:hAnsi="宋体"/>
          <w:color w:val="000000"/>
          <w:sz w:val="24"/>
          <w:szCs w:val="24"/>
          <w:u w:val="single"/>
        </w:rPr>
        <w:t xml:space="preserve">  </w:t>
      </w:r>
      <w:r>
        <w:rPr>
          <w:rFonts w:hint="eastAsia" w:ascii="宋体" w:hAnsi="宋体"/>
          <w:color w:val="000000"/>
          <w:sz w:val="24"/>
          <w:szCs w:val="24"/>
        </w:rPr>
        <w:t>号至第</w:t>
      </w:r>
      <w:r>
        <w:rPr>
          <w:rFonts w:hint="eastAsia" w:ascii="宋体" w:hAnsi="宋体"/>
          <w:color w:val="000000"/>
          <w:sz w:val="24"/>
          <w:szCs w:val="24"/>
          <w:u w:val="single"/>
        </w:rPr>
        <w:t xml:space="preserve">  </w:t>
      </w:r>
      <w:r>
        <w:rPr>
          <w:rFonts w:hint="eastAsia" w:ascii="宋体" w:hAnsi="宋体"/>
          <w:color w:val="000000"/>
          <w:sz w:val="24"/>
          <w:szCs w:val="24"/>
        </w:rPr>
        <w:t>号）</w:t>
      </w:r>
      <w:r>
        <w:rPr>
          <w:rFonts w:ascii="宋体" w:hAnsi="宋体"/>
          <w:color w:val="000000"/>
          <w:sz w:val="24"/>
          <w:szCs w:val="24"/>
        </w:rPr>
        <w:t>，</w:t>
      </w:r>
      <w:r>
        <w:rPr>
          <w:rFonts w:hint="eastAsia" w:ascii="宋体" w:hAnsi="宋体"/>
          <w:color w:val="000000"/>
          <w:sz w:val="24"/>
          <w:szCs w:val="24"/>
        </w:rPr>
        <w:t>在考察工程现场后，</w:t>
      </w:r>
      <w:r>
        <w:rPr>
          <w:rFonts w:ascii="宋体" w:hAnsi="宋体"/>
          <w:color w:val="000000"/>
          <w:sz w:val="24"/>
          <w:szCs w:val="24"/>
        </w:rPr>
        <w:t>愿意以</w:t>
      </w:r>
      <w:r>
        <w:rPr>
          <w:rFonts w:hint="eastAsia" w:ascii="宋体" w:hAnsi="宋体"/>
          <w:color w:val="000000"/>
          <w:sz w:val="24"/>
          <w:szCs w:val="24"/>
        </w:rPr>
        <w:t>第二信封（报价文件）中</w:t>
      </w:r>
      <w:r>
        <w:rPr>
          <w:rFonts w:ascii="宋体" w:hAnsi="宋体"/>
          <w:color w:val="000000"/>
          <w:sz w:val="24"/>
          <w:szCs w:val="24"/>
        </w:rPr>
        <w:t>的投标总报价</w:t>
      </w:r>
      <w:r>
        <w:rPr>
          <w:rFonts w:hint="eastAsia" w:ascii="宋体" w:hAnsi="宋体"/>
          <w:color w:val="000000"/>
          <w:sz w:val="24"/>
          <w:szCs w:val="24"/>
        </w:rPr>
        <w:t>（或根据招标文件规定修正核实后确定的另一金额）</w:t>
      </w:r>
      <w:r>
        <w:rPr>
          <w:rFonts w:ascii="宋体" w:hAnsi="宋体"/>
          <w:color w:val="000000"/>
          <w:sz w:val="24"/>
          <w:szCs w:val="24"/>
        </w:rPr>
        <w:t>，按合同约定实施和完成</w:t>
      </w:r>
      <w:r>
        <w:rPr>
          <w:rFonts w:hint="eastAsia" w:ascii="宋体" w:hAnsi="宋体"/>
          <w:color w:val="000000"/>
          <w:sz w:val="24"/>
          <w:szCs w:val="24"/>
        </w:rPr>
        <w:t>承包</w:t>
      </w:r>
      <w:r>
        <w:rPr>
          <w:rFonts w:ascii="宋体" w:hAnsi="宋体"/>
          <w:color w:val="000000"/>
          <w:sz w:val="24"/>
          <w:szCs w:val="24"/>
        </w:rPr>
        <w:t>工程，修补工程中的任何缺陷</w:t>
      </w:r>
      <w:r>
        <w:rPr>
          <w:rFonts w:hint="eastAsia" w:ascii="宋体" w:hAnsi="宋体"/>
          <w:color w:val="000000"/>
          <w:sz w:val="24"/>
          <w:szCs w:val="24"/>
        </w:rPr>
        <w:t>。</w:t>
      </w:r>
    </w:p>
    <w:p>
      <w:pPr>
        <w:pStyle w:val="34"/>
        <w:numPr>
          <w:ilvl w:val="0"/>
          <w:numId w:val="2"/>
        </w:numPr>
        <w:tabs>
          <w:tab w:val="left" w:pos="1066"/>
        </w:tabs>
        <w:spacing w:before="1"/>
        <w:ind w:left="1065"/>
        <w:rPr>
          <w:sz w:val="24"/>
        </w:rPr>
      </w:pPr>
      <w:r>
        <w:rPr>
          <w:sz w:val="24"/>
        </w:rPr>
        <w:t>我方承诺在</w:t>
      </w:r>
      <w:r>
        <w:rPr>
          <w:rFonts w:hint="eastAsia"/>
          <w:sz w:val="24"/>
          <w:lang w:eastAsia="zh-CN"/>
        </w:rPr>
        <w:t>交易文件</w:t>
      </w:r>
      <w:r>
        <w:rPr>
          <w:sz w:val="24"/>
        </w:rPr>
        <w:t>规定的投标有效期内不撤销</w:t>
      </w:r>
      <w:r>
        <w:rPr>
          <w:rFonts w:hint="eastAsia"/>
          <w:sz w:val="24"/>
          <w:lang w:eastAsia="zh-CN"/>
        </w:rPr>
        <w:t>交易响应文件</w:t>
      </w:r>
      <w:r>
        <w:rPr>
          <w:sz w:val="24"/>
        </w:rPr>
        <w:t>。</w:t>
      </w:r>
    </w:p>
    <w:p>
      <w:pPr>
        <w:pStyle w:val="34"/>
        <w:numPr>
          <w:ilvl w:val="0"/>
          <w:numId w:val="2"/>
        </w:numPr>
        <w:tabs>
          <w:tab w:val="left" w:pos="1066"/>
          <w:tab w:val="left" w:pos="3584"/>
          <w:tab w:val="left" w:pos="6345"/>
          <w:tab w:val="left" w:pos="7785"/>
        </w:tabs>
        <w:spacing w:before="53"/>
        <w:ind w:left="1065"/>
        <w:rPr>
          <w:sz w:val="24"/>
        </w:rPr>
      </w:pPr>
      <w:r>
        <w:rPr>
          <w:sz w:val="24"/>
        </w:rPr>
        <w:t>工程质量：</w:t>
      </w:r>
      <w:r>
        <w:rPr>
          <w:sz w:val="24"/>
          <w:u w:val="single"/>
        </w:rPr>
        <w:t xml:space="preserve"> </w:t>
      </w:r>
      <w:r>
        <w:rPr>
          <w:sz w:val="24"/>
          <w:u w:val="single"/>
        </w:rPr>
        <w:tab/>
      </w:r>
      <w:r>
        <w:rPr>
          <w:sz w:val="24"/>
        </w:rPr>
        <w:t>，安全目标：</w:t>
      </w:r>
      <w:r>
        <w:rPr>
          <w:sz w:val="24"/>
          <w:u w:val="single"/>
        </w:rPr>
        <w:t xml:space="preserve"> </w:t>
      </w:r>
      <w:r>
        <w:rPr>
          <w:sz w:val="24"/>
          <w:u w:val="single"/>
        </w:rPr>
        <w:tab/>
      </w:r>
      <w:r>
        <w:rPr>
          <w:sz w:val="24"/>
        </w:rPr>
        <w:t>，工期：</w:t>
      </w:r>
      <w:r>
        <w:rPr>
          <w:sz w:val="24"/>
          <w:u w:val="single"/>
        </w:rPr>
        <w:t xml:space="preserve"> </w:t>
      </w:r>
      <w:r>
        <w:rPr>
          <w:sz w:val="24"/>
          <w:u w:val="single"/>
        </w:rPr>
        <w:tab/>
      </w:r>
      <w:r>
        <w:rPr>
          <w:sz w:val="24"/>
        </w:rPr>
        <w:t>日历天。</w:t>
      </w:r>
    </w:p>
    <w:p>
      <w:pPr>
        <w:pStyle w:val="34"/>
        <w:numPr>
          <w:ilvl w:val="0"/>
          <w:numId w:val="2"/>
        </w:numPr>
        <w:tabs>
          <w:tab w:val="left" w:pos="1066"/>
        </w:tabs>
        <w:spacing w:before="52"/>
        <w:ind w:left="1065"/>
        <w:rPr>
          <w:sz w:val="24"/>
        </w:rPr>
      </w:pPr>
      <w:r>
        <w:rPr>
          <w:sz w:val="24"/>
        </w:rPr>
        <w:t>如我方中标，我方承诺：</w:t>
      </w:r>
    </w:p>
    <w:p>
      <w:pPr>
        <w:pStyle w:val="34"/>
        <w:numPr>
          <w:ilvl w:val="0"/>
          <w:numId w:val="3"/>
        </w:numPr>
        <w:tabs>
          <w:tab w:val="left" w:pos="1306"/>
        </w:tabs>
        <w:spacing w:before="53"/>
        <w:rPr>
          <w:sz w:val="24"/>
        </w:rPr>
      </w:pPr>
      <w:r>
        <w:rPr>
          <w:sz w:val="24"/>
        </w:rPr>
        <w:t>在收到中标通知书后，在中标通知书规定的期限内与你方签订合同；</w:t>
      </w:r>
    </w:p>
    <w:p>
      <w:pPr>
        <w:pStyle w:val="34"/>
        <w:numPr>
          <w:ilvl w:val="0"/>
          <w:numId w:val="3"/>
        </w:numPr>
        <w:tabs>
          <w:tab w:val="left" w:pos="1306"/>
        </w:tabs>
        <w:spacing w:before="52"/>
        <w:rPr>
          <w:sz w:val="24"/>
        </w:rPr>
      </w:pPr>
      <w:r>
        <w:rPr>
          <w:sz w:val="24"/>
        </w:rPr>
        <w:t>在签订合同时不向你方提出附加条件；</w:t>
      </w:r>
    </w:p>
    <w:p>
      <w:pPr>
        <w:pStyle w:val="34"/>
        <w:numPr>
          <w:ilvl w:val="0"/>
          <w:numId w:val="3"/>
        </w:numPr>
        <w:tabs>
          <w:tab w:val="left" w:pos="1306"/>
        </w:tabs>
        <w:spacing w:before="53"/>
        <w:rPr>
          <w:sz w:val="24"/>
        </w:rPr>
      </w:pPr>
      <w:r>
        <w:rPr>
          <w:sz w:val="24"/>
        </w:rPr>
        <w:t>按照</w:t>
      </w:r>
      <w:r>
        <w:rPr>
          <w:rFonts w:hint="eastAsia"/>
          <w:sz w:val="24"/>
          <w:lang w:eastAsia="zh-CN"/>
        </w:rPr>
        <w:t>交易文件</w:t>
      </w:r>
      <w:r>
        <w:rPr>
          <w:sz w:val="24"/>
        </w:rPr>
        <w:t>要求提交履约保证金；</w:t>
      </w:r>
    </w:p>
    <w:p>
      <w:pPr>
        <w:pStyle w:val="34"/>
        <w:numPr>
          <w:ilvl w:val="0"/>
          <w:numId w:val="3"/>
        </w:numPr>
        <w:tabs>
          <w:tab w:val="left" w:pos="1306"/>
        </w:tabs>
        <w:spacing w:before="52"/>
        <w:rPr>
          <w:sz w:val="24"/>
        </w:rPr>
      </w:pPr>
      <w:r>
        <w:rPr>
          <w:sz w:val="24"/>
        </w:rPr>
        <w:t>在合同约定的期限内完成合同规定的全部义务；</w:t>
      </w:r>
    </w:p>
    <w:p>
      <w:pPr>
        <w:pStyle w:val="34"/>
        <w:numPr>
          <w:ilvl w:val="0"/>
          <w:numId w:val="3"/>
        </w:numPr>
        <w:tabs>
          <w:tab w:val="left" w:pos="1306"/>
        </w:tabs>
        <w:spacing w:before="53" w:line="280" w:lineRule="auto"/>
        <w:ind w:left="224" w:right="285" w:firstLine="480"/>
        <w:jc w:val="both"/>
        <w:rPr>
          <w:sz w:val="12"/>
        </w:rPr>
      </w:pPr>
      <w:r>
        <w:rPr>
          <w:spacing w:val="-3"/>
          <w:sz w:val="24"/>
        </w:rPr>
        <w:t>在你方和我方进行合同谈判之前，我方将按照合同附件提出的最低要求</w:t>
      </w:r>
      <w:r>
        <w:rPr>
          <w:spacing w:val="-4"/>
          <w:sz w:val="24"/>
        </w:rPr>
        <w:t>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p>
    <w:p>
      <w:pPr>
        <w:pStyle w:val="34"/>
        <w:numPr>
          <w:ilvl w:val="0"/>
          <w:numId w:val="2"/>
        </w:numPr>
        <w:tabs>
          <w:tab w:val="left" w:pos="1066"/>
        </w:tabs>
        <w:spacing w:before="1" w:line="280" w:lineRule="auto"/>
        <w:ind w:right="285" w:firstLine="480"/>
        <w:rPr>
          <w:sz w:val="24"/>
        </w:rPr>
      </w:pPr>
      <w:r>
        <w:rPr>
          <w:spacing w:val="-6"/>
          <w:sz w:val="24"/>
        </w:rPr>
        <w:t>我方在此声明，所递交的</w:t>
      </w:r>
      <w:r>
        <w:rPr>
          <w:rFonts w:hint="eastAsia"/>
          <w:spacing w:val="-6"/>
          <w:sz w:val="24"/>
          <w:lang w:eastAsia="zh-CN"/>
        </w:rPr>
        <w:t>交易响应文件</w:t>
      </w:r>
      <w:r>
        <w:rPr>
          <w:spacing w:val="-6"/>
          <w:sz w:val="24"/>
        </w:rPr>
        <w:t xml:space="preserve">及有关资料内容完整、真实和准确，且 </w:t>
      </w:r>
      <w:r>
        <w:rPr>
          <w:spacing w:val="-4"/>
          <w:sz w:val="24"/>
        </w:rPr>
        <w:t>不存在</w:t>
      </w:r>
      <w:r>
        <w:rPr>
          <w:rFonts w:hint="eastAsia"/>
          <w:spacing w:val="-4"/>
          <w:sz w:val="24"/>
          <w:lang w:eastAsia="zh-CN"/>
        </w:rPr>
        <w:t>交易文件</w:t>
      </w:r>
      <w:r>
        <w:rPr>
          <w:spacing w:val="-4"/>
          <w:sz w:val="24"/>
        </w:rPr>
        <w:t>第二章</w:t>
      </w:r>
      <w:r>
        <w:rPr>
          <w:rFonts w:ascii="Times New Roman" w:hAnsi="Times New Roman" w:eastAsia="Times New Roman"/>
          <w:sz w:val="24"/>
        </w:rPr>
        <w:t>“</w:t>
      </w:r>
      <w:r>
        <w:rPr>
          <w:rFonts w:hint="eastAsia"/>
          <w:sz w:val="24"/>
          <w:lang w:eastAsia="zh-CN"/>
        </w:rPr>
        <w:t>交易须知</w:t>
      </w:r>
      <w:r>
        <w:rPr>
          <w:rFonts w:ascii="Times New Roman" w:hAnsi="Times New Roman" w:eastAsia="Times New Roman"/>
          <w:sz w:val="24"/>
        </w:rPr>
        <w:t>”</w:t>
      </w:r>
      <w:r>
        <w:rPr>
          <w:spacing w:val="-31"/>
          <w:sz w:val="24"/>
        </w:rPr>
        <w:t xml:space="preserve">第 </w:t>
      </w:r>
      <w:r>
        <w:rPr>
          <w:rFonts w:ascii="Times New Roman" w:hAnsi="Times New Roman" w:eastAsia="Times New Roman"/>
          <w:sz w:val="24"/>
        </w:rPr>
        <w:t xml:space="preserve">1.4.3 </w:t>
      </w:r>
      <w:r>
        <w:rPr>
          <w:spacing w:val="-16"/>
          <w:sz w:val="24"/>
        </w:rPr>
        <w:t xml:space="preserve">项和第 </w:t>
      </w:r>
      <w:r>
        <w:rPr>
          <w:rFonts w:ascii="Times New Roman" w:hAnsi="Times New Roman" w:eastAsia="Times New Roman"/>
          <w:sz w:val="24"/>
        </w:rPr>
        <w:t xml:space="preserve">1.4.4 </w:t>
      </w:r>
      <w:r>
        <w:rPr>
          <w:sz w:val="24"/>
        </w:rPr>
        <w:t>项规定的任何一种情形。</w:t>
      </w:r>
    </w:p>
    <w:p>
      <w:pPr>
        <w:pStyle w:val="34"/>
        <w:numPr>
          <w:ilvl w:val="0"/>
          <w:numId w:val="2"/>
        </w:numPr>
        <w:tabs>
          <w:tab w:val="left" w:pos="1066"/>
        </w:tabs>
        <w:spacing w:before="1" w:line="280" w:lineRule="auto"/>
        <w:ind w:right="285" w:firstLine="480"/>
        <w:rPr>
          <w:sz w:val="24"/>
        </w:rPr>
      </w:pPr>
      <w:r>
        <w:rPr>
          <w:spacing w:val="-3"/>
          <w:sz w:val="24"/>
        </w:rPr>
        <w:t>在合同协议书正式签署生效之前，本投标函连同你方的中标通知书将构成</w:t>
      </w:r>
      <w:r>
        <w:rPr>
          <w:spacing w:val="-4"/>
          <w:sz w:val="24"/>
        </w:rPr>
        <w:t>我们双方之间共同遵守的文件，对双方具有约束力。</w:t>
      </w:r>
    </w:p>
    <w:p>
      <w:pPr>
        <w:pStyle w:val="34"/>
        <w:numPr>
          <w:ilvl w:val="0"/>
          <w:numId w:val="2"/>
        </w:numPr>
        <w:tabs>
          <w:tab w:val="left" w:pos="1066"/>
          <w:tab w:val="left" w:pos="5745"/>
        </w:tabs>
        <w:ind w:left="1065"/>
        <w:rPr>
          <w:sz w:val="24"/>
        </w:rPr>
      </w:pPr>
      <w:r>
        <w:rPr>
          <w:rFonts w:ascii="Times New Roman" w:eastAsia="Times New Roman"/>
          <w:sz w:val="24"/>
          <w:u w:val="single"/>
        </w:rPr>
        <w:t xml:space="preserve"> </w:t>
      </w:r>
      <w:r>
        <w:rPr>
          <w:rFonts w:ascii="Times New Roman" w:eastAsia="Times New Roman"/>
          <w:sz w:val="24"/>
          <w:u w:val="single"/>
        </w:rPr>
        <w:tab/>
      </w:r>
      <w:r>
        <w:rPr>
          <w:sz w:val="24"/>
        </w:rPr>
        <w:t>（其他补充说明</w:t>
      </w:r>
      <w:r>
        <w:rPr>
          <w:spacing w:val="-120"/>
          <w:sz w:val="24"/>
        </w:rPr>
        <w:t>）</w:t>
      </w:r>
      <w:r>
        <w:rPr>
          <w:sz w:val="24"/>
        </w:rPr>
        <w:t>。</w:t>
      </w:r>
    </w:p>
    <w:p>
      <w:pPr>
        <w:spacing w:line="320" w:lineRule="exact"/>
        <w:rPr>
          <w:rFonts w:ascii="宋体" w:hAnsi="宋体" w:cs="宋体"/>
          <w:szCs w:val="21"/>
        </w:rPr>
      </w:pPr>
    </w:p>
    <w:p>
      <w:pPr>
        <w:spacing w:line="320" w:lineRule="exact"/>
        <w:rPr>
          <w:rFonts w:ascii="宋体" w:hAnsi="宋体" w:cs="宋体"/>
          <w:szCs w:val="21"/>
        </w:rPr>
      </w:pPr>
    </w:p>
    <w:p>
      <w:pPr>
        <w:spacing w:line="320" w:lineRule="exact"/>
        <w:ind w:firstLine="3885" w:firstLineChars="1850"/>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（全称） (单位盖章)   </w:t>
      </w:r>
    </w:p>
    <w:p>
      <w:pPr>
        <w:spacing w:line="320" w:lineRule="exact"/>
        <w:ind w:firstLine="3885" w:firstLineChars="1850"/>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（签字）        </w:t>
      </w:r>
    </w:p>
    <w:p>
      <w:pPr>
        <w:spacing w:line="320" w:lineRule="exact"/>
        <w:ind w:firstLine="3885" w:firstLineChars="1850"/>
        <w:rPr>
          <w:rFonts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p>
    <w:p>
      <w:pPr>
        <w:spacing w:line="320" w:lineRule="exact"/>
        <w:ind w:firstLine="3885" w:firstLineChars="1850"/>
        <w:rPr>
          <w:rFonts w:ascii="宋体" w:hAnsi="宋体" w:cs="宋体"/>
          <w:szCs w:val="21"/>
        </w:rPr>
      </w:pPr>
      <w:r>
        <w:rPr>
          <w:rFonts w:hint="eastAsia" w:ascii="宋体" w:hAnsi="宋体" w:cs="宋体"/>
          <w:szCs w:val="21"/>
        </w:rPr>
        <w:t>网  址：</w:t>
      </w:r>
      <w:r>
        <w:rPr>
          <w:rFonts w:hint="eastAsia" w:ascii="宋体" w:hAnsi="宋体" w:cs="宋体"/>
          <w:szCs w:val="21"/>
          <w:u w:val="single"/>
        </w:rPr>
        <w:t xml:space="preserve">                            </w:t>
      </w:r>
    </w:p>
    <w:p>
      <w:pPr>
        <w:spacing w:line="320" w:lineRule="exact"/>
        <w:ind w:firstLine="3885" w:firstLineChars="1850"/>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pPr>
        <w:spacing w:line="320" w:lineRule="exact"/>
        <w:ind w:firstLine="3885" w:firstLineChars="1850"/>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p>
    <w:p>
      <w:pPr>
        <w:spacing w:line="320" w:lineRule="exact"/>
        <w:ind w:firstLine="3885" w:firstLineChars="1850"/>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pPr>
        <w:spacing w:line="32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4"/>
        <w:spacing w:beforeLines="50" w:afterLines="100" w:line="320" w:lineRule="exact"/>
        <w:rPr>
          <w:rFonts w:ascii="宋体" w:hAnsi="宋体" w:cs="宋体"/>
        </w:rPr>
      </w:pPr>
      <w:r>
        <w:rPr>
          <w:rFonts w:hint="eastAsia" w:ascii="宋体" w:hAnsi="宋体" w:cs="宋体"/>
          <w:sz w:val="21"/>
          <w:szCs w:val="21"/>
        </w:rPr>
        <w:br w:type="page"/>
      </w:r>
      <w:bookmarkStart w:id="195" w:name="_Toc23194"/>
      <w:bookmarkStart w:id="196" w:name="_Toc432367774"/>
      <w:bookmarkStart w:id="197" w:name="_Toc234382959"/>
      <w:r>
        <w:rPr>
          <w:rFonts w:hint="eastAsia" w:ascii="宋体" w:hAnsi="宋体" w:cs="宋体"/>
          <w:sz w:val="30"/>
        </w:rPr>
        <w:t>（二）投标函附录</w:t>
      </w:r>
      <w:bookmarkEnd w:id="195"/>
      <w:bookmarkEnd w:id="196"/>
      <w:bookmarkEnd w:id="197"/>
    </w:p>
    <w:tbl>
      <w:tblPr>
        <w:tblStyle w:val="16"/>
        <w:tblW w:w="955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711"/>
        <w:gridCol w:w="3241"/>
        <w:gridCol w:w="1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653" w:type="dxa"/>
            <w:vAlign w:val="center"/>
          </w:tcPr>
          <w:p>
            <w:pPr>
              <w:jc w:val="center"/>
              <w:rPr>
                <w:rFonts w:ascii="宋体" w:hAnsi="宋体" w:cs="宋体"/>
                <w:b/>
                <w:sz w:val="24"/>
              </w:rPr>
            </w:pPr>
            <w:r>
              <w:rPr>
                <w:rFonts w:hint="eastAsia" w:ascii="宋体" w:hAnsi="宋体" w:cs="宋体"/>
                <w:b/>
                <w:sz w:val="24"/>
              </w:rPr>
              <w:t>序号</w:t>
            </w:r>
          </w:p>
        </w:tc>
        <w:tc>
          <w:tcPr>
            <w:tcW w:w="2693" w:type="dxa"/>
            <w:vAlign w:val="center"/>
          </w:tcPr>
          <w:p>
            <w:pPr>
              <w:jc w:val="center"/>
              <w:rPr>
                <w:rFonts w:ascii="宋体" w:hAnsi="宋体" w:cs="宋体"/>
                <w:b/>
                <w:sz w:val="24"/>
              </w:rPr>
            </w:pPr>
            <w:r>
              <w:rPr>
                <w:rFonts w:hint="eastAsia" w:ascii="宋体" w:hAnsi="宋体" w:cs="宋体"/>
                <w:b/>
                <w:sz w:val="24"/>
              </w:rPr>
              <w:t>条 款 名 称</w:t>
            </w:r>
          </w:p>
        </w:tc>
        <w:tc>
          <w:tcPr>
            <w:tcW w:w="1711" w:type="dxa"/>
            <w:vAlign w:val="center"/>
          </w:tcPr>
          <w:p>
            <w:pPr>
              <w:jc w:val="center"/>
              <w:rPr>
                <w:rFonts w:ascii="宋体" w:hAnsi="宋体" w:cs="宋体"/>
                <w:b/>
                <w:sz w:val="24"/>
              </w:rPr>
            </w:pPr>
            <w:r>
              <w:rPr>
                <w:rFonts w:hint="eastAsia" w:ascii="宋体" w:hAnsi="宋体" w:cs="宋体"/>
                <w:b/>
                <w:sz w:val="24"/>
              </w:rPr>
              <w:t>合同条目号</w:t>
            </w:r>
          </w:p>
        </w:tc>
        <w:tc>
          <w:tcPr>
            <w:tcW w:w="3241" w:type="dxa"/>
            <w:vAlign w:val="center"/>
          </w:tcPr>
          <w:p>
            <w:pPr>
              <w:jc w:val="center"/>
              <w:rPr>
                <w:rFonts w:ascii="宋体" w:hAnsi="宋体" w:cs="宋体"/>
                <w:b/>
                <w:sz w:val="24"/>
              </w:rPr>
            </w:pPr>
            <w:r>
              <w:rPr>
                <w:rFonts w:hint="eastAsia" w:ascii="宋体" w:hAnsi="宋体" w:cs="宋体"/>
                <w:b/>
                <w:sz w:val="24"/>
              </w:rPr>
              <w:t>约 定 内 容</w:t>
            </w:r>
          </w:p>
        </w:tc>
        <w:tc>
          <w:tcPr>
            <w:tcW w:w="1260" w:type="dxa"/>
            <w:vAlign w:val="center"/>
          </w:tcPr>
          <w:p>
            <w:pPr>
              <w:jc w:val="center"/>
              <w:rPr>
                <w:rFonts w:ascii="宋体" w:hAnsi="宋体" w:cs="宋体"/>
                <w:b/>
                <w:sz w:val="24"/>
              </w:rPr>
            </w:pPr>
            <w:r>
              <w:rPr>
                <w:rFonts w:hint="eastAsia" w:ascii="宋体" w:hAnsi="宋体" w:cs="宋体"/>
                <w:b/>
                <w:sz w:val="24"/>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653" w:type="dxa"/>
            <w:vAlign w:val="center"/>
          </w:tcPr>
          <w:p>
            <w:pPr>
              <w:jc w:val="center"/>
              <w:rPr>
                <w:rFonts w:ascii="宋体" w:hAnsi="宋体" w:cs="宋体"/>
                <w:sz w:val="24"/>
              </w:rPr>
            </w:pPr>
            <w:r>
              <w:rPr>
                <w:rFonts w:hint="eastAsia" w:ascii="宋体" w:hAnsi="宋体" w:cs="宋体"/>
                <w:sz w:val="24"/>
              </w:rPr>
              <w:t>1</w:t>
            </w:r>
          </w:p>
        </w:tc>
        <w:tc>
          <w:tcPr>
            <w:tcW w:w="2693" w:type="dxa"/>
            <w:vAlign w:val="center"/>
          </w:tcPr>
          <w:p>
            <w:pPr>
              <w:jc w:val="center"/>
              <w:rPr>
                <w:rFonts w:ascii="宋体" w:hAnsi="宋体" w:cs="宋体"/>
                <w:szCs w:val="21"/>
              </w:rPr>
            </w:pPr>
            <w:r>
              <w:rPr>
                <w:rFonts w:hint="eastAsia" w:ascii="宋体" w:hAnsi="宋体" w:cs="宋体"/>
                <w:szCs w:val="21"/>
              </w:rPr>
              <w:t>缺陷责任期</w:t>
            </w:r>
          </w:p>
        </w:tc>
        <w:tc>
          <w:tcPr>
            <w:tcW w:w="1711" w:type="dxa"/>
            <w:vAlign w:val="center"/>
          </w:tcPr>
          <w:p>
            <w:pPr>
              <w:jc w:val="center"/>
              <w:rPr>
                <w:rFonts w:ascii="宋体" w:hAnsi="宋体" w:cs="宋体"/>
                <w:szCs w:val="21"/>
              </w:rPr>
            </w:pPr>
            <w:r>
              <w:rPr>
                <w:rFonts w:hint="eastAsia" w:ascii="宋体" w:hAnsi="宋体" w:cs="宋体"/>
                <w:szCs w:val="21"/>
              </w:rPr>
              <w:t>1.1.4.5</w:t>
            </w:r>
          </w:p>
        </w:tc>
        <w:tc>
          <w:tcPr>
            <w:tcW w:w="3241" w:type="dxa"/>
            <w:vAlign w:val="center"/>
          </w:tcPr>
          <w:p>
            <w:pPr>
              <w:ind w:firstLine="210" w:firstLineChars="100"/>
              <w:rPr>
                <w:rFonts w:ascii="宋体" w:hAnsi="宋体" w:cs="宋体"/>
                <w:szCs w:val="21"/>
              </w:rPr>
            </w:pPr>
            <w:r>
              <w:rPr>
                <w:rFonts w:hint="eastAsia" w:ascii="宋体" w:hAnsi="宋体" w:cs="宋体"/>
                <w:szCs w:val="21"/>
              </w:rPr>
              <w:t xml:space="preserve">自实际交工日期起计算 </w:t>
            </w:r>
            <w:r>
              <w:rPr>
                <w:rFonts w:hint="eastAsia" w:ascii="宋体" w:hAnsi="宋体" w:cs="宋体"/>
                <w:szCs w:val="21"/>
                <w:u w:val="single"/>
              </w:rPr>
              <w:t>2</w:t>
            </w:r>
            <w:r>
              <w:rPr>
                <w:rFonts w:hint="eastAsia" w:ascii="宋体" w:hAnsi="宋体" w:cs="宋体"/>
                <w:szCs w:val="21"/>
              </w:rPr>
              <w:t>年</w:t>
            </w:r>
          </w:p>
        </w:tc>
        <w:tc>
          <w:tcPr>
            <w:tcW w:w="1260"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653" w:type="dxa"/>
            <w:vAlign w:val="center"/>
          </w:tcPr>
          <w:p>
            <w:pPr>
              <w:jc w:val="center"/>
              <w:rPr>
                <w:rFonts w:ascii="宋体" w:hAnsi="宋体" w:cs="宋体"/>
                <w:sz w:val="24"/>
              </w:rPr>
            </w:pPr>
            <w:r>
              <w:rPr>
                <w:rFonts w:hint="eastAsia" w:ascii="宋体" w:hAnsi="宋体" w:cs="宋体"/>
                <w:sz w:val="24"/>
              </w:rPr>
              <w:t>2</w:t>
            </w:r>
          </w:p>
        </w:tc>
        <w:tc>
          <w:tcPr>
            <w:tcW w:w="2693" w:type="dxa"/>
            <w:vAlign w:val="center"/>
          </w:tcPr>
          <w:p>
            <w:pPr>
              <w:jc w:val="center"/>
              <w:rPr>
                <w:rFonts w:ascii="宋体" w:hAnsi="宋体" w:cs="宋体"/>
                <w:szCs w:val="21"/>
              </w:rPr>
            </w:pPr>
            <w:r>
              <w:rPr>
                <w:rFonts w:hint="eastAsia" w:ascii="宋体" w:hAnsi="宋体" w:cs="宋体"/>
                <w:szCs w:val="21"/>
              </w:rPr>
              <w:t>逾期交工违约金</w:t>
            </w:r>
          </w:p>
        </w:tc>
        <w:tc>
          <w:tcPr>
            <w:tcW w:w="1711" w:type="dxa"/>
            <w:vAlign w:val="center"/>
          </w:tcPr>
          <w:p>
            <w:pPr>
              <w:jc w:val="center"/>
              <w:rPr>
                <w:rFonts w:ascii="宋体" w:hAnsi="宋体" w:cs="宋体"/>
                <w:szCs w:val="21"/>
              </w:rPr>
            </w:pPr>
            <w:r>
              <w:rPr>
                <w:rFonts w:hint="eastAsia" w:ascii="宋体" w:hAnsi="宋体" w:cs="宋体"/>
                <w:szCs w:val="21"/>
              </w:rPr>
              <w:t>11.5</w:t>
            </w:r>
          </w:p>
        </w:tc>
        <w:tc>
          <w:tcPr>
            <w:tcW w:w="3241" w:type="dxa"/>
            <w:vAlign w:val="center"/>
          </w:tcPr>
          <w:p>
            <w:pPr>
              <w:ind w:firstLine="210" w:firstLineChars="100"/>
              <w:rPr>
                <w:rFonts w:ascii="宋体" w:hAnsi="宋体" w:cs="宋体"/>
                <w:szCs w:val="21"/>
              </w:rPr>
            </w:pPr>
            <w:r>
              <w:rPr>
                <w:rFonts w:hint="eastAsia" w:ascii="宋体" w:hAnsi="宋体" w:cs="宋体"/>
                <w:szCs w:val="21"/>
                <w:u w:val="single"/>
              </w:rPr>
              <w:t xml:space="preserve"> 2000 </w:t>
            </w:r>
            <w:r>
              <w:rPr>
                <w:rFonts w:hint="eastAsia" w:ascii="宋体" w:hAnsi="宋体" w:cs="宋体"/>
                <w:szCs w:val="21"/>
              </w:rPr>
              <w:t>元/天</w:t>
            </w:r>
          </w:p>
        </w:tc>
        <w:tc>
          <w:tcPr>
            <w:tcW w:w="1260"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653" w:type="dxa"/>
            <w:vAlign w:val="center"/>
          </w:tcPr>
          <w:p>
            <w:pPr>
              <w:jc w:val="center"/>
              <w:rPr>
                <w:rFonts w:ascii="宋体" w:hAnsi="宋体" w:cs="宋体"/>
                <w:sz w:val="24"/>
              </w:rPr>
            </w:pPr>
            <w:r>
              <w:rPr>
                <w:rFonts w:hint="eastAsia" w:ascii="宋体" w:hAnsi="宋体" w:cs="宋体"/>
                <w:sz w:val="24"/>
              </w:rPr>
              <w:t>3</w:t>
            </w:r>
          </w:p>
        </w:tc>
        <w:tc>
          <w:tcPr>
            <w:tcW w:w="2693" w:type="dxa"/>
            <w:vAlign w:val="center"/>
          </w:tcPr>
          <w:p>
            <w:pPr>
              <w:jc w:val="center"/>
              <w:rPr>
                <w:rFonts w:ascii="宋体" w:hAnsi="宋体" w:cs="宋体"/>
                <w:szCs w:val="21"/>
              </w:rPr>
            </w:pPr>
            <w:r>
              <w:rPr>
                <w:rFonts w:hint="eastAsia" w:ascii="宋体" w:hAnsi="宋体" w:cs="宋体"/>
                <w:szCs w:val="21"/>
              </w:rPr>
              <w:t>逾期交工违约金限额</w:t>
            </w:r>
          </w:p>
        </w:tc>
        <w:tc>
          <w:tcPr>
            <w:tcW w:w="1711" w:type="dxa"/>
            <w:vAlign w:val="center"/>
          </w:tcPr>
          <w:p>
            <w:pPr>
              <w:jc w:val="center"/>
              <w:rPr>
                <w:rFonts w:ascii="宋体" w:hAnsi="宋体" w:cs="宋体"/>
                <w:szCs w:val="21"/>
              </w:rPr>
            </w:pPr>
            <w:r>
              <w:rPr>
                <w:rFonts w:hint="eastAsia" w:ascii="宋体" w:hAnsi="宋体" w:cs="宋体"/>
                <w:szCs w:val="21"/>
              </w:rPr>
              <w:t>11.5</w:t>
            </w:r>
          </w:p>
        </w:tc>
        <w:tc>
          <w:tcPr>
            <w:tcW w:w="3241" w:type="dxa"/>
            <w:vAlign w:val="center"/>
          </w:tcPr>
          <w:p>
            <w:pPr>
              <w:ind w:firstLine="210" w:firstLineChars="100"/>
              <w:rPr>
                <w:rFonts w:ascii="宋体" w:hAnsi="宋体" w:cs="宋体"/>
                <w:szCs w:val="21"/>
              </w:rPr>
            </w:pPr>
            <w:r>
              <w:rPr>
                <w:rFonts w:hint="eastAsia" w:ascii="宋体" w:hAnsi="宋体" w:cs="宋体"/>
                <w:szCs w:val="21"/>
                <w:highlight w:val="yellow"/>
                <w:u w:val="single"/>
              </w:rPr>
              <w:t xml:space="preserve"> 2 </w:t>
            </w:r>
            <w:r>
              <w:rPr>
                <w:rFonts w:hint="eastAsia" w:ascii="宋体" w:hAnsi="宋体" w:cs="宋体"/>
                <w:szCs w:val="21"/>
                <w:highlight w:val="yellow"/>
              </w:rPr>
              <w:t>%签</w:t>
            </w:r>
            <w:r>
              <w:rPr>
                <w:rFonts w:hint="eastAsia" w:ascii="宋体" w:hAnsi="宋体" w:cs="宋体"/>
                <w:szCs w:val="21"/>
              </w:rPr>
              <w:t>约合同价</w:t>
            </w:r>
          </w:p>
        </w:tc>
        <w:tc>
          <w:tcPr>
            <w:tcW w:w="1260"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653" w:type="dxa"/>
            <w:vAlign w:val="center"/>
          </w:tcPr>
          <w:p>
            <w:pPr>
              <w:jc w:val="center"/>
              <w:rPr>
                <w:rFonts w:ascii="宋体" w:hAnsi="宋体" w:cs="宋体"/>
                <w:sz w:val="24"/>
              </w:rPr>
            </w:pPr>
            <w:r>
              <w:rPr>
                <w:rFonts w:hint="eastAsia" w:ascii="宋体" w:hAnsi="宋体" w:cs="宋体"/>
                <w:sz w:val="24"/>
              </w:rPr>
              <w:t>4</w:t>
            </w:r>
          </w:p>
        </w:tc>
        <w:tc>
          <w:tcPr>
            <w:tcW w:w="2693" w:type="dxa"/>
            <w:vAlign w:val="center"/>
          </w:tcPr>
          <w:p>
            <w:pPr>
              <w:jc w:val="center"/>
              <w:rPr>
                <w:rFonts w:ascii="宋体" w:hAnsi="宋体" w:cs="宋体"/>
                <w:szCs w:val="21"/>
              </w:rPr>
            </w:pPr>
            <w:r>
              <w:rPr>
                <w:rFonts w:hint="eastAsia" w:ascii="宋体" w:hAnsi="宋体" w:cs="宋体"/>
                <w:szCs w:val="21"/>
              </w:rPr>
              <w:t>提前交工的奖金</w:t>
            </w:r>
          </w:p>
        </w:tc>
        <w:tc>
          <w:tcPr>
            <w:tcW w:w="1711" w:type="dxa"/>
            <w:vAlign w:val="center"/>
          </w:tcPr>
          <w:p>
            <w:pPr>
              <w:jc w:val="center"/>
              <w:rPr>
                <w:rFonts w:ascii="宋体" w:hAnsi="宋体" w:cs="宋体"/>
                <w:szCs w:val="21"/>
              </w:rPr>
            </w:pPr>
            <w:r>
              <w:rPr>
                <w:rFonts w:hint="eastAsia" w:ascii="宋体" w:hAnsi="宋体" w:cs="宋体"/>
                <w:szCs w:val="21"/>
              </w:rPr>
              <w:t>11.6</w:t>
            </w:r>
          </w:p>
        </w:tc>
        <w:tc>
          <w:tcPr>
            <w:tcW w:w="3241" w:type="dxa"/>
            <w:vAlign w:val="center"/>
          </w:tcPr>
          <w:p>
            <w:pPr>
              <w:ind w:firstLine="210" w:firstLineChars="100"/>
              <w:rPr>
                <w:rFonts w:ascii="宋体" w:hAnsi="宋体" w:cs="宋体"/>
                <w:szCs w:val="21"/>
              </w:rPr>
            </w:pPr>
            <w:r>
              <w:rPr>
                <w:rFonts w:hint="eastAsia" w:ascii="宋体" w:hAnsi="宋体" w:cs="宋体"/>
                <w:szCs w:val="21"/>
              </w:rPr>
              <w:t>无</w:t>
            </w:r>
          </w:p>
        </w:tc>
        <w:tc>
          <w:tcPr>
            <w:tcW w:w="1260"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653" w:type="dxa"/>
            <w:vAlign w:val="center"/>
          </w:tcPr>
          <w:p>
            <w:pPr>
              <w:jc w:val="center"/>
              <w:rPr>
                <w:rFonts w:ascii="宋体" w:hAnsi="宋体" w:cs="宋体"/>
                <w:sz w:val="24"/>
              </w:rPr>
            </w:pPr>
            <w:r>
              <w:rPr>
                <w:rFonts w:hint="eastAsia" w:ascii="宋体" w:hAnsi="宋体" w:cs="宋体"/>
                <w:sz w:val="24"/>
              </w:rPr>
              <w:t>5</w:t>
            </w:r>
          </w:p>
        </w:tc>
        <w:tc>
          <w:tcPr>
            <w:tcW w:w="2693" w:type="dxa"/>
            <w:vAlign w:val="center"/>
          </w:tcPr>
          <w:p>
            <w:pPr>
              <w:jc w:val="center"/>
              <w:rPr>
                <w:rFonts w:ascii="宋体" w:hAnsi="宋体" w:cs="宋体"/>
                <w:szCs w:val="21"/>
              </w:rPr>
            </w:pPr>
            <w:r>
              <w:rPr>
                <w:rFonts w:hint="eastAsia" w:ascii="宋体" w:hAnsi="宋体" w:cs="宋体"/>
                <w:szCs w:val="21"/>
              </w:rPr>
              <w:t>提前交工的奖金限额</w:t>
            </w:r>
          </w:p>
        </w:tc>
        <w:tc>
          <w:tcPr>
            <w:tcW w:w="1711" w:type="dxa"/>
            <w:vAlign w:val="center"/>
          </w:tcPr>
          <w:p>
            <w:pPr>
              <w:jc w:val="center"/>
              <w:rPr>
                <w:rFonts w:ascii="宋体" w:hAnsi="宋体" w:cs="宋体"/>
                <w:szCs w:val="21"/>
              </w:rPr>
            </w:pPr>
            <w:r>
              <w:rPr>
                <w:rFonts w:hint="eastAsia" w:ascii="宋体" w:hAnsi="宋体" w:cs="宋体"/>
                <w:szCs w:val="21"/>
              </w:rPr>
              <w:t>11.6</w:t>
            </w:r>
          </w:p>
        </w:tc>
        <w:tc>
          <w:tcPr>
            <w:tcW w:w="3241" w:type="dxa"/>
            <w:vAlign w:val="center"/>
          </w:tcPr>
          <w:p>
            <w:pPr>
              <w:ind w:firstLine="210" w:firstLineChars="100"/>
              <w:rPr>
                <w:rFonts w:ascii="宋体" w:hAnsi="宋体" w:cs="宋体"/>
                <w:szCs w:val="21"/>
              </w:rPr>
            </w:pPr>
            <w:r>
              <w:rPr>
                <w:rFonts w:hint="eastAsia" w:ascii="宋体" w:hAnsi="宋体" w:cs="宋体"/>
                <w:szCs w:val="21"/>
              </w:rPr>
              <w:t>无</w:t>
            </w:r>
          </w:p>
        </w:tc>
        <w:tc>
          <w:tcPr>
            <w:tcW w:w="1260"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exact"/>
        </w:trPr>
        <w:tc>
          <w:tcPr>
            <w:tcW w:w="653" w:type="dxa"/>
            <w:vAlign w:val="center"/>
          </w:tcPr>
          <w:p>
            <w:pPr>
              <w:jc w:val="center"/>
              <w:rPr>
                <w:rFonts w:ascii="宋体" w:hAnsi="宋体" w:cs="宋体"/>
                <w:sz w:val="24"/>
              </w:rPr>
            </w:pPr>
            <w:r>
              <w:rPr>
                <w:rFonts w:hint="eastAsia" w:ascii="宋体" w:hAnsi="宋体" w:cs="宋体"/>
                <w:sz w:val="24"/>
              </w:rPr>
              <w:t>6</w:t>
            </w:r>
          </w:p>
        </w:tc>
        <w:tc>
          <w:tcPr>
            <w:tcW w:w="2693" w:type="dxa"/>
            <w:vAlign w:val="center"/>
          </w:tcPr>
          <w:p>
            <w:pPr>
              <w:jc w:val="center"/>
              <w:rPr>
                <w:rFonts w:ascii="宋体" w:hAnsi="宋体" w:cs="宋体"/>
                <w:szCs w:val="21"/>
              </w:rPr>
            </w:pPr>
            <w:r>
              <w:rPr>
                <w:rFonts w:hint="eastAsia" w:ascii="宋体" w:hAnsi="宋体" w:cs="宋体"/>
                <w:szCs w:val="21"/>
              </w:rPr>
              <w:t>价格调整的差额计算</w:t>
            </w:r>
          </w:p>
        </w:tc>
        <w:tc>
          <w:tcPr>
            <w:tcW w:w="1711" w:type="dxa"/>
            <w:vAlign w:val="center"/>
          </w:tcPr>
          <w:p>
            <w:pPr>
              <w:jc w:val="center"/>
              <w:rPr>
                <w:rFonts w:ascii="宋体" w:hAnsi="宋体" w:cs="宋体"/>
                <w:szCs w:val="21"/>
              </w:rPr>
            </w:pPr>
            <w:r>
              <w:rPr>
                <w:rFonts w:hint="eastAsia" w:ascii="宋体" w:hAnsi="宋体" w:cs="宋体"/>
                <w:szCs w:val="21"/>
              </w:rPr>
              <w:t>16.1</w:t>
            </w:r>
          </w:p>
        </w:tc>
        <w:tc>
          <w:tcPr>
            <w:tcW w:w="3241" w:type="dxa"/>
            <w:vAlign w:val="center"/>
          </w:tcPr>
          <w:p>
            <w:pPr>
              <w:rPr>
                <w:rFonts w:ascii="宋体" w:hAnsi="宋体" w:cs="宋体"/>
                <w:szCs w:val="21"/>
              </w:rPr>
            </w:pPr>
            <w:r>
              <w:rPr>
                <w:rFonts w:hint="eastAsia" w:ascii="宋体" w:hAnsi="宋体"/>
                <w:szCs w:val="21"/>
              </w:rPr>
              <w:t>因物价波动引起的价格调整按照</w:t>
            </w:r>
            <w:r>
              <w:rPr>
                <w:rFonts w:hint="eastAsia" w:ascii="宋体" w:hAnsi="宋体" w:cs="宋体"/>
                <w:szCs w:val="21"/>
              </w:rPr>
              <w:t>物价波动正负百分之三调差</w:t>
            </w:r>
          </w:p>
        </w:tc>
        <w:tc>
          <w:tcPr>
            <w:tcW w:w="1260"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653" w:type="dxa"/>
            <w:vAlign w:val="center"/>
          </w:tcPr>
          <w:p>
            <w:pPr>
              <w:jc w:val="center"/>
              <w:rPr>
                <w:rFonts w:ascii="宋体" w:hAnsi="宋体" w:cs="宋体"/>
                <w:sz w:val="24"/>
              </w:rPr>
            </w:pPr>
            <w:r>
              <w:rPr>
                <w:rFonts w:hint="eastAsia" w:ascii="宋体" w:hAnsi="宋体" w:cs="宋体"/>
                <w:sz w:val="24"/>
              </w:rPr>
              <w:t>7</w:t>
            </w:r>
          </w:p>
        </w:tc>
        <w:tc>
          <w:tcPr>
            <w:tcW w:w="2693" w:type="dxa"/>
            <w:vAlign w:val="center"/>
          </w:tcPr>
          <w:p>
            <w:pPr>
              <w:jc w:val="center"/>
              <w:rPr>
                <w:rFonts w:ascii="宋体" w:hAnsi="宋体" w:cs="宋体"/>
                <w:szCs w:val="21"/>
              </w:rPr>
            </w:pPr>
            <w:r>
              <w:rPr>
                <w:rFonts w:hint="eastAsia" w:ascii="宋体" w:hAnsi="宋体" w:cs="宋体"/>
                <w:szCs w:val="21"/>
              </w:rPr>
              <w:t>开工预付款金额</w:t>
            </w:r>
            <w:r>
              <w:rPr>
                <w:rFonts w:hint="eastAsia" w:ascii="宋体" w:hAnsi="宋体" w:cs="宋体"/>
              </w:rPr>
              <w:t>比例</w:t>
            </w:r>
          </w:p>
        </w:tc>
        <w:tc>
          <w:tcPr>
            <w:tcW w:w="1711" w:type="dxa"/>
            <w:vAlign w:val="center"/>
          </w:tcPr>
          <w:p>
            <w:pPr>
              <w:jc w:val="center"/>
              <w:rPr>
                <w:rFonts w:ascii="宋体" w:hAnsi="宋体" w:cs="宋体"/>
                <w:szCs w:val="21"/>
              </w:rPr>
            </w:pPr>
            <w:r>
              <w:rPr>
                <w:rFonts w:hint="eastAsia" w:ascii="宋体" w:hAnsi="宋体" w:cs="宋体"/>
                <w:szCs w:val="21"/>
              </w:rPr>
              <w:t>17.2.1</w:t>
            </w:r>
          </w:p>
        </w:tc>
        <w:tc>
          <w:tcPr>
            <w:tcW w:w="3241" w:type="dxa"/>
            <w:vAlign w:val="center"/>
          </w:tcPr>
          <w:p>
            <w:pPr>
              <w:ind w:firstLine="210" w:firstLineChars="100"/>
              <w:rPr>
                <w:rFonts w:ascii="宋体" w:hAnsi="宋体" w:cs="宋体"/>
                <w:szCs w:val="21"/>
              </w:rPr>
            </w:pPr>
            <w:r>
              <w:rPr>
                <w:rFonts w:hint="eastAsia" w:ascii="宋体" w:hAnsi="宋体" w:cs="宋体"/>
                <w:szCs w:val="21"/>
                <w:u w:val="single"/>
              </w:rPr>
              <w:t xml:space="preserve"> 0 </w:t>
            </w:r>
            <w:r>
              <w:rPr>
                <w:rFonts w:hint="eastAsia" w:ascii="宋体" w:hAnsi="宋体" w:cs="宋体"/>
                <w:szCs w:val="21"/>
              </w:rPr>
              <w:t xml:space="preserve">% </w:t>
            </w:r>
          </w:p>
        </w:tc>
        <w:tc>
          <w:tcPr>
            <w:tcW w:w="1260"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653" w:type="dxa"/>
            <w:vAlign w:val="center"/>
          </w:tcPr>
          <w:p>
            <w:pPr>
              <w:jc w:val="center"/>
              <w:rPr>
                <w:rFonts w:ascii="宋体" w:hAnsi="宋体" w:cs="宋体"/>
                <w:sz w:val="24"/>
              </w:rPr>
            </w:pPr>
            <w:r>
              <w:rPr>
                <w:rFonts w:hint="eastAsia" w:ascii="宋体" w:hAnsi="宋体" w:cs="宋体"/>
                <w:sz w:val="24"/>
              </w:rPr>
              <w:t>8</w:t>
            </w:r>
          </w:p>
        </w:tc>
        <w:tc>
          <w:tcPr>
            <w:tcW w:w="2693" w:type="dxa"/>
            <w:vAlign w:val="center"/>
          </w:tcPr>
          <w:p>
            <w:pPr>
              <w:jc w:val="center"/>
              <w:rPr>
                <w:rFonts w:ascii="宋体" w:hAnsi="宋体" w:cs="宋体"/>
                <w:szCs w:val="21"/>
              </w:rPr>
            </w:pPr>
            <w:r>
              <w:rPr>
                <w:rFonts w:hint="eastAsia" w:ascii="宋体" w:hAnsi="宋体" w:cs="宋体"/>
                <w:szCs w:val="21"/>
              </w:rPr>
              <w:t>材料、设备预付款</w:t>
            </w:r>
            <w:r>
              <w:rPr>
                <w:rFonts w:hint="eastAsia" w:ascii="宋体" w:hAnsi="宋体" w:cs="宋体"/>
              </w:rPr>
              <w:t>比例</w:t>
            </w:r>
          </w:p>
        </w:tc>
        <w:tc>
          <w:tcPr>
            <w:tcW w:w="1711" w:type="dxa"/>
            <w:vAlign w:val="center"/>
          </w:tcPr>
          <w:p>
            <w:pPr>
              <w:jc w:val="center"/>
              <w:rPr>
                <w:rFonts w:ascii="宋体" w:hAnsi="宋体" w:cs="宋体"/>
                <w:szCs w:val="21"/>
              </w:rPr>
            </w:pPr>
            <w:r>
              <w:rPr>
                <w:rFonts w:hint="eastAsia" w:ascii="宋体" w:hAnsi="宋体" w:cs="宋体"/>
                <w:szCs w:val="21"/>
              </w:rPr>
              <w:t>17.2.1</w:t>
            </w:r>
          </w:p>
        </w:tc>
        <w:tc>
          <w:tcPr>
            <w:tcW w:w="3241" w:type="dxa"/>
            <w:vAlign w:val="center"/>
          </w:tcPr>
          <w:p>
            <w:pPr>
              <w:ind w:firstLine="210" w:firstLineChars="100"/>
              <w:rPr>
                <w:rFonts w:ascii="宋体" w:hAnsi="宋体" w:cs="宋体"/>
                <w:szCs w:val="21"/>
              </w:rPr>
            </w:pPr>
            <w:r>
              <w:rPr>
                <w:rFonts w:hint="eastAsia" w:ascii="宋体" w:hAnsi="宋体" w:cs="宋体"/>
                <w:szCs w:val="21"/>
                <w:u w:val="single"/>
              </w:rPr>
              <w:t xml:space="preserve"> 0 </w:t>
            </w:r>
            <w:r>
              <w:rPr>
                <w:rFonts w:hint="eastAsia" w:ascii="宋体" w:hAnsi="宋体" w:cs="宋体"/>
                <w:szCs w:val="21"/>
              </w:rPr>
              <w:t>%</w:t>
            </w:r>
          </w:p>
        </w:tc>
        <w:tc>
          <w:tcPr>
            <w:tcW w:w="1260"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653" w:type="dxa"/>
            <w:vAlign w:val="center"/>
          </w:tcPr>
          <w:p>
            <w:pPr>
              <w:jc w:val="center"/>
              <w:rPr>
                <w:rFonts w:ascii="宋体" w:hAnsi="宋体" w:cs="宋体"/>
                <w:sz w:val="24"/>
              </w:rPr>
            </w:pPr>
            <w:r>
              <w:rPr>
                <w:rFonts w:hint="eastAsia" w:ascii="宋体" w:hAnsi="宋体" w:cs="宋体"/>
                <w:sz w:val="24"/>
              </w:rPr>
              <w:t>9</w:t>
            </w:r>
          </w:p>
        </w:tc>
        <w:tc>
          <w:tcPr>
            <w:tcW w:w="2693" w:type="dxa"/>
            <w:vAlign w:val="center"/>
          </w:tcPr>
          <w:p>
            <w:pPr>
              <w:jc w:val="center"/>
              <w:rPr>
                <w:rFonts w:ascii="宋体" w:hAnsi="宋体" w:cs="宋体"/>
                <w:szCs w:val="21"/>
              </w:rPr>
            </w:pPr>
            <w:r>
              <w:rPr>
                <w:rFonts w:hint="eastAsia" w:ascii="宋体" w:hAnsi="宋体" w:cs="宋体"/>
                <w:szCs w:val="21"/>
              </w:rPr>
              <w:t>进度付款证书最低限额</w:t>
            </w:r>
          </w:p>
        </w:tc>
        <w:tc>
          <w:tcPr>
            <w:tcW w:w="1711" w:type="dxa"/>
            <w:vAlign w:val="center"/>
          </w:tcPr>
          <w:p>
            <w:pPr>
              <w:jc w:val="center"/>
              <w:rPr>
                <w:rFonts w:ascii="宋体" w:hAnsi="宋体" w:cs="宋体"/>
                <w:szCs w:val="21"/>
              </w:rPr>
            </w:pPr>
            <w:r>
              <w:rPr>
                <w:rFonts w:hint="eastAsia" w:ascii="宋体" w:hAnsi="宋体" w:cs="宋体"/>
                <w:szCs w:val="21"/>
              </w:rPr>
              <w:t>17.3.3(1)</w:t>
            </w:r>
          </w:p>
        </w:tc>
        <w:tc>
          <w:tcPr>
            <w:tcW w:w="3241" w:type="dxa"/>
            <w:vAlign w:val="center"/>
          </w:tcPr>
          <w:p>
            <w:pPr>
              <w:ind w:firstLine="210" w:firstLineChars="100"/>
              <w:rPr>
                <w:rFonts w:ascii="宋体" w:hAnsi="宋体" w:cs="宋体"/>
                <w:szCs w:val="21"/>
              </w:rPr>
            </w:pPr>
            <w:r>
              <w:rPr>
                <w:rFonts w:hint="eastAsia" w:ascii="宋体" w:hAnsi="宋体" w:cs="宋体"/>
                <w:szCs w:val="21"/>
                <w:u w:val="single"/>
              </w:rPr>
              <w:t>50</w:t>
            </w:r>
            <w:r>
              <w:rPr>
                <w:rFonts w:hint="eastAsia" w:ascii="宋体" w:hAnsi="宋体" w:cs="宋体"/>
                <w:szCs w:val="21"/>
              </w:rPr>
              <w:t>万元</w:t>
            </w:r>
          </w:p>
        </w:tc>
        <w:tc>
          <w:tcPr>
            <w:tcW w:w="1260"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653" w:type="dxa"/>
            <w:vAlign w:val="center"/>
          </w:tcPr>
          <w:p>
            <w:pPr>
              <w:jc w:val="center"/>
              <w:rPr>
                <w:rFonts w:ascii="宋体" w:hAnsi="宋体" w:cs="宋体"/>
                <w:sz w:val="24"/>
              </w:rPr>
            </w:pPr>
            <w:r>
              <w:rPr>
                <w:rFonts w:hint="eastAsia" w:ascii="宋体" w:hAnsi="宋体" w:cs="宋体"/>
                <w:sz w:val="24"/>
              </w:rPr>
              <w:t>10</w:t>
            </w:r>
          </w:p>
        </w:tc>
        <w:tc>
          <w:tcPr>
            <w:tcW w:w="2693" w:type="dxa"/>
            <w:vAlign w:val="center"/>
          </w:tcPr>
          <w:p>
            <w:pPr>
              <w:jc w:val="center"/>
              <w:rPr>
                <w:rFonts w:ascii="宋体" w:hAnsi="宋体" w:cs="宋体"/>
                <w:szCs w:val="21"/>
              </w:rPr>
            </w:pPr>
            <w:r>
              <w:rPr>
                <w:rFonts w:hint="eastAsia" w:ascii="宋体" w:hAnsi="宋体" w:cs="宋体"/>
                <w:szCs w:val="21"/>
              </w:rPr>
              <w:t>逾期付款违约金的利率</w:t>
            </w:r>
          </w:p>
        </w:tc>
        <w:tc>
          <w:tcPr>
            <w:tcW w:w="1711" w:type="dxa"/>
            <w:vAlign w:val="center"/>
          </w:tcPr>
          <w:p>
            <w:pPr>
              <w:jc w:val="center"/>
              <w:rPr>
                <w:rFonts w:ascii="宋体" w:hAnsi="宋体" w:cs="宋体"/>
                <w:szCs w:val="21"/>
              </w:rPr>
            </w:pPr>
            <w:r>
              <w:rPr>
                <w:rFonts w:hint="eastAsia" w:ascii="宋体" w:hAnsi="宋体" w:cs="宋体"/>
                <w:szCs w:val="21"/>
              </w:rPr>
              <w:t>17.3.3(2)</w:t>
            </w:r>
          </w:p>
        </w:tc>
        <w:tc>
          <w:tcPr>
            <w:tcW w:w="3241" w:type="dxa"/>
            <w:vAlign w:val="center"/>
          </w:tcPr>
          <w:p>
            <w:pPr>
              <w:ind w:firstLine="210" w:firstLineChars="100"/>
              <w:rPr>
                <w:rFonts w:ascii="宋体" w:hAnsi="宋体" w:cs="宋体"/>
                <w:szCs w:val="21"/>
              </w:rPr>
            </w:pPr>
            <w:r>
              <w:rPr>
                <w:rFonts w:hint="eastAsia" w:ascii="宋体" w:hAnsi="宋体" w:cs="宋体"/>
                <w:szCs w:val="21"/>
              </w:rPr>
              <w:t>按中国人民银行同期短期贷款利率加手续费</w:t>
            </w:r>
          </w:p>
        </w:tc>
        <w:tc>
          <w:tcPr>
            <w:tcW w:w="1260"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653" w:type="dxa"/>
            <w:vAlign w:val="center"/>
          </w:tcPr>
          <w:p>
            <w:pPr>
              <w:jc w:val="center"/>
              <w:rPr>
                <w:rFonts w:ascii="宋体" w:hAnsi="宋体" w:cs="宋体"/>
                <w:sz w:val="24"/>
              </w:rPr>
            </w:pPr>
            <w:r>
              <w:rPr>
                <w:rFonts w:hint="eastAsia" w:ascii="宋体" w:hAnsi="宋体" w:cs="宋体"/>
                <w:sz w:val="24"/>
              </w:rPr>
              <w:t>11</w:t>
            </w:r>
          </w:p>
        </w:tc>
        <w:tc>
          <w:tcPr>
            <w:tcW w:w="2693" w:type="dxa"/>
            <w:vAlign w:val="center"/>
          </w:tcPr>
          <w:p>
            <w:pPr>
              <w:jc w:val="center"/>
              <w:rPr>
                <w:rFonts w:ascii="宋体" w:hAnsi="宋体" w:cs="宋体"/>
                <w:szCs w:val="21"/>
              </w:rPr>
            </w:pPr>
            <w:r>
              <w:rPr>
                <w:rFonts w:hint="eastAsia" w:ascii="宋体" w:hAnsi="宋体" w:cs="宋体"/>
                <w:szCs w:val="21"/>
              </w:rPr>
              <w:t>质量保证金金额</w:t>
            </w:r>
          </w:p>
        </w:tc>
        <w:tc>
          <w:tcPr>
            <w:tcW w:w="1711" w:type="dxa"/>
            <w:vAlign w:val="center"/>
          </w:tcPr>
          <w:p>
            <w:pPr>
              <w:jc w:val="center"/>
              <w:rPr>
                <w:rFonts w:ascii="宋体" w:hAnsi="宋体" w:cs="宋体"/>
                <w:szCs w:val="21"/>
              </w:rPr>
            </w:pPr>
            <w:r>
              <w:rPr>
                <w:rFonts w:hint="eastAsia" w:ascii="宋体" w:hAnsi="宋体" w:cs="宋体"/>
                <w:szCs w:val="21"/>
              </w:rPr>
              <w:t>17.4.1</w:t>
            </w:r>
          </w:p>
        </w:tc>
        <w:tc>
          <w:tcPr>
            <w:tcW w:w="3241" w:type="dxa"/>
            <w:vAlign w:val="center"/>
          </w:tcPr>
          <w:p>
            <w:pPr>
              <w:ind w:firstLine="210" w:firstLineChars="100"/>
              <w:rPr>
                <w:rFonts w:ascii="宋体" w:hAnsi="宋体" w:cs="宋体"/>
                <w:szCs w:val="21"/>
              </w:rPr>
            </w:pPr>
            <w:r>
              <w:rPr>
                <w:rFonts w:hint="eastAsia" w:ascii="宋体" w:hAnsi="宋体" w:cs="宋体"/>
                <w:szCs w:val="21"/>
                <w:u w:val="single"/>
              </w:rPr>
              <w:t xml:space="preserve"> 3 </w:t>
            </w:r>
            <w:r>
              <w:rPr>
                <w:rFonts w:hint="eastAsia" w:ascii="宋体" w:hAnsi="宋体" w:cs="宋体"/>
                <w:szCs w:val="21"/>
              </w:rPr>
              <w:t>%签约合同价</w:t>
            </w:r>
          </w:p>
        </w:tc>
        <w:tc>
          <w:tcPr>
            <w:tcW w:w="1260"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653" w:type="dxa"/>
            <w:vAlign w:val="center"/>
          </w:tcPr>
          <w:p>
            <w:pPr>
              <w:jc w:val="center"/>
              <w:rPr>
                <w:rFonts w:ascii="宋体" w:hAnsi="宋体" w:cs="宋体"/>
                <w:sz w:val="24"/>
              </w:rPr>
            </w:pPr>
            <w:r>
              <w:rPr>
                <w:rFonts w:hint="eastAsia" w:ascii="宋体" w:hAnsi="宋体" w:cs="宋体"/>
                <w:sz w:val="24"/>
              </w:rPr>
              <w:t>12</w:t>
            </w:r>
          </w:p>
        </w:tc>
        <w:tc>
          <w:tcPr>
            <w:tcW w:w="2693" w:type="dxa"/>
            <w:vAlign w:val="center"/>
          </w:tcPr>
          <w:p>
            <w:pPr>
              <w:jc w:val="center"/>
              <w:rPr>
                <w:rFonts w:ascii="宋体" w:hAnsi="宋体" w:cs="宋体"/>
                <w:szCs w:val="21"/>
              </w:rPr>
            </w:pPr>
            <w:r>
              <w:rPr>
                <w:rFonts w:hint="eastAsia" w:ascii="宋体" w:hAnsi="宋体" w:cs="宋体"/>
                <w:szCs w:val="21"/>
              </w:rPr>
              <w:t>保 修 期</w:t>
            </w:r>
          </w:p>
        </w:tc>
        <w:tc>
          <w:tcPr>
            <w:tcW w:w="1711" w:type="dxa"/>
            <w:vAlign w:val="center"/>
          </w:tcPr>
          <w:p>
            <w:pPr>
              <w:jc w:val="center"/>
              <w:rPr>
                <w:rFonts w:ascii="宋体" w:hAnsi="宋体" w:cs="宋体"/>
                <w:szCs w:val="21"/>
              </w:rPr>
            </w:pPr>
            <w:r>
              <w:rPr>
                <w:rFonts w:hint="eastAsia" w:ascii="宋体" w:hAnsi="宋体" w:cs="宋体"/>
                <w:szCs w:val="21"/>
              </w:rPr>
              <w:t>19.7</w:t>
            </w:r>
          </w:p>
        </w:tc>
        <w:tc>
          <w:tcPr>
            <w:tcW w:w="3241" w:type="dxa"/>
            <w:vAlign w:val="center"/>
          </w:tcPr>
          <w:p>
            <w:pPr>
              <w:ind w:firstLine="210" w:firstLineChars="100"/>
              <w:rPr>
                <w:rFonts w:ascii="宋体" w:hAnsi="宋体" w:cs="宋体"/>
                <w:szCs w:val="21"/>
              </w:rPr>
            </w:pPr>
            <w:r>
              <w:rPr>
                <w:rFonts w:hint="eastAsia" w:ascii="宋体" w:hAnsi="宋体" w:cs="宋体"/>
                <w:szCs w:val="21"/>
              </w:rPr>
              <w:t>自实际交工日期起计算</w:t>
            </w:r>
            <w:r>
              <w:rPr>
                <w:rFonts w:hint="eastAsia" w:ascii="宋体" w:hAnsi="宋体" w:cs="宋体"/>
                <w:szCs w:val="21"/>
                <w:u w:val="single"/>
              </w:rPr>
              <w:t xml:space="preserve">    </w:t>
            </w:r>
            <w:r>
              <w:rPr>
                <w:rFonts w:hint="eastAsia" w:ascii="宋体" w:hAnsi="宋体" w:cs="宋体"/>
                <w:szCs w:val="21"/>
              </w:rPr>
              <w:t>年</w:t>
            </w:r>
          </w:p>
        </w:tc>
        <w:tc>
          <w:tcPr>
            <w:tcW w:w="1260"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exact"/>
        </w:trPr>
        <w:tc>
          <w:tcPr>
            <w:tcW w:w="653" w:type="dxa"/>
            <w:vAlign w:val="center"/>
          </w:tcPr>
          <w:p>
            <w:pPr>
              <w:jc w:val="center"/>
              <w:rPr>
                <w:rFonts w:ascii="宋体" w:hAnsi="宋体" w:cs="宋体"/>
                <w:sz w:val="24"/>
              </w:rPr>
            </w:pPr>
            <w:r>
              <w:rPr>
                <w:rFonts w:hint="eastAsia" w:ascii="宋体" w:hAnsi="宋体" w:cs="宋体"/>
                <w:sz w:val="24"/>
              </w:rPr>
              <w:t>13</w:t>
            </w:r>
          </w:p>
        </w:tc>
        <w:tc>
          <w:tcPr>
            <w:tcW w:w="2693" w:type="dxa"/>
            <w:vAlign w:val="center"/>
          </w:tcPr>
          <w:p>
            <w:pPr>
              <w:jc w:val="center"/>
              <w:rPr>
                <w:rFonts w:ascii="宋体" w:hAnsi="宋体" w:cs="宋体"/>
                <w:szCs w:val="21"/>
              </w:rPr>
            </w:pPr>
            <w:r>
              <w:rPr>
                <w:rFonts w:hint="eastAsia" w:ascii="宋体" w:hAnsi="宋体" w:cs="宋体"/>
                <w:szCs w:val="21"/>
              </w:rPr>
              <w:t>合同其他条款</w:t>
            </w:r>
          </w:p>
        </w:tc>
        <w:tc>
          <w:tcPr>
            <w:tcW w:w="1711" w:type="dxa"/>
            <w:vAlign w:val="center"/>
          </w:tcPr>
          <w:p>
            <w:pPr>
              <w:jc w:val="center"/>
              <w:rPr>
                <w:rFonts w:ascii="宋体" w:hAnsi="宋体" w:cs="宋体"/>
                <w:szCs w:val="21"/>
              </w:rPr>
            </w:pPr>
          </w:p>
        </w:tc>
        <w:tc>
          <w:tcPr>
            <w:tcW w:w="3241" w:type="dxa"/>
            <w:vAlign w:val="center"/>
          </w:tcPr>
          <w:p>
            <w:pPr>
              <w:ind w:left="449" w:leftChars="114" w:hanging="210" w:hangingChars="100"/>
              <w:rPr>
                <w:rFonts w:ascii="宋体" w:hAnsi="宋体" w:cs="宋体"/>
                <w:szCs w:val="21"/>
                <w:u w:val="single"/>
              </w:rPr>
            </w:pPr>
            <w:r>
              <w:rPr>
                <w:rFonts w:hint="eastAsia" w:ascii="宋体" w:hAnsi="宋体" w:cs="宋体"/>
                <w:szCs w:val="21"/>
              </w:rPr>
              <w:t>无异议</w:t>
            </w:r>
          </w:p>
        </w:tc>
        <w:tc>
          <w:tcPr>
            <w:tcW w:w="1260" w:type="dxa"/>
            <w:vAlign w:val="center"/>
          </w:tcPr>
          <w:p>
            <w:pPr>
              <w:jc w:val="center"/>
              <w:rPr>
                <w:rFonts w:ascii="宋体" w:hAnsi="宋体" w:cs="宋体"/>
                <w:szCs w:val="21"/>
              </w:rPr>
            </w:pPr>
            <w:r>
              <w:rPr>
                <w:rFonts w:hint="eastAsia" w:ascii="宋体" w:hAnsi="宋体" w:cs="宋体"/>
                <w:szCs w:val="21"/>
              </w:rPr>
              <w:t>若有异议</w:t>
            </w:r>
          </w:p>
          <w:p>
            <w:pPr>
              <w:jc w:val="center"/>
              <w:rPr>
                <w:rFonts w:ascii="宋体" w:hAnsi="宋体" w:cs="宋体"/>
                <w:szCs w:val="21"/>
              </w:rPr>
            </w:pPr>
            <w:r>
              <w:rPr>
                <w:rFonts w:hint="eastAsia" w:ascii="宋体" w:hAnsi="宋体" w:cs="宋体"/>
                <w:szCs w:val="21"/>
              </w:rPr>
              <w:t>请填写</w:t>
            </w:r>
          </w:p>
          <w:p>
            <w:pPr>
              <w:jc w:val="center"/>
              <w:rPr>
                <w:rFonts w:ascii="宋体" w:hAnsi="宋体" w:cs="宋体"/>
                <w:szCs w:val="21"/>
              </w:rPr>
            </w:pPr>
            <w:r>
              <w:rPr>
                <w:rFonts w:hint="eastAsia" w:ascii="宋体" w:hAnsi="宋体" w:cs="宋体"/>
                <w:szCs w:val="21"/>
              </w:rPr>
              <w:t>具体内容</w:t>
            </w:r>
          </w:p>
        </w:tc>
      </w:tr>
    </w:tbl>
    <w:p>
      <w:pPr>
        <w:spacing w:beforeLines="100" w:line="500" w:lineRule="exact"/>
        <w:rPr>
          <w:rFonts w:ascii="宋体" w:hAnsi="宋体" w:cs="宋体"/>
          <w:szCs w:val="21"/>
        </w:rPr>
      </w:pPr>
      <w:r>
        <w:rPr>
          <w:rFonts w:hint="eastAsia" w:ascii="宋体" w:hAnsi="宋体" w:cs="宋体"/>
          <w:sz w:val="24"/>
        </w:rPr>
        <w:t xml:space="preserve">                             </w:t>
      </w:r>
      <w:r>
        <w:rPr>
          <w:rFonts w:hint="eastAsia" w:ascii="宋体" w:hAnsi="宋体" w:cs="宋体"/>
          <w:szCs w:val="21"/>
        </w:rPr>
        <w:t>投 标 人:</w:t>
      </w:r>
      <w:r>
        <w:rPr>
          <w:rFonts w:hint="eastAsia" w:ascii="宋体" w:hAnsi="宋体" w:cs="宋体"/>
          <w:szCs w:val="21"/>
          <w:u w:val="single"/>
        </w:rPr>
        <w:t xml:space="preserve">        （全称）(盖单位章)      </w:t>
      </w:r>
    </w:p>
    <w:p>
      <w:pPr>
        <w:spacing w:line="500" w:lineRule="exact"/>
        <w:ind w:right="480" w:firstLine="3045" w:firstLineChars="1450"/>
        <w:rPr>
          <w:rFonts w:ascii="宋体" w:hAnsi="宋体" w:cs="宋体"/>
          <w:szCs w:val="21"/>
        </w:rPr>
      </w:pPr>
      <w:r>
        <w:rPr>
          <w:rFonts w:hint="eastAsia" w:ascii="宋体" w:hAnsi="宋体" w:cs="宋体"/>
          <w:szCs w:val="21"/>
          <w:lang w:eastAsia="zh-CN"/>
        </w:rPr>
        <w:t>交易响应文件</w:t>
      </w:r>
      <w:r>
        <w:rPr>
          <w:rFonts w:hint="eastAsia" w:ascii="宋体" w:hAnsi="宋体" w:cs="宋体"/>
          <w:szCs w:val="21"/>
        </w:rPr>
        <w:t>签署人签名:</w:t>
      </w:r>
      <w:r>
        <w:rPr>
          <w:rFonts w:hint="eastAsia" w:ascii="宋体" w:hAnsi="宋体" w:cs="宋体"/>
          <w:szCs w:val="21"/>
          <w:u w:val="single"/>
        </w:rPr>
        <w:t xml:space="preserve">                      </w:t>
      </w:r>
      <w:r>
        <w:rPr>
          <w:rFonts w:hint="eastAsia" w:ascii="宋体" w:hAnsi="宋体" w:cs="宋体"/>
          <w:szCs w:val="21"/>
        </w:rPr>
        <w:t xml:space="preserve"> </w:t>
      </w:r>
    </w:p>
    <w:p>
      <w:pPr>
        <w:spacing w:line="500" w:lineRule="exact"/>
        <w:ind w:right="480"/>
        <w:rPr>
          <w:rFonts w:ascii="宋体" w:hAnsi="宋体" w:cs="宋体"/>
          <w:sz w:val="24"/>
        </w:rPr>
      </w:pPr>
    </w:p>
    <w:p>
      <w:pPr>
        <w:pStyle w:val="4"/>
        <w:spacing w:beforeLines="50" w:line="360" w:lineRule="exact"/>
        <w:rPr>
          <w:rFonts w:ascii="宋体" w:hAnsi="宋体" w:cs="宋体"/>
        </w:rPr>
      </w:pPr>
      <w:bookmarkStart w:id="198" w:name="_Toc234382961"/>
      <w:bookmarkStart w:id="199" w:name="_Toc234382964"/>
      <w:bookmarkStart w:id="200" w:name="_Toc234382965"/>
    </w:p>
    <w:p>
      <w:pPr>
        <w:pStyle w:val="4"/>
        <w:spacing w:beforeLines="50" w:line="360" w:lineRule="exact"/>
        <w:rPr>
          <w:rFonts w:ascii="宋体" w:hAnsi="宋体" w:cs="宋体"/>
          <w:b w:val="0"/>
          <w:sz w:val="36"/>
          <w:szCs w:val="36"/>
        </w:rPr>
      </w:pPr>
      <w:bookmarkStart w:id="201" w:name="_Toc25172"/>
      <w:bookmarkStart w:id="202" w:name="_Toc432367775"/>
      <w:r>
        <w:rPr>
          <w:rFonts w:hint="eastAsia" w:ascii="宋体" w:hAnsi="宋体" w:cs="宋体"/>
          <w:b w:val="0"/>
          <w:spacing w:val="3"/>
          <w:w w:val="75"/>
          <w:kern w:val="0"/>
          <w:sz w:val="36"/>
          <w:szCs w:val="36"/>
        </w:rPr>
        <w:br w:type="page"/>
      </w:r>
      <w:r>
        <w:rPr>
          <w:rFonts w:hint="eastAsia" w:ascii="宋体" w:hAnsi="宋体" w:cs="宋体"/>
          <w:b w:val="0"/>
          <w:spacing w:val="3"/>
          <w:w w:val="75"/>
          <w:kern w:val="0"/>
          <w:sz w:val="36"/>
          <w:szCs w:val="36"/>
        </w:rPr>
        <w:t>二、法定代表人身份证明或附有法定代表人身份证明的授权委托</w:t>
      </w:r>
      <w:r>
        <w:rPr>
          <w:rFonts w:hint="eastAsia" w:ascii="宋体" w:hAnsi="宋体" w:cs="宋体"/>
          <w:b w:val="0"/>
          <w:spacing w:val="-38"/>
          <w:w w:val="75"/>
          <w:kern w:val="0"/>
          <w:sz w:val="36"/>
          <w:szCs w:val="36"/>
        </w:rPr>
        <w:t>书</w:t>
      </w:r>
      <w:bookmarkEnd w:id="198"/>
      <w:bookmarkEnd w:id="201"/>
      <w:bookmarkEnd w:id="202"/>
    </w:p>
    <w:p>
      <w:pPr>
        <w:rPr>
          <w:rFonts w:ascii="宋体" w:hAnsi="宋体" w:cs="宋体"/>
        </w:rPr>
      </w:pPr>
      <w:bookmarkStart w:id="203" w:name="_Toc234382962"/>
    </w:p>
    <w:p>
      <w:pPr>
        <w:rPr>
          <w:rFonts w:ascii="宋体" w:hAnsi="宋体" w:cs="宋体"/>
        </w:rPr>
      </w:pPr>
    </w:p>
    <w:p>
      <w:pPr>
        <w:rPr>
          <w:rFonts w:ascii="宋体" w:hAnsi="宋体" w:cs="宋体"/>
        </w:rPr>
      </w:pPr>
    </w:p>
    <w:p>
      <w:pPr>
        <w:pStyle w:val="4"/>
        <w:spacing w:beforeLines="100" w:afterLines="150" w:line="300" w:lineRule="exact"/>
        <w:rPr>
          <w:rFonts w:ascii="宋体" w:hAnsi="宋体" w:cs="宋体"/>
          <w:sz w:val="30"/>
          <w:szCs w:val="30"/>
        </w:rPr>
      </w:pPr>
      <w:bookmarkStart w:id="204" w:name="_Toc432367776"/>
      <w:bookmarkStart w:id="205" w:name="_Toc28601"/>
      <w:r>
        <w:rPr>
          <w:rFonts w:hint="eastAsia" w:ascii="宋体" w:hAnsi="宋体" w:cs="宋体"/>
          <w:sz w:val="30"/>
          <w:szCs w:val="30"/>
        </w:rPr>
        <w:t>（一）法定代表人身份证明</w:t>
      </w:r>
      <w:bookmarkEnd w:id="203"/>
      <w:bookmarkEnd w:id="204"/>
      <w:bookmarkEnd w:id="205"/>
    </w:p>
    <w:p>
      <w:pPr>
        <w:spacing w:line="500" w:lineRule="exact"/>
        <w:ind w:firstLine="525" w:firstLineChars="250"/>
        <w:rPr>
          <w:rFonts w:ascii="宋体" w:hAnsi="宋体" w:cs="宋体"/>
          <w:szCs w:val="21"/>
        </w:rPr>
      </w:pPr>
      <w:r>
        <w:rPr>
          <w:rFonts w:hint="eastAsia" w:ascii="宋体" w:hAnsi="宋体" w:cs="宋体"/>
          <w:szCs w:val="21"/>
          <w:lang w:eastAsia="zh-CN"/>
        </w:rPr>
        <w:t>交易响应单位</w:t>
      </w:r>
      <w:r>
        <w:rPr>
          <w:rFonts w:hint="eastAsia" w:ascii="宋体" w:hAnsi="宋体" w:cs="宋体"/>
          <w:szCs w:val="21"/>
        </w:rPr>
        <w:t>名称：</w:t>
      </w:r>
      <w:r>
        <w:rPr>
          <w:rFonts w:hint="eastAsia" w:ascii="宋体" w:hAnsi="宋体" w:cs="宋体"/>
          <w:szCs w:val="21"/>
          <w:u w:val="single"/>
        </w:rPr>
        <w:t xml:space="preserve">                        </w:t>
      </w:r>
    </w:p>
    <w:p>
      <w:pPr>
        <w:spacing w:line="500" w:lineRule="exact"/>
        <w:ind w:firstLine="580" w:firstLineChars="200"/>
        <w:rPr>
          <w:rFonts w:ascii="宋体" w:hAnsi="宋体" w:cs="宋体"/>
          <w:szCs w:val="21"/>
          <w:u w:val="single"/>
        </w:rPr>
      </w:pPr>
      <w:r>
        <w:rPr>
          <w:rFonts w:hint="eastAsia" w:ascii="宋体" w:hAnsi="宋体" w:cs="宋体"/>
          <w:spacing w:val="40"/>
          <w:kern w:val="0"/>
          <w:szCs w:val="21"/>
        </w:rPr>
        <w:t>单位性</w:t>
      </w:r>
      <w:r>
        <w:rPr>
          <w:rFonts w:hint="eastAsia" w:ascii="宋体" w:hAnsi="宋体" w:cs="宋体"/>
          <w:kern w:val="0"/>
          <w:szCs w:val="21"/>
        </w:rPr>
        <w:t>质</w:t>
      </w:r>
      <w:r>
        <w:rPr>
          <w:rFonts w:hint="eastAsia" w:ascii="宋体" w:hAnsi="宋体" w:cs="宋体"/>
          <w:szCs w:val="21"/>
        </w:rPr>
        <w:t>：</w:t>
      </w:r>
      <w:r>
        <w:rPr>
          <w:rFonts w:hint="eastAsia" w:ascii="宋体" w:hAnsi="宋体" w:cs="宋体"/>
          <w:szCs w:val="21"/>
          <w:u w:val="single"/>
        </w:rPr>
        <w:t xml:space="preserve">                        </w:t>
      </w:r>
    </w:p>
    <w:p>
      <w:pPr>
        <w:spacing w:line="500" w:lineRule="exact"/>
        <w:ind w:firstLine="525" w:firstLineChars="250"/>
        <w:rPr>
          <w:rFonts w:ascii="宋体" w:hAnsi="宋体" w:cs="宋体"/>
          <w:szCs w:val="21"/>
        </w:rPr>
      </w:pPr>
      <w:r>
        <w:rPr>
          <w:rFonts w:hint="eastAsia" w:ascii="宋体" w:hAnsi="宋体" w:cs="宋体"/>
          <w:kern w:val="0"/>
          <w:szCs w:val="21"/>
        </w:rPr>
        <w:t>地      址</w:t>
      </w:r>
      <w:r>
        <w:rPr>
          <w:rFonts w:hint="eastAsia" w:ascii="宋体" w:hAnsi="宋体" w:cs="宋体"/>
          <w:szCs w:val="21"/>
        </w:rPr>
        <w:t>：</w:t>
      </w:r>
      <w:r>
        <w:rPr>
          <w:rFonts w:hint="eastAsia" w:ascii="宋体" w:hAnsi="宋体" w:cs="宋体"/>
          <w:szCs w:val="21"/>
          <w:u w:val="single"/>
        </w:rPr>
        <w:t xml:space="preserve">                        </w:t>
      </w:r>
    </w:p>
    <w:p>
      <w:pPr>
        <w:spacing w:line="500" w:lineRule="exact"/>
        <w:ind w:firstLine="525" w:firstLineChars="250"/>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500" w:lineRule="exact"/>
        <w:ind w:firstLine="525" w:firstLineChars="250"/>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pPr>
        <w:spacing w:line="500" w:lineRule="exact"/>
        <w:ind w:firstLine="525" w:firstLineChars="250"/>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（法定代表人亲笔签名） </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 xml:space="preserve">  年龄：</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p>
    <w:p>
      <w:pPr>
        <w:spacing w:line="500" w:lineRule="exact"/>
        <w:ind w:firstLine="525" w:firstLineChars="250"/>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eastAsia="zh-CN"/>
        </w:rPr>
        <w:t>交易响应单位</w:t>
      </w:r>
      <w:r>
        <w:rPr>
          <w:rFonts w:hint="eastAsia" w:ascii="宋体" w:hAnsi="宋体" w:cs="宋体"/>
          <w:szCs w:val="21"/>
        </w:rPr>
        <w:t>名称）的法定代表人。</w:t>
      </w:r>
    </w:p>
    <w:p>
      <w:pPr>
        <w:spacing w:line="500" w:lineRule="exact"/>
        <w:ind w:firstLine="420" w:firstLineChars="200"/>
        <w:rPr>
          <w:rFonts w:ascii="宋体" w:hAnsi="宋体" w:cs="宋体"/>
          <w:szCs w:val="21"/>
        </w:rPr>
      </w:pPr>
    </w:p>
    <w:p>
      <w:pPr>
        <w:spacing w:line="500" w:lineRule="exact"/>
        <w:ind w:firstLine="420" w:firstLineChars="200"/>
        <w:rPr>
          <w:rFonts w:ascii="宋体" w:hAnsi="宋体" w:cs="宋体"/>
          <w:szCs w:val="21"/>
        </w:rPr>
      </w:pPr>
      <w:r>
        <w:rPr>
          <w:rFonts w:hint="eastAsia" w:ascii="宋体" w:hAnsi="宋体" w:cs="宋体"/>
          <w:szCs w:val="21"/>
        </w:rPr>
        <w:t>特此证明。</w:t>
      </w: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szCs w:val="21"/>
          <w:lang w:eastAsia="zh-CN"/>
        </w:rPr>
        <w:t>交易响应单位</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（盖单位章）</w:t>
      </w:r>
    </w:p>
    <w:p>
      <w:pPr>
        <w:spacing w:line="5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00" w:lineRule="exact"/>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注：法定代表人的签字必须是亲笔签名，不得使用印章、签名章或其他电子制版签名。</w:t>
      </w:r>
    </w:p>
    <w:p>
      <w:pPr>
        <w:rPr>
          <w:rFonts w:ascii="宋体" w:hAnsi="宋体" w:cs="宋体"/>
          <w:szCs w:val="21"/>
        </w:rPr>
      </w:pPr>
    </w:p>
    <w:p>
      <w:pPr>
        <w:spacing w:line="300" w:lineRule="exact"/>
        <w:ind w:firstLine="2940" w:firstLineChars="1050"/>
        <w:rPr>
          <w:rFonts w:ascii="宋体" w:hAnsi="宋体" w:cs="宋体"/>
          <w:kern w:val="44"/>
          <w:sz w:val="28"/>
          <w:szCs w:val="28"/>
        </w:rPr>
      </w:pPr>
    </w:p>
    <w:p>
      <w:pPr>
        <w:spacing w:line="420" w:lineRule="exact"/>
        <w:rPr>
          <w:rFonts w:ascii="宋体" w:hAnsi="宋体" w:cs="宋体"/>
          <w:kern w:val="44"/>
          <w:sz w:val="28"/>
          <w:szCs w:val="28"/>
        </w:rPr>
      </w:pPr>
    </w:p>
    <w:p>
      <w:pPr>
        <w:spacing w:line="420" w:lineRule="exact"/>
        <w:rPr>
          <w:rFonts w:ascii="宋体" w:hAnsi="宋体" w:cs="宋体"/>
          <w:kern w:val="44"/>
          <w:sz w:val="28"/>
          <w:szCs w:val="28"/>
        </w:rPr>
      </w:pPr>
    </w:p>
    <w:p>
      <w:pPr>
        <w:spacing w:line="420" w:lineRule="exact"/>
        <w:rPr>
          <w:rFonts w:ascii="宋体" w:hAnsi="宋体" w:cs="宋体"/>
          <w:kern w:val="44"/>
          <w:sz w:val="28"/>
          <w:szCs w:val="28"/>
        </w:rPr>
      </w:pPr>
    </w:p>
    <w:p>
      <w:pPr>
        <w:spacing w:line="420" w:lineRule="exact"/>
        <w:rPr>
          <w:rFonts w:ascii="宋体" w:hAnsi="宋体" w:cs="宋体"/>
          <w:kern w:val="44"/>
          <w:sz w:val="28"/>
          <w:szCs w:val="28"/>
        </w:rPr>
      </w:pPr>
    </w:p>
    <w:p>
      <w:pPr>
        <w:spacing w:line="420" w:lineRule="exact"/>
        <w:ind w:firstLine="3162" w:firstLineChars="1050"/>
        <w:rPr>
          <w:rFonts w:ascii="宋体" w:hAnsi="宋体" w:cs="宋体"/>
          <w:b/>
          <w:kern w:val="44"/>
          <w:sz w:val="30"/>
          <w:szCs w:val="30"/>
        </w:rPr>
      </w:pPr>
      <w:r>
        <w:rPr>
          <w:rFonts w:hint="eastAsia" w:ascii="宋体" w:hAnsi="宋体" w:cs="宋体"/>
          <w:b/>
          <w:kern w:val="44"/>
          <w:sz w:val="30"/>
          <w:szCs w:val="30"/>
        </w:rPr>
        <w:t>（二）授权委托书</w:t>
      </w:r>
    </w:p>
    <w:p>
      <w:pPr>
        <w:ind w:firstLine="2850" w:firstLineChars="950"/>
        <w:rPr>
          <w:rFonts w:ascii="宋体" w:hAnsi="宋体" w:cs="宋体"/>
          <w:kern w:val="44"/>
          <w:sz w:val="30"/>
          <w:szCs w:val="30"/>
        </w:rPr>
      </w:pPr>
    </w:p>
    <w:p>
      <w:pPr>
        <w:ind w:firstLine="2850" w:firstLineChars="950"/>
        <w:rPr>
          <w:rFonts w:ascii="宋体" w:hAnsi="宋体" w:cs="宋体"/>
          <w:kern w:val="44"/>
          <w:sz w:val="30"/>
          <w:szCs w:val="30"/>
        </w:rPr>
      </w:pPr>
    </w:p>
    <w:p>
      <w:pPr>
        <w:spacing w:line="500" w:lineRule="exact"/>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eastAsia="zh-CN"/>
        </w:rPr>
        <w:t>交易响应单位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（姓名）为我方代理人。代理人根据授权，以我方名义签署、澄清、递交、撤回、修改</w:t>
      </w:r>
      <w:r>
        <w:rPr>
          <w:rFonts w:hint="eastAsia" w:ascii="宋体" w:hAnsi="宋体" w:cs="宋体"/>
          <w:szCs w:val="21"/>
          <w:u w:val="single"/>
        </w:rPr>
        <w:t xml:space="preserve">     </w:t>
      </w:r>
      <w:r>
        <w:rPr>
          <w:rFonts w:hint="eastAsia" w:ascii="宋体" w:hAnsi="宋体" w:cs="宋体"/>
          <w:szCs w:val="21"/>
        </w:rPr>
        <w:t>（项目名称）施工</w:t>
      </w:r>
      <w:r>
        <w:rPr>
          <w:rFonts w:hint="eastAsia" w:ascii="宋体" w:hAnsi="宋体" w:cs="宋体"/>
          <w:szCs w:val="21"/>
          <w:lang w:eastAsia="zh-CN"/>
        </w:rPr>
        <w:t>交易响应文件</w:t>
      </w:r>
      <w:r>
        <w:rPr>
          <w:rFonts w:hint="eastAsia" w:ascii="宋体" w:hAnsi="宋体" w:cs="宋体"/>
          <w:szCs w:val="21"/>
        </w:rPr>
        <w:t>、签订合同和处理有关事宜，其法律后果由我方承担。</w:t>
      </w:r>
    </w:p>
    <w:p>
      <w:pPr>
        <w:spacing w:line="500" w:lineRule="exact"/>
        <w:ind w:firstLine="420" w:firstLineChars="200"/>
        <w:rPr>
          <w:rFonts w:ascii="宋体" w:hAnsi="宋体" w:cs="宋体"/>
          <w:szCs w:val="21"/>
        </w:rPr>
      </w:pPr>
      <w:r>
        <w:rPr>
          <w:rFonts w:hint="eastAsia" w:ascii="宋体" w:hAnsi="宋体" w:cs="宋体"/>
          <w:szCs w:val="21"/>
        </w:rPr>
        <w:t>委托期限：</w:t>
      </w:r>
      <w:r>
        <w:rPr>
          <w:rFonts w:hint="eastAsia" w:ascii="宋体" w:hAnsi="宋体" w:cs="宋体"/>
          <w:szCs w:val="21"/>
          <w:u w:val="single"/>
        </w:rPr>
        <w:t xml:space="preserve">          </w:t>
      </w:r>
      <w:r>
        <w:rPr>
          <w:rFonts w:hint="eastAsia" w:ascii="宋体" w:hAnsi="宋体" w:cs="宋体"/>
          <w:szCs w:val="21"/>
        </w:rPr>
        <w:t>。</w:t>
      </w:r>
    </w:p>
    <w:p>
      <w:pPr>
        <w:spacing w:line="500" w:lineRule="exact"/>
        <w:ind w:firstLine="420" w:firstLineChars="200"/>
        <w:rPr>
          <w:rFonts w:ascii="宋体" w:hAnsi="宋体" w:cs="宋体"/>
          <w:szCs w:val="21"/>
        </w:rPr>
      </w:pPr>
      <w:r>
        <w:rPr>
          <w:rFonts w:hint="eastAsia" w:ascii="宋体" w:hAnsi="宋体" w:cs="宋体"/>
          <w:szCs w:val="21"/>
        </w:rPr>
        <w:t xml:space="preserve">代理人无转委托权。 </w:t>
      </w:r>
    </w:p>
    <w:p>
      <w:pPr>
        <w:spacing w:line="500" w:lineRule="exact"/>
        <w:ind w:firstLine="420" w:firstLineChars="200"/>
        <w:rPr>
          <w:rFonts w:ascii="宋体" w:hAnsi="宋体" w:cs="宋体"/>
          <w:szCs w:val="21"/>
        </w:rPr>
      </w:pPr>
      <w:r>
        <w:rPr>
          <w:rFonts w:hint="eastAsia" w:ascii="宋体" w:hAnsi="宋体" w:cs="宋体"/>
          <w:szCs w:val="21"/>
        </w:rPr>
        <w:t>附：法定代表人身份证明</w:t>
      </w:r>
    </w:p>
    <w:p>
      <w:pPr>
        <w:spacing w:line="500" w:lineRule="exact"/>
        <w:rPr>
          <w:rFonts w:ascii="宋体" w:hAnsi="宋体" w:cs="宋体"/>
          <w:szCs w:val="21"/>
        </w:rPr>
      </w:pPr>
    </w:p>
    <w:p>
      <w:pPr>
        <w:spacing w:line="500" w:lineRule="exact"/>
        <w:rPr>
          <w:rFonts w:ascii="宋体" w:hAnsi="宋体" w:cs="宋体"/>
          <w:szCs w:val="21"/>
        </w:rPr>
      </w:pPr>
      <w:r>
        <w:rPr>
          <w:rFonts w:hint="eastAsia" w:ascii="宋体" w:hAnsi="宋体" w:cs="宋体"/>
          <w:szCs w:val="21"/>
        </w:rPr>
        <w:t xml:space="preserve">                                </w:t>
      </w:r>
      <w:r>
        <w:rPr>
          <w:rFonts w:hint="eastAsia" w:ascii="宋体" w:hAnsi="宋体" w:cs="宋体"/>
          <w:kern w:val="0"/>
          <w:szCs w:val="21"/>
        </w:rPr>
        <w:t>投  标  人</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（盖单位章）</w:t>
      </w:r>
    </w:p>
    <w:p>
      <w:pPr>
        <w:spacing w:line="500" w:lineRule="exact"/>
        <w:rPr>
          <w:rFonts w:ascii="宋体" w:hAnsi="宋体" w:cs="宋体"/>
          <w:szCs w:val="21"/>
        </w:rPr>
      </w:pPr>
      <w:r>
        <w:rPr>
          <w:rFonts w:hint="eastAsia" w:ascii="宋体" w:hAnsi="宋体" w:cs="宋体"/>
          <w:szCs w:val="21"/>
        </w:rPr>
        <w:t xml:space="preserve">                                法定代表人：</w:t>
      </w:r>
      <w:r>
        <w:rPr>
          <w:rFonts w:hint="eastAsia" w:ascii="宋体" w:hAnsi="宋体" w:cs="宋体"/>
          <w:szCs w:val="21"/>
          <w:u w:val="single"/>
        </w:rPr>
        <w:t xml:space="preserve">                    </w:t>
      </w:r>
      <w:r>
        <w:rPr>
          <w:rFonts w:hint="eastAsia" w:ascii="宋体" w:hAnsi="宋体" w:cs="宋体"/>
          <w:szCs w:val="21"/>
        </w:rPr>
        <w:t>（签字）</w:t>
      </w:r>
    </w:p>
    <w:p>
      <w:pPr>
        <w:spacing w:line="500" w:lineRule="exact"/>
        <w:rPr>
          <w:rFonts w:ascii="宋体" w:hAnsi="宋体" w:cs="宋体"/>
          <w:szCs w:val="21"/>
        </w:rPr>
      </w:pPr>
      <w:r>
        <w:rPr>
          <w:rFonts w:hint="eastAsia" w:ascii="宋体" w:hAnsi="宋体" w:cs="宋体"/>
          <w:szCs w:val="21"/>
        </w:rPr>
        <w:t xml:space="preserve">                                法定代表人身份证号码：</w:t>
      </w:r>
      <w:r>
        <w:rPr>
          <w:rFonts w:hint="eastAsia" w:ascii="宋体" w:hAnsi="宋体" w:cs="宋体"/>
          <w:szCs w:val="21"/>
          <w:u w:val="single"/>
        </w:rPr>
        <w:t xml:space="preserve">                  </w:t>
      </w:r>
    </w:p>
    <w:p>
      <w:pPr>
        <w:spacing w:line="500" w:lineRule="exact"/>
        <w:rPr>
          <w:rFonts w:ascii="宋体" w:hAnsi="宋体" w:cs="宋体"/>
          <w:szCs w:val="21"/>
        </w:rPr>
      </w:pPr>
      <w:r>
        <w:rPr>
          <w:rFonts w:hint="eastAsia" w:ascii="宋体" w:hAnsi="宋体" w:cs="宋体"/>
          <w:szCs w:val="21"/>
        </w:rPr>
        <w:t xml:space="preserve">                                委托代理人：</w:t>
      </w:r>
      <w:r>
        <w:rPr>
          <w:rFonts w:hint="eastAsia" w:ascii="宋体" w:hAnsi="宋体" w:cs="宋体"/>
          <w:szCs w:val="21"/>
          <w:u w:val="single"/>
        </w:rPr>
        <w:t xml:space="preserve">                    </w:t>
      </w:r>
      <w:r>
        <w:rPr>
          <w:rFonts w:hint="eastAsia" w:ascii="宋体" w:hAnsi="宋体" w:cs="宋体"/>
          <w:szCs w:val="21"/>
        </w:rPr>
        <w:t>（签字）</w:t>
      </w:r>
    </w:p>
    <w:p>
      <w:pPr>
        <w:spacing w:line="500" w:lineRule="exact"/>
        <w:rPr>
          <w:rFonts w:ascii="宋体" w:hAnsi="宋体" w:cs="宋体"/>
          <w:szCs w:val="21"/>
        </w:rPr>
      </w:pPr>
      <w:r>
        <w:rPr>
          <w:rFonts w:hint="eastAsia" w:ascii="宋体" w:hAnsi="宋体" w:cs="宋体"/>
          <w:szCs w:val="21"/>
        </w:rPr>
        <w:t xml:space="preserve">                                委托代理人身份证号码：</w:t>
      </w:r>
      <w:r>
        <w:rPr>
          <w:rFonts w:hint="eastAsia" w:ascii="宋体" w:hAnsi="宋体" w:cs="宋体"/>
          <w:szCs w:val="21"/>
          <w:u w:val="single"/>
        </w:rPr>
        <w:t xml:space="preserve">                  </w:t>
      </w:r>
    </w:p>
    <w:p>
      <w:pPr>
        <w:spacing w:line="500" w:lineRule="exact"/>
        <w:rPr>
          <w:rFonts w:ascii="宋体" w:hAnsi="宋体" w:cs="宋体"/>
          <w:szCs w:val="21"/>
        </w:rPr>
      </w:pPr>
    </w:p>
    <w:p>
      <w:pPr>
        <w:spacing w:line="5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500" w:lineRule="exact"/>
        <w:rPr>
          <w:rFonts w:ascii="宋体" w:hAnsi="宋体" w:cs="宋体"/>
          <w:szCs w:val="21"/>
        </w:rPr>
      </w:pPr>
    </w:p>
    <w:p>
      <w:pPr>
        <w:rPr>
          <w:rFonts w:ascii="宋体" w:hAnsi="宋体" w:cs="宋体"/>
          <w:szCs w:val="21"/>
        </w:rPr>
      </w:pPr>
    </w:p>
    <w:p>
      <w:pPr>
        <w:rPr>
          <w:rFonts w:ascii="宋体" w:hAnsi="宋体" w:cs="宋体"/>
          <w:sz w:val="24"/>
        </w:rPr>
      </w:pPr>
    </w:p>
    <w:p>
      <w:pPr>
        <w:spacing w:line="240" w:lineRule="exact"/>
        <w:ind w:left="645" w:leftChars="50" w:hanging="540" w:hangingChars="300"/>
        <w:rPr>
          <w:rFonts w:ascii="宋体" w:hAnsi="宋体" w:cs="宋体"/>
          <w:sz w:val="18"/>
          <w:szCs w:val="18"/>
        </w:rPr>
      </w:pPr>
      <w:r>
        <w:rPr>
          <w:rFonts w:hint="eastAsia" w:ascii="宋体" w:hAnsi="宋体" w:cs="宋体"/>
          <w:sz w:val="18"/>
          <w:szCs w:val="18"/>
        </w:rPr>
        <w:t>注：1.法定代表人和委托代理人必须在授权书上亲笔签名，不得使用印章、签名章或其他电子制版签名；</w:t>
      </w:r>
    </w:p>
    <w:p>
      <w:pPr>
        <w:pStyle w:val="14"/>
        <w:spacing w:line="240" w:lineRule="exact"/>
        <w:ind w:left="705" w:leftChars="250" w:hanging="180" w:hangingChars="100"/>
        <w:rPr>
          <w:rFonts w:ascii="宋体" w:hAnsi="宋体" w:cs="宋体"/>
        </w:rPr>
      </w:pPr>
      <w:r>
        <w:rPr>
          <w:rFonts w:hint="eastAsia" w:ascii="宋体" w:hAnsi="宋体" w:cs="宋体"/>
          <w:lang w:val="en-US" w:eastAsia="zh-CN"/>
        </w:rPr>
        <w:t>2</w:t>
      </w:r>
      <w:r>
        <w:rPr>
          <w:rFonts w:hint="eastAsia" w:ascii="宋体" w:hAnsi="宋体" w:cs="宋体"/>
        </w:rPr>
        <w:t>.本项目的投标及签署承包合同，</w:t>
      </w:r>
      <w:r>
        <w:rPr>
          <w:rFonts w:hint="eastAsia" w:ascii="宋体" w:hAnsi="宋体" w:cs="宋体"/>
          <w:lang w:eastAsia="zh-CN"/>
        </w:rPr>
        <w:t>交易响应单位</w:t>
      </w:r>
      <w:r>
        <w:rPr>
          <w:rFonts w:hint="eastAsia" w:ascii="宋体" w:hAnsi="宋体" w:cs="宋体"/>
        </w:rPr>
        <w:t>只能委托一个代理人；</w:t>
      </w:r>
    </w:p>
    <w:p>
      <w:pPr>
        <w:pStyle w:val="14"/>
        <w:spacing w:line="240" w:lineRule="exact"/>
        <w:ind w:left="705" w:leftChars="250" w:hanging="180" w:hangingChars="100"/>
        <w:rPr>
          <w:rFonts w:ascii="宋体" w:hAnsi="宋体" w:cs="宋体"/>
        </w:rPr>
      </w:pPr>
      <w:r>
        <w:rPr>
          <w:rFonts w:hint="eastAsia" w:ascii="宋体" w:hAnsi="宋体" w:cs="宋体"/>
          <w:lang w:val="en-US" w:eastAsia="zh-CN"/>
        </w:rPr>
        <w:t>3</w:t>
      </w:r>
      <w:r>
        <w:rPr>
          <w:rFonts w:hint="eastAsia" w:ascii="宋体" w:hAnsi="宋体" w:cs="宋体"/>
        </w:rPr>
        <w:t>.如果由</w:t>
      </w:r>
      <w:r>
        <w:rPr>
          <w:rFonts w:hint="eastAsia" w:ascii="宋体" w:hAnsi="宋体" w:cs="宋体"/>
          <w:lang w:eastAsia="zh-CN"/>
        </w:rPr>
        <w:t>交易响应单位</w:t>
      </w:r>
      <w:r>
        <w:rPr>
          <w:rFonts w:hint="eastAsia" w:ascii="宋体" w:hAnsi="宋体" w:cs="宋体"/>
        </w:rPr>
        <w:t>的法定代表人亲自签署</w:t>
      </w:r>
      <w:r>
        <w:rPr>
          <w:rFonts w:hint="eastAsia" w:ascii="宋体" w:hAnsi="宋体" w:cs="宋体"/>
          <w:lang w:eastAsia="zh-CN"/>
        </w:rPr>
        <w:t>交易响应文件</w:t>
      </w:r>
      <w:r>
        <w:rPr>
          <w:rFonts w:hint="eastAsia" w:ascii="宋体" w:hAnsi="宋体" w:cs="宋体"/>
        </w:rPr>
        <w:t>，则不需提交授权委托书。</w:t>
      </w:r>
    </w:p>
    <w:p>
      <w:pPr>
        <w:spacing w:line="280" w:lineRule="exact"/>
        <w:ind w:firstLine="450" w:firstLineChars="250"/>
        <w:rPr>
          <w:rFonts w:ascii="宋体" w:hAnsi="宋体" w:cs="宋体"/>
          <w:sz w:val="18"/>
          <w:szCs w:val="18"/>
        </w:rPr>
      </w:pPr>
      <w:r>
        <w:rPr>
          <w:rFonts w:hint="eastAsia" w:ascii="宋体" w:hAnsi="宋体" w:cs="宋体"/>
          <w:sz w:val="18"/>
          <w:szCs w:val="18"/>
        </w:rPr>
        <w:t xml:space="preserve"> </w:t>
      </w:r>
    </w:p>
    <w:p>
      <w:pPr>
        <w:spacing w:line="280" w:lineRule="exact"/>
        <w:ind w:firstLine="525" w:firstLineChars="250"/>
        <w:rPr>
          <w:rFonts w:ascii="宋体" w:hAnsi="宋体" w:cs="宋体"/>
          <w:szCs w:val="21"/>
        </w:rPr>
      </w:pPr>
    </w:p>
    <w:p>
      <w:pPr>
        <w:spacing w:line="280" w:lineRule="exact"/>
        <w:ind w:firstLine="525" w:firstLineChars="250"/>
        <w:rPr>
          <w:rFonts w:ascii="宋体" w:hAnsi="宋体" w:cs="宋体"/>
          <w:szCs w:val="21"/>
        </w:rPr>
      </w:pPr>
    </w:p>
    <w:p>
      <w:pPr>
        <w:spacing w:line="280" w:lineRule="exact"/>
        <w:ind w:firstLine="525" w:firstLineChars="250"/>
        <w:rPr>
          <w:rFonts w:ascii="宋体" w:hAnsi="宋体" w:cs="宋体"/>
          <w:szCs w:val="21"/>
        </w:rPr>
      </w:pPr>
    </w:p>
    <w:bookmarkEnd w:id="199"/>
    <w:p>
      <w:pPr>
        <w:pStyle w:val="4"/>
        <w:spacing w:beforeLines="100" w:afterLines="150" w:line="440" w:lineRule="exact"/>
        <w:rPr>
          <w:rFonts w:ascii="宋体" w:hAnsi="宋体" w:cs="宋体"/>
          <w:b w:val="0"/>
          <w:sz w:val="36"/>
          <w:szCs w:val="36"/>
        </w:rPr>
      </w:pPr>
      <w:bookmarkStart w:id="206" w:name="_Toc432367777"/>
      <w:bookmarkStart w:id="207" w:name="_Toc19391"/>
    </w:p>
    <w:p>
      <w:pPr>
        <w:pStyle w:val="4"/>
        <w:spacing w:beforeLines="100" w:afterLines="150" w:line="440" w:lineRule="exact"/>
        <w:rPr>
          <w:rFonts w:ascii="宋体" w:hAnsi="宋体" w:cs="宋体"/>
          <w:b w:val="0"/>
          <w:sz w:val="36"/>
          <w:szCs w:val="36"/>
        </w:rPr>
      </w:pPr>
      <w:r>
        <w:rPr>
          <w:rFonts w:hint="eastAsia" w:ascii="宋体" w:hAnsi="宋体" w:cs="宋体"/>
          <w:b w:val="0"/>
          <w:sz w:val="36"/>
          <w:szCs w:val="36"/>
        </w:rPr>
        <w:br w:type="page"/>
      </w:r>
    </w:p>
    <w:bookmarkEnd w:id="206"/>
    <w:bookmarkEnd w:id="207"/>
    <w:p>
      <w:pPr>
        <w:widowControl/>
        <w:spacing w:before="100" w:beforeAutospacing="1" w:after="100" w:afterAutospacing="1"/>
        <w:jc w:val="center"/>
        <w:rPr>
          <w:sz w:val="36"/>
          <w:szCs w:val="36"/>
        </w:rPr>
      </w:pPr>
      <w:r>
        <w:rPr>
          <w:rFonts w:hint="eastAsia" w:ascii="宋体" w:hAnsi="宋体" w:cs="宋体"/>
          <w:b/>
          <w:sz w:val="36"/>
          <w:szCs w:val="36"/>
        </w:rPr>
        <w:t>三、</w:t>
      </w:r>
      <w:r>
        <w:rPr>
          <w:rFonts w:hint="eastAsia" w:ascii="宋体" w:hAnsi="宋体" w:cs="宋体"/>
          <w:color w:val="000000"/>
          <w:kern w:val="0"/>
          <w:sz w:val="36"/>
          <w:szCs w:val="36"/>
          <w:lang w:bidi="ar"/>
        </w:rPr>
        <w:t>投标承诺</w:t>
      </w:r>
    </w:p>
    <w:p>
      <w:pPr>
        <w:widowControl/>
        <w:spacing w:before="100" w:beforeAutospacing="1" w:after="100" w:afterAutospacing="1" w:line="360" w:lineRule="auto"/>
        <w:jc w:val="left"/>
        <w:rPr>
          <w:rFonts w:hint="eastAsia" w:ascii="宋体" w:hAnsi="宋体" w:cs="宋体"/>
          <w:b/>
          <w:sz w:val="36"/>
          <w:szCs w:val="36"/>
        </w:rPr>
      </w:pPr>
    </w:p>
    <w:p>
      <w:pPr>
        <w:widowControl/>
        <w:spacing w:before="100" w:beforeAutospacing="1" w:after="100" w:afterAutospacing="1" w:line="360" w:lineRule="auto"/>
        <w:jc w:val="left"/>
      </w:pPr>
      <w:r>
        <w:rPr>
          <w:rFonts w:hint="eastAsia" w:ascii="宋体" w:hAnsi="宋体" w:cs="宋体"/>
          <w:color w:val="000000"/>
          <w:kern w:val="0"/>
          <w:sz w:val="28"/>
          <w:szCs w:val="28"/>
          <w:lang w:bidi="ar"/>
        </w:rPr>
        <w:t>(招标人名称）：</w:t>
      </w:r>
    </w:p>
    <w:p>
      <w:pPr>
        <w:widowControl/>
        <w:spacing w:before="100" w:beforeAutospacing="1" w:after="100" w:afterAutospacing="1" w:line="360" w:lineRule="auto"/>
        <w:ind w:firstLine="560"/>
        <w:jc w:val="left"/>
      </w:pPr>
      <w:r>
        <w:rPr>
          <w:rFonts w:hint="eastAsia" w:ascii="宋体" w:hAnsi="宋体" w:cs="宋体"/>
          <w:color w:val="000000"/>
          <w:kern w:val="0"/>
          <w:sz w:val="28"/>
          <w:szCs w:val="28"/>
          <w:lang w:bidi="ar"/>
        </w:rPr>
        <w:t>经慎重研究，我公司 （投标人名称，以下称“投标人”）决定于 年____月_____日参与你方组织的 （工程名称）的招标投标，我方承诺严格按照《招标投标法》及其实施条例等法律法规和政策文件的要求，履行投标义务。</w:t>
      </w:r>
    </w:p>
    <w:p>
      <w:pPr>
        <w:widowControl/>
        <w:spacing w:before="100" w:beforeAutospacing="1" w:after="100" w:afterAutospacing="1" w:line="360" w:lineRule="auto"/>
        <w:jc w:val="left"/>
      </w:pPr>
      <w:r>
        <w:rPr>
          <w:rFonts w:hint="eastAsia" w:ascii="宋体" w:hAnsi="宋体" w:cs="宋体"/>
          <w:color w:val="000000"/>
          <w:kern w:val="0"/>
          <w:sz w:val="28"/>
          <w:szCs w:val="28"/>
          <w:lang w:bidi="ar"/>
        </w:rPr>
        <w:t>如果发生不履行相关投标义务的行为，愿意接受法律法规和招标文件作出的处理。</w:t>
      </w:r>
    </w:p>
    <w:p>
      <w:pPr>
        <w:widowControl/>
        <w:spacing w:before="100" w:beforeAutospacing="1" w:after="100" w:afterAutospacing="1" w:line="360" w:lineRule="auto"/>
        <w:jc w:val="left"/>
      </w:pPr>
      <w:r>
        <w:rPr>
          <w:rFonts w:hint="eastAsia" w:ascii="宋体" w:hAnsi="宋体" w:cs="宋体"/>
          <w:color w:val="000000"/>
          <w:kern w:val="0"/>
          <w:sz w:val="28"/>
          <w:szCs w:val="28"/>
          <w:lang w:bidi="ar"/>
        </w:rPr>
        <w:t>投标人： （盖章）</w:t>
      </w:r>
    </w:p>
    <w:p>
      <w:pPr>
        <w:widowControl/>
        <w:spacing w:before="100" w:beforeAutospacing="1" w:after="100" w:afterAutospacing="1" w:line="360" w:lineRule="auto"/>
        <w:jc w:val="left"/>
      </w:pPr>
      <w:r>
        <w:rPr>
          <w:rFonts w:hint="eastAsia" w:ascii="宋体" w:hAnsi="宋体" w:cs="宋体"/>
          <w:color w:val="000000"/>
          <w:kern w:val="0"/>
          <w:sz w:val="28"/>
          <w:szCs w:val="28"/>
          <w:lang w:bidi="ar"/>
        </w:rPr>
        <w:t>法定代表人： （签字或盖章）</w:t>
      </w:r>
    </w:p>
    <w:p>
      <w:pPr>
        <w:widowControl/>
        <w:spacing w:before="100" w:beforeAutospacing="1" w:after="100" w:afterAutospacing="1" w:line="360" w:lineRule="auto"/>
        <w:jc w:val="left"/>
      </w:pPr>
      <w:r>
        <w:rPr>
          <w:rFonts w:hint="eastAsia" w:ascii="宋体" w:hAnsi="宋体" w:cs="宋体"/>
          <w:color w:val="000000"/>
          <w:kern w:val="0"/>
          <w:sz w:val="28"/>
          <w:szCs w:val="28"/>
          <w:lang w:bidi="ar"/>
        </w:rPr>
        <w:t>地址：</w:t>
      </w:r>
    </w:p>
    <w:p>
      <w:pPr>
        <w:widowControl/>
        <w:spacing w:before="100" w:beforeAutospacing="1" w:after="100" w:afterAutospacing="1" w:line="360" w:lineRule="auto"/>
        <w:jc w:val="left"/>
      </w:pPr>
      <w:r>
        <w:rPr>
          <w:rFonts w:hint="eastAsia" w:ascii="宋体" w:hAnsi="宋体" w:cs="宋体"/>
          <w:color w:val="000000"/>
          <w:kern w:val="0"/>
          <w:sz w:val="28"/>
          <w:szCs w:val="28"/>
          <w:lang w:bidi="ar"/>
        </w:rPr>
        <w:t>电话：</w:t>
      </w:r>
    </w:p>
    <w:p>
      <w:pPr>
        <w:widowControl/>
        <w:spacing w:before="100" w:beforeAutospacing="1" w:after="100" w:afterAutospacing="1" w:line="360" w:lineRule="auto"/>
        <w:jc w:val="left"/>
      </w:pPr>
      <w:r>
        <w:rPr>
          <w:rFonts w:hint="eastAsia" w:ascii="宋体" w:hAnsi="宋体" w:cs="宋体"/>
          <w:color w:val="000000"/>
          <w:kern w:val="0"/>
          <w:sz w:val="28"/>
          <w:szCs w:val="28"/>
          <w:lang w:bidi="ar"/>
        </w:rPr>
        <w:t>传真：</w:t>
      </w:r>
    </w:p>
    <w:p>
      <w:pPr>
        <w:widowControl/>
        <w:spacing w:before="100" w:beforeAutospacing="1" w:after="100" w:afterAutospacing="1" w:line="360" w:lineRule="auto"/>
        <w:jc w:val="left"/>
      </w:pPr>
      <w:r>
        <w:rPr>
          <w:rFonts w:hint="eastAsia" w:ascii="宋体" w:hAnsi="宋体" w:cs="宋体"/>
          <w:color w:val="000000"/>
          <w:kern w:val="0"/>
          <w:sz w:val="28"/>
          <w:szCs w:val="28"/>
          <w:lang w:bidi="ar"/>
        </w:rPr>
        <w:t>年 月 日</w:t>
      </w:r>
    </w:p>
    <w:p>
      <w:pPr>
        <w:widowControl/>
        <w:spacing w:before="100" w:beforeAutospacing="1" w:after="100" w:afterAutospacing="1" w:line="360" w:lineRule="auto"/>
        <w:ind w:firstLine="2380"/>
        <w:jc w:val="left"/>
      </w:pPr>
    </w:p>
    <w:p>
      <w:pPr>
        <w:tabs>
          <w:tab w:val="left" w:pos="630"/>
        </w:tabs>
        <w:spacing w:line="440" w:lineRule="exact"/>
        <w:ind w:firstLine="560" w:firstLineChars="200"/>
        <w:rPr>
          <w:rFonts w:ascii="宋体" w:hAnsi="宋体" w:cs="宋体"/>
          <w:kern w:val="0"/>
          <w:szCs w:val="21"/>
        </w:rPr>
      </w:pPr>
      <w:r>
        <w:rPr>
          <w:rFonts w:hint="eastAsia" w:ascii="宋体" w:hAnsi="宋体" w:cs="宋体"/>
          <w:color w:val="000000"/>
          <w:kern w:val="0"/>
          <w:sz w:val="28"/>
          <w:szCs w:val="28"/>
          <w:lang w:bidi="ar"/>
        </w:rPr>
        <w:t>附：银行基本账户开户许可证，没有银行基本账户开户许可证须提供须提供银开出具的相关</w:t>
      </w:r>
      <w:r>
        <w:rPr>
          <w:rFonts w:hint="eastAsia" w:ascii="宋体" w:hAnsi="宋体" w:cs="宋体"/>
          <w:kern w:val="0"/>
          <w:sz w:val="28"/>
          <w:szCs w:val="28"/>
        </w:rPr>
        <w:t>证明</w:t>
      </w:r>
      <w:r>
        <w:rPr>
          <w:rFonts w:hint="eastAsia" w:ascii="宋体" w:hAnsi="宋体" w:cs="宋体"/>
          <w:kern w:val="0"/>
          <w:szCs w:val="21"/>
        </w:rPr>
        <w:t>。</w:t>
      </w:r>
    </w:p>
    <w:p>
      <w:pPr>
        <w:spacing w:line="400" w:lineRule="exact"/>
        <w:ind w:firstLine="420" w:firstLineChars="200"/>
        <w:jc w:val="center"/>
        <w:rPr>
          <w:rFonts w:ascii="宋体" w:hAnsi="宋体" w:cs="宋体"/>
        </w:rPr>
      </w:pPr>
      <w:r>
        <w:rPr>
          <w:rFonts w:hint="eastAsia" w:ascii="宋体" w:hAnsi="宋体" w:cs="宋体"/>
        </w:rPr>
        <w:br w:type="page"/>
      </w:r>
    </w:p>
    <w:p>
      <w:pPr>
        <w:pStyle w:val="4"/>
        <w:numPr>
          <w:ilvl w:val="0"/>
          <w:numId w:val="4"/>
        </w:numPr>
        <w:spacing w:beforeLines="100" w:afterLines="150" w:line="360" w:lineRule="exact"/>
        <w:rPr>
          <w:rFonts w:ascii="宋体" w:hAnsi="宋体" w:cs="宋体"/>
          <w:b w:val="0"/>
          <w:sz w:val="36"/>
          <w:szCs w:val="36"/>
        </w:rPr>
      </w:pPr>
      <w:bookmarkStart w:id="208" w:name="_Toc5439"/>
      <w:bookmarkStart w:id="209" w:name="_Toc432367778"/>
      <w:r>
        <w:rPr>
          <w:rFonts w:hint="eastAsia" w:ascii="宋体" w:hAnsi="宋体" w:cs="宋体"/>
          <w:b w:val="0"/>
          <w:sz w:val="36"/>
          <w:szCs w:val="36"/>
        </w:rPr>
        <w:t>施工组织设计</w:t>
      </w:r>
      <w:bookmarkEnd w:id="200"/>
      <w:bookmarkEnd w:id="208"/>
      <w:bookmarkEnd w:id="209"/>
    </w:p>
    <w:p>
      <w:pPr>
        <w:spacing w:line="500" w:lineRule="exact"/>
        <w:ind w:firstLine="1050" w:firstLineChars="500"/>
        <w:rPr>
          <w:rFonts w:ascii="宋体" w:hAnsi="宋体" w:cs="宋体"/>
          <w:szCs w:val="21"/>
        </w:rPr>
      </w:pPr>
      <w:bookmarkStart w:id="210" w:name="_Toc234382977"/>
      <w:bookmarkStart w:id="211" w:name="_Toc432367779"/>
      <w:r>
        <w:rPr>
          <w:rFonts w:hint="eastAsia" w:ascii="宋体" w:hAnsi="宋体" w:cs="宋体"/>
          <w:szCs w:val="21"/>
          <w:lang w:eastAsia="zh-CN"/>
        </w:rPr>
        <w:t>交易响应单位</w:t>
      </w:r>
      <w:r>
        <w:rPr>
          <w:rFonts w:hint="eastAsia" w:ascii="宋体" w:hAnsi="宋体" w:cs="宋体"/>
          <w:szCs w:val="21"/>
        </w:rPr>
        <w:t>应按以下要点编制施工组织设计（文字宜精炼、内容具有针对性）：</w:t>
      </w:r>
    </w:p>
    <w:p>
      <w:pPr>
        <w:spacing w:line="500" w:lineRule="exact"/>
        <w:ind w:firstLine="1050" w:firstLineChars="500"/>
        <w:rPr>
          <w:rFonts w:ascii="宋体" w:hAnsi="宋体" w:cs="宋体"/>
          <w:szCs w:val="21"/>
        </w:rPr>
      </w:pPr>
      <w:r>
        <w:rPr>
          <w:rFonts w:hint="eastAsia" w:ascii="宋体" w:hAnsi="宋体" w:cs="宋体"/>
          <w:szCs w:val="21"/>
        </w:rPr>
        <w:t>总体施工组织布置及规划</w:t>
      </w:r>
    </w:p>
    <w:p>
      <w:pPr>
        <w:spacing w:line="500" w:lineRule="exact"/>
        <w:ind w:firstLine="1050" w:firstLineChars="500"/>
        <w:rPr>
          <w:rFonts w:ascii="宋体" w:hAnsi="宋体" w:cs="宋体"/>
          <w:szCs w:val="21"/>
        </w:rPr>
      </w:pPr>
      <w:r>
        <w:rPr>
          <w:rFonts w:hint="eastAsia" w:ascii="宋体" w:hAnsi="宋体" w:cs="宋体"/>
          <w:szCs w:val="21"/>
        </w:rPr>
        <w:t>主要工程项目的施工方案、方法与技术措施（尤其对重点、关键和难点工程的施工方案、方法及措施）</w:t>
      </w:r>
    </w:p>
    <w:p>
      <w:pPr>
        <w:spacing w:line="500" w:lineRule="exact"/>
        <w:ind w:firstLine="1050" w:firstLineChars="500"/>
        <w:rPr>
          <w:rFonts w:ascii="宋体" w:hAnsi="宋体" w:cs="宋体"/>
          <w:szCs w:val="21"/>
        </w:rPr>
      </w:pPr>
      <w:r>
        <w:rPr>
          <w:rFonts w:hint="eastAsia" w:ascii="宋体" w:hAnsi="宋体" w:cs="宋体"/>
          <w:szCs w:val="21"/>
        </w:rPr>
        <w:t>工期保证体系及保证措施</w:t>
      </w:r>
    </w:p>
    <w:p>
      <w:pPr>
        <w:spacing w:line="500" w:lineRule="exact"/>
        <w:ind w:firstLine="1050" w:firstLineChars="500"/>
        <w:rPr>
          <w:rFonts w:ascii="宋体" w:hAnsi="宋体" w:cs="宋体"/>
          <w:szCs w:val="21"/>
        </w:rPr>
      </w:pPr>
      <w:r>
        <w:rPr>
          <w:rFonts w:hint="eastAsia" w:ascii="宋体" w:hAnsi="宋体" w:cs="宋体"/>
          <w:szCs w:val="21"/>
        </w:rPr>
        <w:t>工程质量管理体系及保证措施</w:t>
      </w:r>
    </w:p>
    <w:p>
      <w:pPr>
        <w:spacing w:line="500" w:lineRule="exact"/>
        <w:ind w:firstLine="1050" w:firstLineChars="500"/>
        <w:rPr>
          <w:rFonts w:ascii="宋体" w:hAnsi="宋体" w:cs="宋体"/>
          <w:szCs w:val="21"/>
        </w:rPr>
      </w:pPr>
      <w:r>
        <w:rPr>
          <w:rFonts w:hint="eastAsia" w:ascii="宋体" w:hAnsi="宋体" w:cs="宋体"/>
          <w:szCs w:val="21"/>
        </w:rPr>
        <w:t>安全生产管理体系及保证措施</w:t>
      </w:r>
    </w:p>
    <w:p>
      <w:pPr>
        <w:spacing w:line="500" w:lineRule="exact"/>
        <w:ind w:firstLine="1050" w:firstLineChars="500"/>
        <w:rPr>
          <w:rFonts w:ascii="宋体" w:hAnsi="宋体" w:cs="宋体"/>
          <w:szCs w:val="21"/>
        </w:rPr>
      </w:pPr>
      <w:r>
        <w:rPr>
          <w:rFonts w:hint="eastAsia" w:ascii="宋体" w:hAnsi="宋体" w:cs="宋体"/>
          <w:szCs w:val="21"/>
        </w:rPr>
        <w:t>环境保护、水土保持保证体系及保证措施</w:t>
      </w:r>
    </w:p>
    <w:p>
      <w:pPr>
        <w:spacing w:line="500" w:lineRule="exact"/>
        <w:ind w:firstLine="1050" w:firstLineChars="500"/>
        <w:rPr>
          <w:rFonts w:ascii="宋体" w:hAnsi="宋体" w:cs="宋体"/>
          <w:szCs w:val="21"/>
        </w:rPr>
      </w:pPr>
      <w:r>
        <w:rPr>
          <w:rFonts w:hint="eastAsia" w:ascii="宋体" w:hAnsi="宋体" w:cs="宋体"/>
          <w:szCs w:val="21"/>
        </w:rPr>
        <w:t>文明施工、文物保护保证体系及保证措施</w:t>
      </w:r>
    </w:p>
    <w:p>
      <w:pPr>
        <w:spacing w:line="500" w:lineRule="exact"/>
        <w:ind w:firstLine="1050" w:firstLineChars="500"/>
        <w:rPr>
          <w:rFonts w:ascii="宋体" w:hAnsi="宋体" w:cs="宋体"/>
          <w:szCs w:val="21"/>
        </w:rPr>
      </w:pPr>
      <w:r>
        <w:rPr>
          <w:rFonts w:hint="eastAsia" w:ascii="宋体" w:hAnsi="宋体" w:cs="宋体"/>
          <w:szCs w:val="21"/>
        </w:rPr>
        <w:t>项目风险预测与防范，事故应急预案</w:t>
      </w:r>
    </w:p>
    <w:p>
      <w:pPr>
        <w:spacing w:line="500" w:lineRule="exact"/>
        <w:ind w:firstLine="1050" w:firstLineChars="500"/>
        <w:rPr>
          <w:rFonts w:ascii="宋体" w:hAnsi="宋体" w:cs="宋体"/>
          <w:szCs w:val="21"/>
        </w:rPr>
      </w:pPr>
      <w:r>
        <w:rPr>
          <w:rFonts w:hint="eastAsia" w:ascii="宋体" w:hAnsi="宋体" w:cs="宋体"/>
          <w:szCs w:val="21"/>
        </w:rPr>
        <w:t>其他应说明的事项</w:t>
      </w:r>
    </w:p>
    <w:p>
      <w:pPr>
        <w:spacing w:line="500" w:lineRule="exact"/>
        <w:ind w:firstLine="1050" w:firstLineChars="500"/>
        <w:rPr>
          <w:rFonts w:ascii="宋体" w:hAnsi="宋体" w:cs="宋体"/>
          <w:szCs w:val="21"/>
        </w:rPr>
      </w:pPr>
      <w:r>
        <w:rPr>
          <w:rFonts w:hint="eastAsia" w:ascii="宋体" w:hAnsi="宋体" w:cs="宋体"/>
          <w:szCs w:val="21"/>
        </w:rPr>
        <w:t>施工组织设计除采用文字表述外可附下列图表，图表及格式要求附后。</w:t>
      </w:r>
    </w:p>
    <w:p>
      <w:pPr>
        <w:spacing w:line="500" w:lineRule="exact"/>
        <w:ind w:firstLine="1050" w:firstLineChars="500"/>
        <w:rPr>
          <w:rFonts w:ascii="宋体" w:hAnsi="宋体" w:cs="宋体"/>
          <w:szCs w:val="21"/>
        </w:rPr>
      </w:pPr>
      <w:r>
        <w:rPr>
          <w:rFonts w:hint="eastAsia" w:ascii="宋体" w:hAnsi="宋体" w:cs="宋体"/>
          <w:szCs w:val="21"/>
        </w:rPr>
        <w:t>附表一</w:t>
      </w:r>
      <w:r>
        <w:rPr>
          <w:rFonts w:hint="eastAsia" w:ascii="宋体" w:hAnsi="宋体" w:cs="宋体"/>
          <w:szCs w:val="21"/>
        </w:rPr>
        <w:tab/>
      </w:r>
      <w:r>
        <w:rPr>
          <w:rFonts w:hint="eastAsia" w:ascii="宋体" w:hAnsi="宋体" w:cs="宋体"/>
          <w:szCs w:val="21"/>
        </w:rPr>
        <w:t>施工总体计划表</w:t>
      </w:r>
    </w:p>
    <w:p>
      <w:pPr>
        <w:spacing w:line="500" w:lineRule="exact"/>
        <w:ind w:firstLine="1050" w:firstLineChars="500"/>
        <w:rPr>
          <w:rFonts w:ascii="宋体" w:hAnsi="宋体" w:cs="宋体"/>
          <w:szCs w:val="21"/>
        </w:rPr>
      </w:pPr>
      <w:r>
        <w:rPr>
          <w:rFonts w:hint="eastAsia" w:ascii="宋体" w:hAnsi="宋体" w:cs="宋体"/>
          <w:szCs w:val="21"/>
        </w:rPr>
        <w:t>附表二</w:t>
      </w:r>
      <w:r>
        <w:rPr>
          <w:rFonts w:hint="eastAsia" w:ascii="宋体" w:hAnsi="宋体" w:cs="宋体"/>
          <w:szCs w:val="21"/>
        </w:rPr>
        <w:tab/>
      </w:r>
      <w:r>
        <w:rPr>
          <w:rFonts w:hint="eastAsia" w:ascii="宋体" w:hAnsi="宋体" w:cs="宋体"/>
          <w:szCs w:val="21"/>
        </w:rPr>
        <w:t>分项工程进度率计划（斜率图） 附表三</w:t>
      </w:r>
      <w:r>
        <w:rPr>
          <w:rFonts w:hint="eastAsia" w:ascii="宋体" w:hAnsi="宋体" w:cs="宋体"/>
          <w:szCs w:val="21"/>
        </w:rPr>
        <w:tab/>
      </w:r>
      <w:r>
        <w:rPr>
          <w:rFonts w:hint="eastAsia" w:ascii="宋体" w:hAnsi="宋体" w:cs="宋体"/>
          <w:szCs w:val="21"/>
        </w:rPr>
        <w:t>工程管理曲线</w:t>
      </w:r>
    </w:p>
    <w:p>
      <w:pPr>
        <w:spacing w:line="500" w:lineRule="exact"/>
        <w:ind w:firstLine="1050" w:firstLineChars="500"/>
        <w:rPr>
          <w:rFonts w:ascii="宋体" w:hAnsi="宋体" w:cs="宋体"/>
          <w:szCs w:val="21"/>
        </w:rPr>
      </w:pPr>
      <w:r>
        <w:rPr>
          <w:rFonts w:hint="eastAsia" w:ascii="宋体" w:hAnsi="宋体" w:cs="宋体"/>
          <w:szCs w:val="21"/>
        </w:rPr>
        <w:t>附表四</w:t>
      </w:r>
      <w:r>
        <w:rPr>
          <w:rFonts w:hint="eastAsia" w:ascii="宋体" w:hAnsi="宋体" w:cs="宋体"/>
          <w:szCs w:val="21"/>
        </w:rPr>
        <w:tab/>
      </w:r>
      <w:r>
        <w:rPr>
          <w:rFonts w:hint="eastAsia" w:ascii="宋体" w:hAnsi="宋体" w:cs="宋体"/>
          <w:szCs w:val="21"/>
        </w:rPr>
        <w:t>分项工程生产率和施工周期表附表五</w:t>
      </w:r>
      <w:r>
        <w:rPr>
          <w:rFonts w:hint="eastAsia" w:ascii="宋体" w:hAnsi="宋体" w:cs="宋体"/>
          <w:szCs w:val="21"/>
        </w:rPr>
        <w:tab/>
      </w:r>
      <w:r>
        <w:rPr>
          <w:rFonts w:hint="eastAsia" w:ascii="宋体" w:hAnsi="宋体" w:cs="宋体"/>
          <w:szCs w:val="21"/>
        </w:rPr>
        <w:t>施工总平面图</w:t>
      </w:r>
    </w:p>
    <w:p>
      <w:pPr>
        <w:spacing w:line="500" w:lineRule="exact"/>
        <w:ind w:firstLine="1050" w:firstLineChars="500"/>
        <w:rPr>
          <w:rFonts w:ascii="宋体" w:hAnsi="宋体" w:cs="宋体"/>
          <w:szCs w:val="21"/>
        </w:rPr>
      </w:pPr>
      <w:r>
        <w:rPr>
          <w:rFonts w:hint="eastAsia" w:ascii="宋体" w:hAnsi="宋体" w:cs="宋体"/>
          <w:szCs w:val="21"/>
        </w:rPr>
        <w:t>附表六</w:t>
      </w:r>
      <w:r>
        <w:rPr>
          <w:rFonts w:hint="eastAsia" w:ascii="宋体" w:hAnsi="宋体" w:cs="宋体"/>
          <w:szCs w:val="21"/>
        </w:rPr>
        <w:tab/>
      </w:r>
      <w:r>
        <w:rPr>
          <w:rFonts w:hint="eastAsia" w:ascii="宋体" w:hAnsi="宋体" w:cs="宋体"/>
          <w:szCs w:val="21"/>
        </w:rPr>
        <w:t>劳动力计划表 附表七</w:t>
      </w:r>
      <w:r>
        <w:rPr>
          <w:rFonts w:hint="eastAsia" w:ascii="宋体" w:hAnsi="宋体" w:cs="宋体"/>
          <w:szCs w:val="21"/>
        </w:rPr>
        <w:tab/>
      </w:r>
      <w:r>
        <w:rPr>
          <w:rFonts w:hint="eastAsia" w:ascii="宋体" w:hAnsi="宋体" w:cs="宋体"/>
          <w:szCs w:val="21"/>
        </w:rPr>
        <w:t>临时占地计划表</w:t>
      </w:r>
    </w:p>
    <w:p>
      <w:pPr>
        <w:spacing w:line="500" w:lineRule="exact"/>
        <w:ind w:firstLine="1050" w:firstLineChars="500"/>
        <w:rPr>
          <w:rFonts w:ascii="宋体" w:hAnsi="宋体" w:cs="宋体"/>
          <w:szCs w:val="21"/>
        </w:rPr>
      </w:pPr>
      <w:r>
        <w:rPr>
          <w:rFonts w:hint="eastAsia" w:ascii="宋体" w:hAnsi="宋体" w:cs="宋体"/>
          <w:szCs w:val="21"/>
        </w:rPr>
        <w:t>附表八</w:t>
      </w:r>
      <w:r>
        <w:rPr>
          <w:rFonts w:hint="eastAsia" w:ascii="宋体" w:hAnsi="宋体" w:cs="宋体"/>
          <w:szCs w:val="21"/>
        </w:rPr>
        <w:tab/>
      </w:r>
      <w:r>
        <w:rPr>
          <w:rFonts w:hint="eastAsia" w:ascii="宋体" w:hAnsi="宋体" w:cs="宋体"/>
          <w:szCs w:val="21"/>
        </w:rPr>
        <w:t>外供电力需求计划表</w:t>
      </w:r>
    </w:p>
    <w:p>
      <w:pPr>
        <w:pStyle w:val="4"/>
        <w:spacing w:beforeLines="100" w:afterLines="150" w:line="360" w:lineRule="exact"/>
        <w:rPr>
          <w:rFonts w:ascii="宋体" w:hAnsi="宋体" w:cs="宋体"/>
          <w:b w:val="0"/>
          <w:sz w:val="36"/>
          <w:szCs w:val="36"/>
        </w:rPr>
      </w:pPr>
      <w:r>
        <w:rPr>
          <w:rFonts w:hint="eastAsia" w:ascii="宋体" w:hAnsi="宋体" w:cs="宋体"/>
          <w:b w:val="0"/>
          <w:sz w:val="36"/>
          <w:szCs w:val="36"/>
        </w:rPr>
        <w:t xml:space="preserve">         </w:t>
      </w:r>
      <w:bookmarkStart w:id="212" w:name="_Toc8568"/>
    </w:p>
    <w:p>
      <w:pPr>
        <w:pStyle w:val="4"/>
        <w:spacing w:beforeLines="100" w:afterLines="150" w:line="360" w:lineRule="exact"/>
        <w:ind w:firstLine="3060" w:firstLineChars="850"/>
        <w:rPr>
          <w:rFonts w:ascii="宋体" w:hAnsi="宋体" w:cs="宋体"/>
          <w:b w:val="0"/>
          <w:sz w:val="36"/>
          <w:szCs w:val="36"/>
        </w:rPr>
      </w:pPr>
    </w:p>
    <w:p>
      <w:pPr>
        <w:rPr>
          <w:rFonts w:ascii="宋体" w:hAnsi="宋体"/>
          <w:sz w:val="24"/>
        </w:rPr>
      </w:pPr>
    </w:p>
    <w:p>
      <w:pPr>
        <w:spacing w:before="61"/>
        <w:ind w:right="176"/>
        <w:rPr>
          <w:rFonts w:ascii="黑体" w:eastAsia="黑体"/>
          <w:sz w:val="28"/>
        </w:rPr>
      </w:pPr>
      <w:r>
        <w:rPr>
          <w:rFonts w:hint="eastAsia" w:ascii="黑体" w:eastAsia="黑体"/>
          <w:sz w:val="28"/>
        </w:rPr>
        <w:br w:type="page"/>
      </w:r>
      <w:r>
        <w:rPr>
          <w:rFonts w:hint="eastAsia" w:ascii="黑体" w:eastAsia="黑体"/>
          <w:sz w:val="28"/>
        </w:rPr>
        <w:t>五、项目管理机构</w:t>
      </w:r>
    </w:p>
    <w:p>
      <w:pPr>
        <w:pStyle w:val="10"/>
        <w:rPr>
          <w:rFonts w:ascii="黑体"/>
          <w:sz w:val="20"/>
        </w:rPr>
      </w:pPr>
    </w:p>
    <w:p>
      <w:pPr>
        <w:pStyle w:val="10"/>
        <w:rPr>
          <w:rFonts w:ascii="黑体"/>
          <w:sz w:val="20"/>
        </w:rPr>
      </w:pPr>
    </w:p>
    <w:p>
      <w:pPr>
        <w:pStyle w:val="10"/>
        <w:spacing w:before="1"/>
        <w:rPr>
          <w:rFonts w:ascii="黑体"/>
          <w:sz w:val="18"/>
        </w:rPr>
      </w:pPr>
    </w:p>
    <w:tbl>
      <w:tblPr>
        <w:tblStyle w:val="16"/>
        <w:tblW w:w="8726" w:type="dxa"/>
        <w:tblInd w:w="27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69" w:hRule="atLeast"/>
        </w:trPr>
        <w:tc>
          <w:tcPr>
            <w:tcW w:w="8726" w:type="dxa"/>
          </w:tcPr>
          <w:p>
            <w:pPr>
              <w:pStyle w:val="33"/>
              <w:rPr>
                <w:rFonts w:ascii="黑体"/>
                <w:sz w:val="20"/>
              </w:rPr>
            </w:pPr>
          </w:p>
          <w:p>
            <w:pPr>
              <w:pStyle w:val="33"/>
              <w:rPr>
                <w:rFonts w:ascii="黑体"/>
                <w:sz w:val="20"/>
              </w:rPr>
            </w:pPr>
          </w:p>
          <w:p>
            <w:pPr>
              <w:pStyle w:val="33"/>
              <w:rPr>
                <w:rFonts w:ascii="黑体"/>
                <w:sz w:val="20"/>
              </w:rPr>
            </w:pPr>
          </w:p>
          <w:p>
            <w:pPr>
              <w:pStyle w:val="33"/>
              <w:ind w:left="378"/>
            </w:pPr>
            <w:r>
              <w:t>拟为承包本标段工程设立的组织机构以框图方式表示。</w:t>
            </w:r>
          </w:p>
        </w:tc>
      </w:tr>
    </w:tbl>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pStyle w:val="4"/>
        <w:spacing w:line="300" w:lineRule="exact"/>
        <w:rPr>
          <w:rFonts w:ascii="宋体" w:hAnsi="宋体" w:cs="宋体"/>
          <w:b w:val="0"/>
          <w:sz w:val="30"/>
          <w:szCs w:val="30"/>
        </w:rPr>
      </w:pPr>
      <w:r>
        <w:rPr>
          <w:rFonts w:hint="eastAsia" w:ascii="宋体" w:hAnsi="宋体" w:cs="宋体"/>
          <w:b w:val="0"/>
          <w:sz w:val="30"/>
          <w:szCs w:val="30"/>
        </w:rPr>
        <w:br w:type="page"/>
      </w:r>
      <w:bookmarkEnd w:id="210"/>
      <w:bookmarkEnd w:id="211"/>
      <w:bookmarkEnd w:id="212"/>
      <w:bookmarkStart w:id="213" w:name="_Toc234382978"/>
    </w:p>
    <w:bookmarkEnd w:id="213"/>
    <w:p>
      <w:pPr>
        <w:spacing w:before="56"/>
        <w:ind w:right="176"/>
        <w:jc w:val="center"/>
        <w:rPr>
          <w:rFonts w:ascii="黑体"/>
          <w:sz w:val="35"/>
        </w:rPr>
      </w:pPr>
      <w:bookmarkStart w:id="214" w:name="_Toc234382989"/>
      <w:r>
        <w:rPr>
          <w:rFonts w:hint="eastAsia" w:ascii="黑体" w:eastAsia="黑体"/>
          <w:sz w:val="28"/>
        </w:rPr>
        <w:t>六、资格审查资料</w:t>
      </w:r>
    </w:p>
    <w:p>
      <w:pPr>
        <w:pStyle w:val="10"/>
        <w:spacing w:after="5"/>
        <w:ind w:right="180"/>
        <w:jc w:val="center"/>
        <w:rPr>
          <w:rFonts w:ascii="黑体" w:eastAsia="黑体"/>
        </w:rPr>
      </w:pPr>
      <w:bookmarkStart w:id="215" w:name="_bookmark311"/>
      <w:bookmarkEnd w:id="215"/>
      <w:r>
        <w:rPr>
          <w:rFonts w:hint="eastAsia" w:ascii="黑体" w:eastAsia="黑体"/>
        </w:rPr>
        <w:t>（一）</w:t>
      </w:r>
      <w:r>
        <w:rPr>
          <w:rFonts w:hint="eastAsia" w:ascii="黑体" w:eastAsia="黑体"/>
          <w:lang w:eastAsia="zh-CN"/>
        </w:rPr>
        <w:t>交易响应单位</w:t>
      </w:r>
      <w:r>
        <w:rPr>
          <w:rFonts w:hint="eastAsia" w:ascii="黑体" w:eastAsia="黑体"/>
        </w:rPr>
        <w:t>基本情况表</w:t>
      </w:r>
    </w:p>
    <w:tbl>
      <w:tblPr>
        <w:tblStyle w:val="16"/>
        <w:tblW w:w="9294"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901"/>
        <w:gridCol w:w="1080"/>
        <w:gridCol w:w="528"/>
        <w:gridCol w:w="732"/>
        <w:gridCol w:w="1077"/>
        <w:gridCol w:w="182"/>
        <w:gridCol w:w="900"/>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08" w:type="dxa"/>
          </w:tcPr>
          <w:p>
            <w:pPr>
              <w:pStyle w:val="33"/>
              <w:spacing w:before="142"/>
              <w:ind w:left="426"/>
            </w:pPr>
            <w:r>
              <w:rPr>
                <w:rFonts w:hint="eastAsia"/>
                <w:lang w:eastAsia="zh-CN"/>
              </w:rPr>
              <w:t>交易响应单位</w:t>
            </w:r>
            <w:r>
              <w:t>名称</w:t>
            </w:r>
          </w:p>
        </w:tc>
        <w:tc>
          <w:tcPr>
            <w:tcW w:w="7386" w:type="dxa"/>
            <w:gridSpan w:val="8"/>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08" w:type="dxa"/>
          </w:tcPr>
          <w:p>
            <w:pPr>
              <w:pStyle w:val="33"/>
              <w:spacing w:before="142"/>
              <w:ind w:left="532"/>
            </w:pPr>
            <w:r>
              <w:t>注册地址</w:t>
            </w:r>
          </w:p>
        </w:tc>
        <w:tc>
          <w:tcPr>
            <w:tcW w:w="3241" w:type="dxa"/>
            <w:gridSpan w:val="4"/>
          </w:tcPr>
          <w:p>
            <w:pPr>
              <w:pStyle w:val="33"/>
              <w:rPr>
                <w:rFonts w:ascii="Times New Roman"/>
                <w:sz w:val="20"/>
              </w:rPr>
            </w:pPr>
          </w:p>
        </w:tc>
        <w:tc>
          <w:tcPr>
            <w:tcW w:w="1077" w:type="dxa"/>
          </w:tcPr>
          <w:p>
            <w:pPr>
              <w:pStyle w:val="33"/>
              <w:spacing w:before="142"/>
              <w:ind w:left="98" w:right="88"/>
              <w:jc w:val="center"/>
            </w:pPr>
            <w:r>
              <w:t>邮政编码</w:t>
            </w:r>
          </w:p>
        </w:tc>
        <w:tc>
          <w:tcPr>
            <w:tcW w:w="3068" w:type="dxa"/>
            <w:gridSpan w:val="3"/>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08" w:type="dxa"/>
            <w:vMerge w:val="restart"/>
          </w:tcPr>
          <w:p>
            <w:pPr>
              <w:pStyle w:val="33"/>
              <w:spacing w:before="9"/>
              <w:rPr>
                <w:rFonts w:ascii="黑体"/>
                <w:sz w:val="28"/>
              </w:rPr>
            </w:pPr>
          </w:p>
          <w:p>
            <w:pPr>
              <w:pStyle w:val="33"/>
              <w:ind w:left="532"/>
            </w:pPr>
            <w:r>
              <w:t>联系方式</w:t>
            </w:r>
          </w:p>
        </w:tc>
        <w:tc>
          <w:tcPr>
            <w:tcW w:w="901" w:type="dxa"/>
          </w:tcPr>
          <w:p>
            <w:pPr>
              <w:pStyle w:val="33"/>
              <w:spacing w:before="142"/>
              <w:ind w:left="10"/>
              <w:jc w:val="center"/>
            </w:pPr>
            <w:r>
              <w:t>联系人</w:t>
            </w:r>
          </w:p>
        </w:tc>
        <w:tc>
          <w:tcPr>
            <w:tcW w:w="2340" w:type="dxa"/>
            <w:gridSpan w:val="3"/>
          </w:tcPr>
          <w:p>
            <w:pPr>
              <w:pStyle w:val="33"/>
              <w:rPr>
                <w:rFonts w:ascii="Times New Roman"/>
                <w:sz w:val="20"/>
              </w:rPr>
            </w:pPr>
          </w:p>
        </w:tc>
        <w:tc>
          <w:tcPr>
            <w:tcW w:w="1077" w:type="dxa"/>
          </w:tcPr>
          <w:p>
            <w:pPr>
              <w:pStyle w:val="33"/>
              <w:spacing w:before="142"/>
              <w:ind w:left="98" w:right="86"/>
              <w:jc w:val="center"/>
            </w:pPr>
            <w:r>
              <w:t>电 话</w:t>
            </w:r>
          </w:p>
        </w:tc>
        <w:tc>
          <w:tcPr>
            <w:tcW w:w="3068" w:type="dxa"/>
            <w:gridSpan w:val="3"/>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08" w:type="dxa"/>
            <w:vMerge w:val="continue"/>
            <w:tcBorders>
              <w:top w:val="nil"/>
            </w:tcBorders>
          </w:tcPr>
          <w:p>
            <w:pPr>
              <w:rPr>
                <w:sz w:val="2"/>
                <w:szCs w:val="2"/>
              </w:rPr>
            </w:pPr>
          </w:p>
        </w:tc>
        <w:tc>
          <w:tcPr>
            <w:tcW w:w="901" w:type="dxa"/>
          </w:tcPr>
          <w:p>
            <w:pPr>
              <w:pStyle w:val="33"/>
              <w:tabs>
                <w:tab w:val="left" w:pos="434"/>
              </w:tabs>
              <w:spacing w:before="142"/>
              <w:ind w:left="11"/>
              <w:jc w:val="center"/>
            </w:pPr>
            <w:r>
              <w:t>传</w:t>
            </w:r>
            <w:r>
              <w:tab/>
            </w:r>
            <w:r>
              <w:t>真</w:t>
            </w:r>
          </w:p>
        </w:tc>
        <w:tc>
          <w:tcPr>
            <w:tcW w:w="2340" w:type="dxa"/>
            <w:gridSpan w:val="3"/>
          </w:tcPr>
          <w:p>
            <w:pPr>
              <w:pStyle w:val="33"/>
              <w:rPr>
                <w:rFonts w:ascii="Times New Roman"/>
                <w:sz w:val="20"/>
              </w:rPr>
            </w:pPr>
          </w:p>
        </w:tc>
        <w:tc>
          <w:tcPr>
            <w:tcW w:w="1077" w:type="dxa"/>
          </w:tcPr>
          <w:p>
            <w:pPr>
              <w:pStyle w:val="33"/>
              <w:spacing w:before="142"/>
              <w:ind w:left="98" w:right="88"/>
              <w:jc w:val="center"/>
            </w:pPr>
            <w:r>
              <w:t>电子邮件</w:t>
            </w:r>
          </w:p>
        </w:tc>
        <w:tc>
          <w:tcPr>
            <w:tcW w:w="3068" w:type="dxa"/>
            <w:gridSpan w:val="3"/>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908" w:type="dxa"/>
          </w:tcPr>
          <w:p>
            <w:pPr>
              <w:pStyle w:val="33"/>
              <w:spacing w:before="143"/>
              <w:ind w:left="426"/>
            </w:pPr>
            <w:r>
              <w:t>法定代表人</w:t>
            </w:r>
          </w:p>
        </w:tc>
        <w:tc>
          <w:tcPr>
            <w:tcW w:w="901" w:type="dxa"/>
          </w:tcPr>
          <w:p>
            <w:pPr>
              <w:pStyle w:val="33"/>
              <w:spacing w:before="143"/>
              <w:ind w:left="10"/>
              <w:jc w:val="center"/>
            </w:pPr>
            <w:r>
              <w:t>姓名</w:t>
            </w:r>
          </w:p>
        </w:tc>
        <w:tc>
          <w:tcPr>
            <w:tcW w:w="1080" w:type="dxa"/>
          </w:tcPr>
          <w:p>
            <w:pPr>
              <w:pStyle w:val="33"/>
              <w:rPr>
                <w:rFonts w:ascii="Times New Roman"/>
                <w:sz w:val="20"/>
              </w:rPr>
            </w:pPr>
          </w:p>
        </w:tc>
        <w:tc>
          <w:tcPr>
            <w:tcW w:w="1260" w:type="dxa"/>
            <w:gridSpan w:val="2"/>
          </w:tcPr>
          <w:p>
            <w:pPr>
              <w:pStyle w:val="33"/>
              <w:spacing w:before="143"/>
              <w:ind w:left="208"/>
            </w:pPr>
            <w:r>
              <w:t>技术职称</w:t>
            </w:r>
          </w:p>
        </w:tc>
        <w:tc>
          <w:tcPr>
            <w:tcW w:w="1077" w:type="dxa"/>
          </w:tcPr>
          <w:p>
            <w:pPr>
              <w:pStyle w:val="33"/>
              <w:rPr>
                <w:rFonts w:ascii="Times New Roman"/>
                <w:sz w:val="20"/>
              </w:rPr>
            </w:pPr>
          </w:p>
        </w:tc>
        <w:tc>
          <w:tcPr>
            <w:tcW w:w="1082" w:type="dxa"/>
            <w:gridSpan w:val="2"/>
          </w:tcPr>
          <w:p>
            <w:pPr>
              <w:pStyle w:val="33"/>
              <w:spacing w:before="143"/>
              <w:ind w:left="331"/>
            </w:pPr>
            <w:r>
              <w:t>电话</w:t>
            </w:r>
          </w:p>
        </w:tc>
        <w:tc>
          <w:tcPr>
            <w:tcW w:w="1986"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08" w:type="dxa"/>
          </w:tcPr>
          <w:p>
            <w:pPr>
              <w:pStyle w:val="33"/>
              <w:spacing w:before="142"/>
              <w:ind w:left="426"/>
              <w:rPr>
                <w:rFonts w:hint="eastAsia" w:eastAsia="宋体"/>
                <w:lang w:eastAsia="zh-CN"/>
              </w:rPr>
            </w:pPr>
            <w:r>
              <w:rPr>
                <w:rFonts w:hint="eastAsia"/>
                <w:lang w:eastAsia="zh-CN"/>
              </w:rPr>
              <w:t>总工程师</w:t>
            </w:r>
          </w:p>
        </w:tc>
        <w:tc>
          <w:tcPr>
            <w:tcW w:w="901" w:type="dxa"/>
          </w:tcPr>
          <w:p>
            <w:pPr>
              <w:pStyle w:val="33"/>
              <w:spacing w:before="142"/>
              <w:ind w:left="10"/>
              <w:jc w:val="center"/>
            </w:pPr>
            <w:r>
              <w:t>姓名</w:t>
            </w:r>
          </w:p>
        </w:tc>
        <w:tc>
          <w:tcPr>
            <w:tcW w:w="1080" w:type="dxa"/>
          </w:tcPr>
          <w:p>
            <w:pPr>
              <w:pStyle w:val="33"/>
              <w:rPr>
                <w:rFonts w:ascii="Times New Roman"/>
                <w:sz w:val="20"/>
              </w:rPr>
            </w:pPr>
          </w:p>
        </w:tc>
        <w:tc>
          <w:tcPr>
            <w:tcW w:w="1260" w:type="dxa"/>
            <w:gridSpan w:val="2"/>
          </w:tcPr>
          <w:p>
            <w:pPr>
              <w:pStyle w:val="33"/>
              <w:spacing w:before="142"/>
              <w:ind w:left="208"/>
            </w:pPr>
            <w:r>
              <w:t>技术职称</w:t>
            </w:r>
          </w:p>
        </w:tc>
        <w:tc>
          <w:tcPr>
            <w:tcW w:w="1077" w:type="dxa"/>
          </w:tcPr>
          <w:p>
            <w:pPr>
              <w:pStyle w:val="33"/>
              <w:rPr>
                <w:rFonts w:ascii="Times New Roman"/>
                <w:sz w:val="20"/>
              </w:rPr>
            </w:pPr>
          </w:p>
        </w:tc>
        <w:tc>
          <w:tcPr>
            <w:tcW w:w="1082" w:type="dxa"/>
            <w:gridSpan w:val="2"/>
          </w:tcPr>
          <w:p>
            <w:pPr>
              <w:pStyle w:val="33"/>
              <w:spacing w:before="142"/>
              <w:ind w:left="331"/>
            </w:pPr>
            <w:r>
              <w:t>电话</w:t>
            </w:r>
          </w:p>
        </w:tc>
        <w:tc>
          <w:tcPr>
            <w:tcW w:w="1986"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08" w:type="dxa"/>
          </w:tcPr>
          <w:p>
            <w:pPr>
              <w:pStyle w:val="33"/>
              <w:spacing w:before="142"/>
              <w:ind w:left="426"/>
            </w:pPr>
            <w:r>
              <w:t>营业执照号</w:t>
            </w:r>
          </w:p>
        </w:tc>
        <w:tc>
          <w:tcPr>
            <w:tcW w:w="1981" w:type="dxa"/>
            <w:gridSpan w:val="2"/>
          </w:tcPr>
          <w:p>
            <w:pPr>
              <w:pStyle w:val="33"/>
              <w:rPr>
                <w:rFonts w:ascii="Times New Roman"/>
                <w:sz w:val="20"/>
              </w:rPr>
            </w:pPr>
          </w:p>
        </w:tc>
        <w:tc>
          <w:tcPr>
            <w:tcW w:w="5405" w:type="dxa"/>
            <w:gridSpan w:val="6"/>
          </w:tcPr>
          <w:p>
            <w:pPr>
              <w:pStyle w:val="33"/>
              <w:spacing w:before="142"/>
              <w:ind w:left="1922" w:right="1807"/>
              <w:jc w:val="center"/>
            </w:pPr>
            <w: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08" w:type="dxa"/>
          </w:tcPr>
          <w:p>
            <w:pPr>
              <w:pStyle w:val="33"/>
              <w:spacing w:before="142"/>
              <w:ind w:left="323"/>
            </w:pPr>
            <w:r>
              <w:t>企业资质等级</w:t>
            </w:r>
          </w:p>
        </w:tc>
        <w:tc>
          <w:tcPr>
            <w:tcW w:w="1981" w:type="dxa"/>
            <w:gridSpan w:val="2"/>
          </w:tcPr>
          <w:p>
            <w:pPr>
              <w:pStyle w:val="33"/>
              <w:rPr>
                <w:rFonts w:ascii="Times New Roman"/>
                <w:sz w:val="20"/>
              </w:rPr>
            </w:pPr>
          </w:p>
        </w:tc>
        <w:tc>
          <w:tcPr>
            <w:tcW w:w="528" w:type="dxa"/>
            <w:vMerge w:val="restart"/>
          </w:tcPr>
          <w:p>
            <w:pPr>
              <w:pStyle w:val="33"/>
              <w:rPr>
                <w:rFonts w:ascii="黑体"/>
                <w:sz w:val="20"/>
              </w:rPr>
            </w:pPr>
          </w:p>
          <w:p>
            <w:pPr>
              <w:pStyle w:val="33"/>
              <w:rPr>
                <w:rFonts w:ascii="黑体"/>
                <w:sz w:val="20"/>
              </w:rPr>
            </w:pPr>
          </w:p>
          <w:p>
            <w:pPr>
              <w:pStyle w:val="33"/>
              <w:spacing w:before="4"/>
              <w:rPr>
                <w:rFonts w:ascii="黑体"/>
                <w:sz w:val="24"/>
              </w:rPr>
            </w:pPr>
          </w:p>
          <w:p>
            <w:pPr>
              <w:pStyle w:val="33"/>
              <w:spacing w:line="391" w:lineRule="auto"/>
              <w:ind w:left="157" w:right="147"/>
            </w:pPr>
            <w:r>
              <w:t>其中</w:t>
            </w:r>
          </w:p>
        </w:tc>
        <w:tc>
          <w:tcPr>
            <w:tcW w:w="1991" w:type="dxa"/>
            <w:gridSpan w:val="3"/>
          </w:tcPr>
          <w:p>
            <w:pPr>
              <w:pStyle w:val="33"/>
              <w:spacing w:before="142"/>
              <w:ind w:left="575"/>
            </w:pPr>
            <w:r>
              <w:t>项目经理</w:t>
            </w:r>
          </w:p>
        </w:tc>
        <w:tc>
          <w:tcPr>
            <w:tcW w:w="2886" w:type="dxa"/>
            <w:gridSpan w:val="2"/>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08" w:type="dxa"/>
          </w:tcPr>
          <w:p>
            <w:pPr>
              <w:pStyle w:val="33"/>
              <w:spacing w:before="142"/>
              <w:ind w:left="532"/>
            </w:pPr>
            <w:r>
              <w:t>注册资本</w:t>
            </w:r>
          </w:p>
        </w:tc>
        <w:tc>
          <w:tcPr>
            <w:tcW w:w="1981" w:type="dxa"/>
            <w:gridSpan w:val="2"/>
          </w:tcPr>
          <w:p>
            <w:pPr>
              <w:pStyle w:val="33"/>
              <w:rPr>
                <w:rFonts w:ascii="Times New Roman"/>
                <w:sz w:val="20"/>
              </w:rPr>
            </w:pPr>
          </w:p>
        </w:tc>
        <w:tc>
          <w:tcPr>
            <w:tcW w:w="528" w:type="dxa"/>
            <w:vMerge w:val="continue"/>
            <w:tcBorders>
              <w:top w:val="nil"/>
            </w:tcBorders>
          </w:tcPr>
          <w:p>
            <w:pPr>
              <w:rPr>
                <w:sz w:val="2"/>
                <w:szCs w:val="2"/>
              </w:rPr>
            </w:pPr>
          </w:p>
        </w:tc>
        <w:tc>
          <w:tcPr>
            <w:tcW w:w="1991" w:type="dxa"/>
            <w:gridSpan w:val="3"/>
          </w:tcPr>
          <w:p>
            <w:pPr>
              <w:pStyle w:val="33"/>
              <w:spacing w:before="142"/>
              <w:ind w:left="364"/>
            </w:pPr>
            <w:r>
              <w:t>高级职称人员</w:t>
            </w:r>
          </w:p>
        </w:tc>
        <w:tc>
          <w:tcPr>
            <w:tcW w:w="2886" w:type="dxa"/>
            <w:gridSpan w:val="2"/>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08" w:type="dxa"/>
          </w:tcPr>
          <w:p>
            <w:pPr>
              <w:pStyle w:val="33"/>
              <w:spacing w:before="142"/>
              <w:ind w:left="532"/>
            </w:pPr>
            <w:r>
              <w:t>成立日期</w:t>
            </w:r>
          </w:p>
        </w:tc>
        <w:tc>
          <w:tcPr>
            <w:tcW w:w="1981" w:type="dxa"/>
            <w:gridSpan w:val="2"/>
          </w:tcPr>
          <w:p>
            <w:pPr>
              <w:pStyle w:val="33"/>
              <w:rPr>
                <w:rFonts w:ascii="Times New Roman"/>
                <w:sz w:val="20"/>
              </w:rPr>
            </w:pPr>
          </w:p>
        </w:tc>
        <w:tc>
          <w:tcPr>
            <w:tcW w:w="528" w:type="dxa"/>
            <w:vMerge w:val="continue"/>
            <w:tcBorders>
              <w:top w:val="nil"/>
            </w:tcBorders>
          </w:tcPr>
          <w:p>
            <w:pPr>
              <w:rPr>
                <w:sz w:val="2"/>
                <w:szCs w:val="2"/>
              </w:rPr>
            </w:pPr>
          </w:p>
        </w:tc>
        <w:tc>
          <w:tcPr>
            <w:tcW w:w="1991" w:type="dxa"/>
            <w:gridSpan w:val="3"/>
          </w:tcPr>
          <w:p>
            <w:pPr>
              <w:pStyle w:val="33"/>
              <w:spacing w:before="142"/>
              <w:ind w:left="364"/>
            </w:pPr>
            <w:r>
              <w:t>中级职称人员</w:t>
            </w:r>
          </w:p>
        </w:tc>
        <w:tc>
          <w:tcPr>
            <w:tcW w:w="2886" w:type="dxa"/>
            <w:gridSpan w:val="2"/>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08" w:type="dxa"/>
          </w:tcPr>
          <w:p>
            <w:pPr>
              <w:pStyle w:val="33"/>
              <w:spacing w:before="142"/>
              <w:ind w:right="100"/>
              <w:jc w:val="right"/>
            </w:pPr>
            <w:r>
              <w:t>基本账户开户银行</w:t>
            </w:r>
          </w:p>
        </w:tc>
        <w:tc>
          <w:tcPr>
            <w:tcW w:w="1981" w:type="dxa"/>
            <w:gridSpan w:val="2"/>
          </w:tcPr>
          <w:p>
            <w:pPr>
              <w:pStyle w:val="33"/>
              <w:rPr>
                <w:rFonts w:ascii="Times New Roman"/>
                <w:sz w:val="20"/>
              </w:rPr>
            </w:pPr>
          </w:p>
        </w:tc>
        <w:tc>
          <w:tcPr>
            <w:tcW w:w="528" w:type="dxa"/>
            <w:vMerge w:val="continue"/>
            <w:tcBorders>
              <w:top w:val="nil"/>
            </w:tcBorders>
          </w:tcPr>
          <w:p>
            <w:pPr>
              <w:rPr>
                <w:sz w:val="2"/>
                <w:szCs w:val="2"/>
              </w:rPr>
            </w:pPr>
          </w:p>
        </w:tc>
        <w:tc>
          <w:tcPr>
            <w:tcW w:w="1991" w:type="dxa"/>
            <w:gridSpan w:val="3"/>
          </w:tcPr>
          <w:p>
            <w:pPr>
              <w:pStyle w:val="33"/>
              <w:spacing w:before="142"/>
              <w:ind w:left="364"/>
            </w:pPr>
            <w:r>
              <w:t>初级职称人员</w:t>
            </w:r>
          </w:p>
        </w:tc>
        <w:tc>
          <w:tcPr>
            <w:tcW w:w="2886" w:type="dxa"/>
            <w:gridSpan w:val="2"/>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08" w:type="dxa"/>
          </w:tcPr>
          <w:p>
            <w:pPr>
              <w:pStyle w:val="33"/>
              <w:spacing w:before="143"/>
              <w:ind w:right="103"/>
              <w:jc w:val="right"/>
            </w:pPr>
            <w:r>
              <w:t>基本账户银行账号</w:t>
            </w:r>
          </w:p>
        </w:tc>
        <w:tc>
          <w:tcPr>
            <w:tcW w:w="1981" w:type="dxa"/>
            <w:gridSpan w:val="2"/>
          </w:tcPr>
          <w:p>
            <w:pPr>
              <w:pStyle w:val="33"/>
              <w:rPr>
                <w:rFonts w:ascii="Times New Roman"/>
                <w:sz w:val="20"/>
              </w:rPr>
            </w:pPr>
          </w:p>
        </w:tc>
        <w:tc>
          <w:tcPr>
            <w:tcW w:w="528" w:type="dxa"/>
            <w:vMerge w:val="continue"/>
            <w:tcBorders>
              <w:top w:val="nil"/>
            </w:tcBorders>
          </w:tcPr>
          <w:p>
            <w:pPr>
              <w:rPr>
                <w:sz w:val="2"/>
                <w:szCs w:val="2"/>
              </w:rPr>
            </w:pPr>
          </w:p>
        </w:tc>
        <w:tc>
          <w:tcPr>
            <w:tcW w:w="1991" w:type="dxa"/>
            <w:gridSpan w:val="3"/>
          </w:tcPr>
          <w:p>
            <w:pPr>
              <w:pStyle w:val="33"/>
              <w:spacing w:before="153"/>
              <w:ind w:left="773" w:right="768"/>
              <w:jc w:val="center"/>
              <w:rPr>
                <w:sz w:val="20"/>
              </w:rPr>
            </w:pPr>
            <w:r>
              <w:rPr>
                <w:sz w:val="20"/>
              </w:rPr>
              <w:t>技工</w:t>
            </w:r>
          </w:p>
        </w:tc>
        <w:tc>
          <w:tcPr>
            <w:tcW w:w="2886" w:type="dxa"/>
            <w:gridSpan w:val="2"/>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trPr>
        <w:tc>
          <w:tcPr>
            <w:tcW w:w="1908" w:type="dxa"/>
          </w:tcPr>
          <w:p>
            <w:pPr>
              <w:pStyle w:val="33"/>
              <w:rPr>
                <w:rFonts w:ascii="黑体"/>
                <w:sz w:val="20"/>
              </w:rPr>
            </w:pPr>
          </w:p>
          <w:p>
            <w:pPr>
              <w:pStyle w:val="33"/>
              <w:rPr>
                <w:rFonts w:ascii="黑体"/>
                <w:sz w:val="20"/>
              </w:rPr>
            </w:pPr>
          </w:p>
          <w:p>
            <w:pPr>
              <w:pStyle w:val="33"/>
              <w:spacing w:before="8"/>
              <w:rPr>
                <w:rFonts w:ascii="黑体"/>
                <w:sz w:val="22"/>
              </w:rPr>
            </w:pPr>
          </w:p>
          <w:p>
            <w:pPr>
              <w:pStyle w:val="33"/>
              <w:ind w:left="638"/>
            </w:pPr>
            <w:r>
              <w:t>经营范围</w:t>
            </w:r>
          </w:p>
        </w:tc>
        <w:tc>
          <w:tcPr>
            <w:tcW w:w="7386" w:type="dxa"/>
            <w:gridSpan w:val="8"/>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0" w:hRule="atLeast"/>
        </w:trPr>
        <w:tc>
          <w:tcPr>
            <w:tcW w:w="1908" w:type="dxa"/>
          </w:tcPr>
          <w:p>
            <w:pPr>
              <w:pStyle w:val="33"/>
              <w:rPr>
                <w:rFonts w:ascii="黑体"/>
                <w:sz w:val="20"/>
              </w:rPr>
            </w:pPr>
          </w:p>
          <w:p>
            <w:pPr>
              <w:pStyle w:val="33"/>
              <w:rPr>
                <w:rFonts w:ascii="黑体"/>
                <w:sz w:val="20"/>
              </w:rPr>
            </w:pPr>
          </w:p>
          <w:p>
            <w:pPr>
              <w:pStyle w:val="33"/>
              <w:rPr>
                <w:rFonts w:ascii="黑体"/>
                <w:sz w:val="20"/>
              </w:rPr>
            </w:pPr>
          </w:p>
          <w:p>
            <w:pPr>
              <w:pStyle w:val="33"/>
              <w:rPr>
                <w:rFonts w:ascii="黑体"/>
                <w:sz w:val="20"/>
              </w:rPr>
            </w:pPr>
          </w:p>
          <w:p>
            <w:pPr>
              <w:pStyle w:val="33"/>
              <w:spacing w:before="4"/>
              <w:rPr>
                <w:rFonts w:ascii="黑体"/>
                <w:sz w:val="23"/>
              </w:rPr>
            </w:pPr>
          </w:p>
          <w:p>
            <w:pPr>
              <w:pStyle w:val="33"/>
              <w:spacing w:line="391" w:lineRule="auto"/>
              <w:ind w:left="846" w:right="100" w:hanging="735"/>
            </w:pPr>
            <w:r>
              <w:rPr>
                <w:rFonts w:hint="eastAsia"/>
                <w:lang w:eastAsia="zh-CN"/>
              </w:rPr>
              <w:t>交易响应单位</w:t>
            </w:r>
            <w:r>
              <w:t>关联企业情况</w:t>
            </w:r>
          </w:p>
        </w:tc>
        <w:tc>
          <w:tcPr>
            <w:tcW w:w="7386" w:type="dxa"/>
            <w:gridSpan w:val="8"/>
          </w:tcPr>
          <w:p>
            <w:pPr>
              <w:pStyle w:val="33"/>
              <w:spacing w:before="128"/>
              <w:ind w:left="107"/>
            </w:pPr>
            <w:r>
              <w:rPr>
                <w:rFonts w:hint="eastAsia"/>
                <w:lang w:eastAsia="zh-CN"/>
              </w:rPr>
              <w:t>交易响应单位</w:t>
            </w:r>
            <w:r>
              <w:t>应提供关联企业情况，包括：</w:t>
            </w:r>
          </w:p>
          <w:p>
            <w:pPr>
              <w:pStyle w:val="33"/>
              <w:numPr>
                <w:ilvl w:val="0"/>
                <w:numId w:val="5"/>
              </w:numPr>
              <w:tabs>
                <w:tab w:val="left" w:pos="538"/>
              </w:tabs>
              <w:spacing w:before="132" w:line="357" w:lineRule="auto"/>
              <w:ind w:right="90" w:hanging="105"/>
              <w:jc w:val="both"/>
            </w:pPr>
            <w:r>
              <w:rPr>
                <w:rFonts w:hint="eastAsia"/>
                <w:lang w:eastAsia="zh-CN"/>
              </w:rPr>
              <w:t>交易响应单位</w:t>
            </w:r>
            <w:r>
              <w:t>的所有股东名称及相应股权（出资额）</w:t>
            </w:r>
            <w:r>
              <w:rPr>
                <w:spacing w:val="-2"/>
              </w:rPr>
              <w:t>比例；如</w:t>
            </w:r>
            <w:r>
              <w:rPr>
                <w:rFonts w:hint="eastAsia"/>
                <w:spacing w:val="-2"/>
                <w:lang w:eastAsia="zh-CN"/>
              </w:rPr>
              <w:t>交易响应单位</w:t>
            </w:r>
            <w:r>
              <w:rPr>
                <w:spacing w:val="-2"/>
              </w:rPr>
              <w:t>为上市</w:t>
            </w:r>
            <w:r>
              <w:rPr>
                <w:spacing w:val="-3"/>
              </w:rPr>
              <w:t>公司，</w:t>
            </w:r>
            <w:r>
              <w:rPr>
                <w:rFonts w:hint="eastAsia"/>
                <w:spacing w:val="-3"/>
                <w:lang w:eastAsia="zh-CN"/>
              </w:rPr>
              <w:t>交易响应单位</w:t>
            </w:r>
            <w:r>
              <w:rPr>
                <w:spacing w:val="-3"/>
              </w:rPr>
              <w:t>应提供股权占公司股份总数</w:t>
            </w:r>
            <w:r>
              <w:rPr>
                <w:u w:val="single"/>
              </w:rPr>
              <w:t xml:space="preserve"> </w:t>
            </w:r>
            <w:r>
              <w:rPr>
                <w:spacing w:val="35"/>
              </w:rPr>
              <w:t xml:space="preserve"> </w:t>
            </w:r>
            <w:r>
              <w:rPr>
                <w:rFonts w:ascii="Times New Roman" w:eastAsia="Times New Roman"/>
                <w:spacing w:val="-4"/>
              </w:rPr>
              <w:t>%</w:t>
            </w:r>
            <w:r>
              <w:rPr>
                <w:spacing w:val="-3"/>
              </w:rPr>
              <w:t>以上的所有股东名称及相应股权比例；</w:t>
            </w:r>
          </w:p>
          <w:p>
            <w:pPr>
              <w:pStyle w:val="33"/>
              <w:numPr>
                <w:ilvl w:val="0"/>
                <w:numId w:val="5"/>
              </w:numPr>
              <w:tabs>
                <w:tab w:val="left" w:pos="538"/>
              </w:tabs>
              <w:spacing w:line="357" w:lineRule="auto"/>
              <w:ind w:right="94" w:hanging="105"/>
              <w:jc w:val="both"/>
            </w:pPr>
            <w:r>
              <w:rPr>
                <w:rFonts w:hint="eastAsia"/>
                <w:lang w:eastAsia="zh-CN"/>
              </w:rPr>
              <w:t>交易响应单位</w:t>
            </w:r>
            <w:r>
              <w:t>投资（控股）或管理的下属企业名称、持有股权（出资额）</w:t>
            </w:r>
            <w:r>
              <w:rPr>
                <w:spacing w:val="-12"/>
              </w:rPr>
              <w:t>比</w:t>
            </w:r>
            <w:r>
              <w:t>例；</w:t>
            </w:r>
          </w:p>
          <w:p>
            <w:pPr>
              <w:pStyle w:val="33"/>
              <w:numPr>
                <w:ilvl w:val="0"/>
                <w:numId w:val="5"/>
              </w:numPr>
              <w:tabs>
                <w:tab w:val="left" w:pos="532"/>
              </w:tabs>
              <w:spacing w:line="266" w:lineRule="exact"/>
              <w:ind w:left="531" w:hanging="529"/>
            </w:pPr>
            <w:r>
              <w:rPr>
                <w:spacing w:val="-3"/>
              </w:rPr>
              <w:t>与</w:t>
            </w:r>
            <w:r>
              <w:rPr>
                <w:rFonts w:hint="eastAsia"/>
                <w:spacing w:val="-3"/>
                <w:lang w:eastAsia="zh-CN"/>
              </w:rPr>
              <w:t>交易响应单位</w:t>
            </w:r>
            <w:r>
              <w:rPr>
                <w:spacing w:val="-3"/>
              </w:rPr>
              <w:t>单位负责人</w:t>
            </w:r>
            <w:r>
              <w:t>（</w:t>
            </w:r>
            <w:r>
              <w:rPr>
                <w:spacing w:val="-3"/>
              </w:rPr>
              <w:t>即法定代表人</w:t>
            </w:r>
            <w:r>
              <w:t>）</w:t>
            </w:r>
            <w:r>
              <w:rPr>
                <w:spacing w:val="-3"/>
              </w:rPr>
              <w:t>为同一人的其他单位名称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08" w:type="dxa"/>
          </w:tcPr>
          <w:p>
            <w:pPr>
              <w:pStyle w:val="33"/>
              <w:spacing w:before="142"/>
              <w:ind w:left="724" w:right="713"/>
              <w:jc w:val="center"/>
            </w:pPr>
            <w:r>
              <w:t>备注</w:t>
            </w:r>
          </w:p>
        </w:tc>
        <w:tc>
          <w:tcPr>
            <w:tcW w:w="7386" w:type="dxa"/>
            <w:gridSpan w:val="8"/>
          </w:tcPr>
          <w:p>
            <w:pPr>
              <w:pStyle w:val="33"/>
              <w:rPr>
                <w:rFonts w:ascii="Times New Roman"/>
                <w:sz w:val="20"/>
              </w:rPr>
            </w:pPr>
          </w:p>
        </w:tc>
      </w:tr>
    </w:tbl>
    <w:p>
      <w:pPr>
        <w:spacing w:before="126"/>
        <w:ind w:right="81"/>
        <w:jc w:val="center"/>
      </w:pPr>
      <w:r>
        <w:t>注：</w:t>
      </w:r>
      <w:r>
        <w:rPr>
          <w:rFonts w:eastAsia="Times New Roman"/>
        </w:rPr>
        <w:t>1.</w:t>
      </w:r>
      <w:r>
        <w:rPr>
          <w:rFonts w:hint="eastAsia"/>
          <w:lang w:eastAsia="zh-CN"/>
        </w:rPr>
        <w:t>交易响应单位</w:t>
      </w:r>
      <w:r>
        <w:t>应根据</w:t>
      </w:r>
      <w:r>
        <w:rPr>
          <w:rFonts w:hint="eastAsia"/>
          <w:lang w:eastAsia="zh-CN"/>
        </w:rPr>
        <w:t>交易文件</w:t>
      </w:r>
      <w:r>
        <w:t>第二章“</w:t>
      </w:r>
      <w:r>
        <w:rPr>
          <w:rFonts w:hint="eastAsia"/>
          <w:lang w:eastAsia="zh-CN"/>
        </w:rPr>
        <w:t>交易须知</w:t>
      </w:r>
      <w:r>
        <w:t>”第</w:t>
      </w:r>
      <w:r>
        <w:rPr>
          <w:rFonts w:eastAsia="Times New Roman"/>
        </w:rPr>
        <w:t>3.5.1</w:t>
      </w:r>
      <w:r>
        <w:t>项的要求在本表后附相关证明材料。</w:t>
      </w:r>
    </w:p>
    <w:p>
      <w:pPr>
        <w:spacing w:before="134"/>
        <w:ind w:left="684"/>
        <w:jc w:val="left"/>
      </w:pPr>
      <w:r>
        <w:rPr>
          <w:rFonts w:eastAsia="Times New Roman"/>
        </w:rPr>
        <w:t>2.</w:t>
      </w:r>
      <w:r>
        <w:t>以联合体形式参与投标的，联合体各成员应分别填写。</w:t>
      </w:r>
    </w:p>
    <w:p>
      <w:pPr>
        <w:jc w:val="left"/>
        <w:sectPr>
          <w:footerReference r:id="rId12" w:type="default"/>
          <w:pgSz w:w="11911" w:h="16849"/>
          <w:pgMar w:top="1480" w:right="1202" w:bottom="1480" w:left="1219" w:header="879" w:footer="850" w:gutter="0"/>
          <w:pgBorders>
            <w:top w:val="none" w:sz="0" w:space="0"/>
            <w:left w:val="none" w:sz="0" w:space="0"/>
            <w:bottom w:val="none" w:sz="0" w:space="0"/>
            <w:right w:val="none" w:sz="0" w:space="0"/>
          </w:pgBorders>
          <w:cols w:space="425" w:num="1"/>
        </w:sectPr>
      </w:pPr>
    </w:p>
    <w:p>
      <w:pPr>
        <w:pStyle w:val="10"/>
        <w:spacing w:before="108"/>
        <w:ind w:left="2921"/>
        <w:rPr>
          <w:rFonts w:ascii="黑体" w:eastAsia="黑体"/>
        </w:rPr>
      </w:pPr>
      <w:bookmarkStart w:id="216" w:name="_bookmark312"/>
      <w:bookmarkEnd w:id="216"/>
      <w:r>
        <w:rPr>
          <w:rFonts w:hint="eastAsia" w:ascii="黑体" w:eastAsia="黑体"/>
        </w:rPr>
        <w:t>（二）</w:t>
      </w:r>
      <w:r>
        <w:rPr>
          <w:rFonts w:hint="eastAsia" w:ascii="黑体" w:eastAsia="黑体"/>
          <w:lang w:eastAsia="zh-CN"/>
        </w:rPr>
        <w:t>交易响应单位</w:t>
      </w:r>
      <w:r>
        <w:rPr>
          <w:rFonts w:hint="eastAsia" w:ascii="黑体" w:eastAsia="黑体"/>
        </w:rPr>
        <w:t>企业组织机构框图</w:t>
      </w:r>
    </w:p>
    <w:p>
      <w:pPr>
        <w:pStyle w:val="10"/>
        <w:spacing w:before="6"/>
        <w:rPr>
          <w:rFonts w:ascii="黑体"/>
          <w:sz w:val="22"/>
        </w:rPr>
      </w:pPr>
    </w:p>
    <w:tbl>
      <w:tblPr>
        <w:tblStyle w:val="16"/>
        <w:tblW w:w="8894" w:type="dxa"/>
        <w:tblInd w:w="16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26" w:hRule="atLeast"/>
        </w:trPr>
        <w:tc>
          <w:tcPr>
            <w:tcW w:w="8894" w:type="dxa"/>
          </w:tcPr>
          <w:p>
            <w:pPr>
              <w:pStyle w:val="33"/>
              <w:rPr>
                <w:rFonts w:ascii="黑体"/>
                <w:sz w:val="20"/>
              </w:rPr>
            </w:pPr>
          </w:p>
          <w:p>
            <w:pPr>
              <w:pStyle w:val="33"/>
              <w:rPr>
                <w:rFonts w:ascii="黑体"/>
                <w:sz w:val="20"/>
              </w:rPr>
            </w:pPr>
          </w:p>
          <w:p>
            <w:pPr>
              <w:pStyle w:val="33"/>
              <w:spacing w:before="136"/>
              <w:ind w:left="378"/>
            </w:pPr>
            <w:r>
              <w:t>以框图方式表示。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3" w:hRule="atLeast"/>
        </w:trPr>
        <w:tc>
          <w:tcPr>
            <w:tcW w:w="8894" w:type="dxa"/>
          </w:tcPr>
          <w:p>
            <w:pPr>
              <w:pStyle w:val="33"/>
              <w:spacing w:before="128"/>
              <w:ind w:left="378"/>
            </w:pPr>
            <w:r>
              <w:t>说明</w:t>
            </w:r>
          </w:p>
        </w:tc>
      </w:tr>
    </w:tbl>
    <w:p>
      <w:pPr>
        <w:sectPr>
          <w:pgSz w:w="11911" w:h="16849"/>
          <w:pgMar w:top="1480" w:right="1202" w:bottom="1480" w:left="1219" w:header="879" w:footer="850" w:gutter="0"/>
          <w:pgBorders>
            <w:top w:val="none" w:sz="0" w:space="0"/>
            <w:left w:val="none" w:sz="0" w:space="0"/>
            <w:bottom w:val="none" w:sz="0" w:space="0"/>
            <w:right w:val="none" w:sz="0" w:space="0"/>
          </w:pgBorders>
          <w:cols w:space="425" w:num="1"/>
        </w:sectPr>
      </w:pPr>
    </w:p>
    <w:p>
      <w:pPr>
        <w:pStyle w:val="10"/>
        <w:spacing w:before="108" w:line="624" w:lineRule="auto"/>
        <w:ind w:left="4092" w:right="3702" w:hanging="572"/>
        <w:rPr>
          <w:rFonts w:ascii="黑体" w:eastAsia="黑体"/>
        </w:rPr>
      </w:pPr>
      <w:r>
        <mc:AlternateContent>
          <mc:Choice Requires="wps">
            <w:drawing>
              <wp:anchor distT="0" distB="0" distL="114300" distR="114300" simplePos="0" relativeHeight="251658240" behindDoc="0" locked="0" layoutInCell="1" allowOverlap="1">
                <wp:simplePos x="0" y="0"/>
                <wp:positionH relativeFrom="page">
                  <wp:posOffset>972185</wp:posOffset>
                </wp:positionH>
                <wp:positionV relativeFrom="paragraph">
                  <wp:posOffset>976630</wp:posOffset>
                </wp:positionV>
                <wp:extent cx="5682615" cy="658368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5682615" cy="6583680"/>
                        </a:xfrm>
                        <a:prstGeom prst="rect">
                          <a:avLst/>
                        </a:prstGeom>
                        <a:noFill/>
                        <a:ln w="9525">
                          <a:noFill/>
                        </a:ln>
                        <a:effectLst/>
                      </wps:spPr>
                      <wps:txbx>
                        <w:txbxContent>
                          <w:tbl>
                            <w:tblPr>
                              <w:tblStyle w:val="16"/>
                              <w:tblW w:w="88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26"/>
                              <w:gridCol w:w="892"/>
                              <w:gridCol w:w="1307"/>
                              <w:gridCol w:w="1308"/>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4026" w:type="dxa"/>
                                </w:tcPr>
                                <w:p>
                                  <w:pPr>
                                    <w:pStyle w:val="33"/>
                                    <w:spacing w:before="169"/>
                                    <w:ind w:right="1426"/>
                                    <w:jc w:val="right"/>
                                    <w:rPr>
                                      <w:szCs w:val="21"/>
                                    </w:rPr>
                                  </w:pPr>
                                  <w:r>
                                    <w:rPr>
                                      <w:szCs w:val="21"/>
                                    </w:rPr>
                                    <w:t>项目或指标</w:t>
                                  </w:r>
                                </w:p>
                              </w:tc>
                              <w:tc>
                                <w:tcPr>
                                  <w:tcW w:w="892" w:type="dxa"/>
                                </w:tcPr>
                                <w:p>
                                  <w:pPr>
                                    <w:pStyle w:val="33"/>
                                    <w:spacing w:before="169"/>
                                    <w:ind w:left="167" w:right="136"/>
                                    <w:jc w:val="center"/>
                                    <w:rPr>
                                      <w:szCs w:val="21"/>
                                    </w:rPr>
                                  </w:pPr>
                                  <w:r>
                                    <w:rPr>
                                      <w:szCs w:val="21"/>
                                    </w:rPr>
                                    <w:t>单位</w:t>
                                  </w:r>
                                </w:p>
                              </w:tc>
                              <w:tc>
                                <w:tcPr>
                                  <w:tcW w:w="1307" w:type="dxa"/>
                                </w:tcPr>
                                <w:p>
                                  <w:pPr>
                                    <w:pStyle w:val="33"/>
                                    <w:tabs>
                                      <w:tab w:val="left" w:pos="878"/>
                                    </w:tabs>
                                    <w:spacing w:before="169"/>
                                    <w:ind w:left="247"/>
                                    <w:rPr>
                                      <w:szCs w:val="21"/>
                                    </w:rPr>
                                  </w:pPr>
                                  <w:r>
                                    <w:rPr>
                                      <w:rFonts w:ascii="Times New Roman" w:eastAsia="Times New Roman"/>
                                      <w:szCs w:val="21"/>
                                      <w:u w:val="single"/>
                                    </w:rPr>
                                    <w:t xml:space="preserve"> </w:t>
                                  </w:r>
                                  <w:r>
                                    <w:rPr>
                                      <w:rFonts w:ascii="Times New Roman" w:eastAsia="Times New Roman"/>
                                      <w:szCs w:val="21"/>
                                      <w:u w:val="single"/>
                                    </w:rPr>
                                    <w:tab/>
                                  </w:r>
                                  <w:r>
                                    <w:rPr>
                                      <w:szCs w:val="21"/>
                                    </w:rPr>
                                    <w:t>年</w:t>
                                  </w:r>
                                </w:p>
                              </w:tc>
                              <w:tc>
                                <w:tcPr>
                                  <w:tcW w:w="1308" w:type="dxa"/>
                                </w:tcPr>
                                <w:p>
                                  <w:pPr>
                                    <w:pStyle w:val="33"/>
                                    <w:tabs>
                                      <w:tab w:val="left" w:pos="878"/>
                                    </w:tabs>
                                    <w:spacing w:before="169"/>
                                    <w:ind w:left="247"/>
                                    <w:rPr>
                                      <w:szCs w:val="21"/>
                                    </w:rPr>
                                  </w:pPr>
                                  <w:r>
                                    <w:rPr>
                                      <w:rFonts w:ascii="Times New Roman" w:eastAsia="Times New Roman"/>
                                      <w:szCs w:val="21"/>
                                      <w:u w:val="single"/>
                                    </w:rPr>
                                    <w:t xml:space="preserve"> </w:t>
                                  </w:r>
                                  <w:r>
                                    <w:rPr>
                                      <w:rFonts w:ascii="Times New Roman" w:eastAsia="Times New Roman"/>
                                      <w:szCs w:val="21"/>
                                      <w:u w:val="single"/>
                                    </w:rPr>
                                    <w:tab/>
                                  </w:r>
                                  <w:r>
                                    <w:rPr>
                                      <w:szCs w:val="21"/>
                                    </w:rPr>
                                    <w:t>年</w:t>
                                  </w:r>
                                </w:p>
                              </w:tc>
                              <w:tc>
                                <w:tcPr>
                                  <w:tcW w:w="1307" w:type="dxa"/>
                                </w:tcPr>
                                <w:p>
                                  <w:pPr>
                                    <w:pStyle w:val="33"/>
                                    <w:tabs>
                                      <w:tab w:val="left" w:pos="878"/>
                                    </w:tabs>
                                    <w:spacing w:before="169"/>
                                    <w:ind w:left="247"/>
                                    <w:rPr>
                                      <w:szCs w:val="21"/>
                                    </w:rPr>
                                  </w:pPr>
                                  <w:r>
                                    <w:rPr>
                                      <w:rFonts w:ascii="Times New Roman" w:eastAsia="Times New Roman"/>
                                      <w:szCs w:val="21"/>
                                      <w:u w:val="single"/>
                                    </w:rPr>
                                    <w:t xml:space="preserve"> </w:t>
                                  </w:r>
                                  <w:r>
                                    <w:rPr>
                                      <w:rFonts w:ascii="Times New Roman" w:eastAsia="Times New Roman"/>
                                      <w:szCs w:val="21"/>
                                      <w:u w:val="single"/>
                                    </w:rPr>
                                    <w:tab/>
                                  </w:r>
                                  <w:r>
                                    <w:rPr>
                                      <w:szCs w:val="21"/>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4026" w:type="dxa"/>
                                </w:tcPr>
                                <w:p>
                                  <w:pPr>
                                    <w:pStyle w:val="33"/>
                                    <w:spacing w:before="166"/>
                                    <w:ind w:left="155"/>
                                    <w:rPr>
                                      <w:szCs w:val="21"/>
                                    </w:rPr>
                                  </w:pPr>
                                  <w:r>
                                    <w:rPr>
                                      <w:szCs w:val="21"/>
                                    </w:rPr>
                                    <w:t>一、 注册资本</w:t>
                                  </w:r>
                                </w:p>
                              </w:tc>
                              <w:tc>
                                <w:tcPr>
                                  <w:tcW w:w="892" w:type="dxa"/>
                                </w:tcPr>
                                <w:p>
                                  <w:pPr>
                                    <w:pStyle w:val="33"/>
                                    <w:spacing w:before="166"/>
                                    <w:ind w:left="167" w:right="136"/>
                                    <w:jc w:val="center"/>
                                    <w:rPr>
                                      <w:szCs w:val="21"/>
                                    </w:rPr>
                                  </w:pPr>
                                  <w:r>
                                    <w:rPr>
                                      <w:szCs w:val="21"/>
                                    </w:rPr>
                                    <w:t>万元</w:t>
                                  </w:r>
                                </w:p>
                              </w:tc>
                              <w:tc>
                                <w:tcPr>
                                  <w:tcW w:w="1307" w:type="dxa"/>
                                </w:tcPr>
                                <w:p>
                                  <w:pPr>
                                    <w:pStyle w:val="33"/>
                                    <w:rPr>
                                      <w:rFonts w:ascii="Times New Roman"/>
                                      <w:szCs w:val="21"/>
                                    </w:rPr>
                                  </w:pPr>
                                </w:p>
                              </w:tc>
                              <w:tc>
                                <w:tcPr>
                                  <w:tcW w:w="1308" w:type="dxa"/>
                                </w:tcPr>
                                <w:p>
                                  <w:pPr>
                                    <w:pStyle w:val="33"/>
                                    <w:rPr>
                                      <w:rFonts w:ascii="Times New Roman"/>
                                      <w:szCs w:val="21"/>
                                    </w:rPr>
                                  </w:pPr>
                                </w:p>
                              </w:tc>
                              <w:tc>
                                <w:tcPr>
                                  <w:tcW w:w="1307" w:type="dxa"/>
                                </w:tcPr>
                                <w:p>
                                  <w:pPr>
                                    <w:pStyle w:val="33"/>
                                    <w:rPr>
                                      <w:rFonts w:ascii="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5" w:hRule="atLeast"/>
                              </w:trPr>
                              <w:tc>
                                <w:tcPr>
                                  <w:tcW w:w="4026" w:type="dxa"/>
                                </w:tcPr>
                                <w:p>
                                  <w:pPr>
                                    <w:pStyle w:val="33"/>
                                    <w:spacing w:before="166"/>
                                    <w:ind w:left="155"/>
                                    <w:rPr>
                                      <w:szCs w:val="21"/>
                                    </w:rPr>
                                  </w:pPr>
                                  <w:r>
                                    <w:rPr>
                                      <w:szCs w:val="21"/>
                                    </w:rPr>
                                    <w:t>二、 净资产</w:t>
                                  </w:r>
                                </w:p>
                              </w:tc>
                              <w:tc>
                                <w:tcPr>
                                  <w:tcW w:w="892" w:type="dxa"/>
                                </w:tcPr>
                                <w:p>
                                  <w:pPr>
                                    <w:pStyle w:val="33"/>
                                    <w:spacing w:before="166"/>
                                    <w:ind w:left="167" w:right="136"/>
                                    <w:jc w:val="center"/>
                                    <w:rPr>
                                      <w:szCs w:val="21"/>
                                    </w:rPr>
                                  </w:pPr>
                                  <w:r>
                                    <w:rPr>
                                      <w:szCs w:val="21"/>
                                    </w:rPr>
                                    <w:t>万元</w:t>
                                  </w:r>
                                </w:p>
                              </w:tc>
                              <w:tc>
                                <w:tcPr>
                                  <w:tcW w:w="1307" w:type="dxa"/>
                                </w:tcPr>
                                <w:p>
                                  <w:pPr>
                                    <w:pStyle w:val="33"/>
                                    <w:rPr>
                                      <w:rFonts w:ascii="Times New Roman"/>
                                      <w:szCs w:val="21"/>
                                    </w:rPr>
                                  </w:pPr>
                                </w:p>
                              </w:tc>
                              <w:tc>
                                <w:tcPr>
                                  <w:tcW w:w="1308" w:type="dxa"/>
                                </w:tcPr>
                                <w:p>
                                  <w:pPr>
                                    <w:pStyle w:val="33"/>
                                    <w:rPr>
                                      <w:rFonts w:ascii="Times New Roman"/>
                                      <w:szCs w:val="21"/>
                                    </w:rPr>
                                  </w:pPr>
                                </w:p>
                              </w:tc>
                              <w:tc>
                                <w:tcPr>
                                  <w:tcW w:w="1307" w:type="dxa"/>
                                </w:tcPr>
                                <w:p>
                                  <w:pPr>
                                    <w:pStyle w:val="33"/>
                                    <w:rPr>
                                      <w:rFonts w:ascii="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4026" w:type="dxa"/>
                                </w:tcPr>
                                <w:p>
                                  <w:pPr>
                                    <w:pStyle w:val="33"/>
                                    <w:spacing w:before="166"/>
                                    <w:ind w:left="155"/>
                                    <w:rPr>
                                      <w:szCs w:val="21"/>
                                    </w:rPr>
                                  </w:pPr>
                                  <w:r>
                                    <w:rPr>
                                      <w:szCs w:val="21"/>
                                    </w:rPr>
                                    <w:t>三、 总资产</w:t>
                                  </w:r>
                                </w:p>
                              </w:tc>
                              <w:tc>
                                <w:tcPr>
                                  <w:tcW w:w="892" w:type="dxa"/>
                                </w:tcPr>
                                <w:p>
                                  <w:pPr>
                                    <w:pStyle w:val="33"/>
                                    <w:spacing w:before="166"/>
                                    <w:ind w:left="167" w:right="136"/>
                                    <w:jc w:val="center"/>
                                    <w:rPr>
                                      <w:szCs w:val="21"/>
                                    </w:rPr>
                                  </w:pPr>
                                  <w:r>
                                    <w:rPr>
                                      <w:szCs w:val="21"/>
                                    </w:rPr>
                                    <w:t>万元</w:t>
                                  </w:r>
                                </w:p>
                              </w:tc>
                              <w:tc>
                                <w:tcPr>
                                  <w:tcW w:w="1307" w:type="dxa"/>
                                </w:tcPr>
                                <w:p>
                                  <w:pPr>
                                    <w:pStyle w:val="33"/>
                                    <w:rPr>
                                      <w:rFonts w:ascii="Times New Roman"/>
                                      <w:szCs w:val="21"/>
                                    </w:rPr>
                                  </w:pPr>
                                </w:p>
                              </w:tc>
                              <w:tc>
                                <w:tcPr>
                                  <w:tcW w:w="1308" w:type="dxa"/>
                                </w:tcPr>
                                <w:p>
                                  <w:pPr>
                                    <w:pStyle w:val="33"/>
                                    <w:rPr>
                                      <w:rFonts w:ascii="Times New Roman"/>
                                      <w:szCs w:val="21"/>
                                    </w:rPr>
                                  </w:pPr>
                                </w:p>
                              </w:tc>
                              <w:tc>
                                <w:tcPr>
                                  <w:tcW w:w="1307" w:type="dxa"/>
                                </w:tcPr>
                                <w:p>
                                  <w:pPr>
                                    <w:pStyle w:val="33"/>
                                    <w:rPr>
                                      <w:rFonts w:ascii="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4026" w:type="dxa"/>
                                </w:tcPr>
                                <w:p>
                                  <w:pPr>
                                    <w:pStyle w:val="33"/>
                                    <w:spacing w:before="166"/>
                                    <w:ind w:left="155"/>
                                    <w:rPr>
                                      <w:szCs w:val="21"/>
                                    </w:rPr>
                                  </w:pPr>
                                  <w:r>
                                    <w:rPr>
                                      <w:szCs w:val="21"/>
                                    </w:rPr>
                                    <w:t>四、 固定资产</w:t>
                                  </w:r>
                                </w:p>
                              </w:tc>
                              <w:tc>
                                <w:tcPr>
                                  <w:tcW w:w="892" w:type="dxa"/>
                                </w:tcPr>
                                <w:p>
                                  <w:pPr>
                                    <w:pStyle w:val="33"/>
                                    <w:spacing w:before="166"/>
                                    <w:ind w:left="167" w:right="136"/>
                                    <w:jc w:val="center"/>
                                    <w:rPr>
                                      <w:szCs w:val="21"/>
                                    </w:rPr>
                                  </w:pPr>
                                  <w:r>
                                    <w:rPr>
                                      <w:szCs w:val="21"/>
                                    </w:rPr>
                                    <w:t>万元</w:t>
                                  </w:r>
                                </w:p>
                              </w:tc>
                              <w:tc>
                                <w:tcPr>
                                  <w:tcW w:w="1307" w:type="dxa"/>
                                </w:tcPr>
                                <w:p>
                                  <w:pPr>
                                    <w:pStyle w:val="33"/>
                                    <w:rPr>
                                      <w:rFonts w:ascii="Times New Roman"/>
                                      <w:szCs w:val="21"/>
                                    </w:rPr>
                                  </w:pPr>
                                </w:p>
                              </w:tc>
                              <w:tc>
                                <w:tcPr>
                                  <w:tcW w:w="1308" w:type="dxa"/>
                                </w:tcPr>
                                <w:p>
                                  <w:pPr>
                                    <w:pStyle w:val="33"/>
                                    <w:rPr>
                                      <w:rFonts w:ascii="Times New Roman"/>
                                      <w:szCs w:val="21"/>
                                    </w:rPr>
                                  </w:pPr>
                                </w:p>
                              </w:tc>
                              <w:tc>
                                <w:tcPr>
                                  <w:tcW w:w="1307" w:type="dxa"/>
                                </w:tcPr>
                                <w:p>
                                  <w:pPr>
                                    <w:pStyle w:val="33"/>
                                    <w:rPr>
                                      <w:rFonts w:ascii="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4026" w:type="dxa"/>
                                </w:tcPr>
                                <w:p>
                                  <w:pPr>
                                    <w:pStyle w:val="33"/>
                                    <w:spacing w:before="169"/>
                                    <w:ind w:left="155"/>
                                    <w:rPr>
                                      <w:szCs w:val="21"/>
                                    </w:rPr>
                                  </w:pPr>
                                  <w:r>
                                    <w:rPr>
                                      <w:szCs w:val="21"/>
                                    </w:rPr>
                                    <w:t>五、 流动资产</w:t>
                                  </w:r>
                                </w:p>
                              </w:tc>
                              <w:tc>
                                <w:tcPr>
                                  <w:tcW w:w="892" w:type="dxa"/>
                                </w:tcPr>
                                <w:p>
                                  <w:pPr>
                                    <w:pStyle w:val="33"/>
                                    <w:spacing w:before="169"/>
                                    <w:ind w:left="167" w:right="136"/>
                                    <w:jc w:val="center"/>
                                    <w:rPr>
                                      <w:szCs w:val="21"/>
                                    </w:rPr>
                                  </w:pPr>
                                  <w:r>
                                    <w:rPr>
                                      <w:szCs w:val="21"/>
                                    </w:rPr>
                                    <w:t>万元</w:t>
                                  </w:r>
                                </w:p>
                              </w:tc>
                              <w:tc>
                                <w:tcPr>
                                  <w:tcW w:w="1307" w:type="dxa"/>
                                </w:tcPr>
                                <w:p>
                                  <w:pPr>
                                    <w:pStyle w:val="33"/>
                                    <w:rPr>
                                      <w:rFonts w:ascii="Times New Roman"/>
                                      <w:szCs w:val="21"/>
                                    </w:rPr>
                                  </w:pPr>
                                </w:p>
                              </w:tc>
                              <w:tc>
                                <w:tcPr>
                                  <w:tcW w:w="1308" w:type="dxa"/>
                                </w:tcPr>
                                <w:p>
                                  <w:pPr>
                                    <w:pStyle w:val="33"/>
                                    <w:rPr>
                                      <w:rFonts w:ascii="Times New Roman"/>
                                      <w:szCs w:val="21"/>
                                    </w:rPr>
                                  </w:pPr>
                                </w:p>
                              </w:tc>
                              <w:tc>
                                <w:tcPr>
                                  <w:tcW w:w="1307" w:type="dxa"/>
                                </w:tcPr>
                                <w:p>
                                  <w:pPr>
                                    <w:pStyle w:val="33"/>
                                    <w:rPr>
                                      <w:rFonts w:ascii="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4026" w:type="dxa"/>
                                </w:tcPr>
                                <w:p>
                                  <w:pPr>
                                    <w:pStyle w:val="33"/>
                                    <w:spacing w:before="166"/>
                                    <w:ind w:left="155"/>
                                    <w:rPr>
                                      <w:szCs w:val="21"/>
                                    </w:rPr>
                                  </w:pPr>
                                  <w:r>
                                    <w:rPr>
                                      <w:szCs w:val="21"/>
                                    </w:rPr>
                                    <w:t>六、 流动负债</w:t>
                                  </w:r>
                                </w:p>
                              </w:tc>
                              <w:tc>
                                <w:tcPr>
                                  <w:tcW w:w="892" w:type="dxa"/>
                                </w:tcPr>
                                <w:p>
                                  <w:pPr>
                                    <w:pStyle w:val="33"/>
                                    <w:spacing w:before="166"/>
                                    <w:ind w:left="167" w:right="136"/>
                                    <w:jc w:val="center"/>
                                    <w:rPr>
                                      <w:szCs w:val="21"/>
                                    </w:rPr>
                                  </w:pPr>
                                  <w:r>
                                    <w:rPr>
                                      <w:szCs w:val="21"/>
                                    </w:rPr>
                                    <w:t>万元</w:t>
                                  </w:r>
                                </w:p>
                              </w:tc>
                              <w:tc>
                                <w:tcPr>
                                  <w:tcW w:w="1307" w:type="dxa"/>
                                </w:tcPr>
                                <w:p>
                                  <w:pPr>
                                    <w:pStyle w:val="33"/>
                                    <w:rPr>
                                      <w:rFonts w:ascii="Times New Roman"/>
                                      <w:szCs w:val="21"/>
                                    </w:rPr>
                                  </w:pPr>
                                </w:p>
                              </w:tc>
                              <w:tc>
                                <w:tcPr>
                                  <w:tcW w:w="1308" w:type="dxa"/>
                                </w:tcPr>
                                <w:p>
                                  <w:pPr>
                                    <w:pStyle w:val="33"/>
                                    <w:rPr>
                                      <w:rFonts w:ascii="Times New Roman"/>
                                      <w:szCs w:val="21"/>
                                    </w:rPr>
                                  </w:pPr>
                                </w:p>
                              </w:tc>
                              <w:tc>
                                <w:tcPr>
                                  <w:tcW w:w="1307" w:type="dxa"/>
                                </w:tcPr>
                                <w:p>
                                  <w:pPr>
                                    <w:pStyle w:val="33"/>
                                    <w:rPr>
                                      <w:rFonts w:ascii="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4026" w:type="dxa"/>
                                </w:tcPr>
                                <w:p>
                                  <w:pPr>
                                    <w:pStyle w:val="33"/>
                                    <w:spacing w:before="166"/>
                                    <w:ind w:left="155"/>
                                    <w:rPr>
                                      <w:szCs w:val="21"/>
                                    </w:rPr>
                                  </w:pPr>
                                  <w:r>
                                    <w:rPr>
                                      <w:szCs w:val="21"/>
                                    </w:rPr>
                                    <w:t>七、 负债合计</w:t>
                                  </w:r>
                                </w:p>
                              </w:tc>
                              <w:tc>
                                <w:tcPr>
                                  <w:tcW w:w="892" w:type="dxa"/>
                                </w:tcPr>
                                <w:p>
                                  <w:pPr>
                                    <w:pStyle w:val="33"/>
                                    <w:spacing w:before="166"/>
                                    <w:ind w:left="167" w:right="136"/>
                                    <w:jc w:val="center"/>
                                    <w:rPr>
                                      <w:szCs w:val="21"/>
                                    </w:rPr>
                                  </w:pPr>
                                  <w:r>
                                    <w:rPr>
                                      <w:szCs w:val="21"/>
                                    </w:rPr>
                                    <w:t>万元</w:t>
                                  </w:r>
                                </w:p>
                              </w:tc>
                              <w:tc>
                                <w:tcPr>
                                  <w:tcW w:w="1307" w:type="dxa"/>
                                </w:tcPr>
                                <w:p>
                                  <w:pPr>
                                    <w:pStyle w:val="33"/>
                                    <w:rPr>
                                      <w:rFonts w:ascii="Times New Roman"/>
                                      <w:szCs w:val="21"/>
                                    </w:rPr>
                                  </w:pPr>
                                </w:p>
                              </w:tc>
                              <w:tc>
                                <w:tcPr>
                                  <w:tcW w:w="1308" w:type="dxa"/>
                                </w:tcPr>
                                <w:p>
                                  <w:pPr>
                                    <w:pStyle w:val="33"/>
                                    <w:rPr>
                                      <w:rFonts w:ascii="Times New Roman"/>
                                      <w:szCs w:val="21"/>
                                    </w:rPr>
                                  </w:pPr>
                                </w:p>
                              </w:tc>
                              <w:tc>
                                <w:tcPr>
                                  <w:tcW w:w="1307" w:type="dxa"/>
                                </w:tcPr>
                                <w:p>
                                  <w:pPr>
                                    <w:pStyle w:val="33"/>
                                    <w:rPr>
                                      <w:rFonts w:ascii="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4026" w:type="dxa"/>
                                </w:tcPr>
                                <w:p>
                                  <w:pPr>
                                    <w:pStyle w:val="33"/>
                                    <w:spacing w:before="167"/>
                                    <w:ind w:left="155"/>
                                    <w:rPr>
                                      <w:szCs w:val="21"/>
                                    </w:rPr>
                                  </w:pPr>
                                  <w:r>
                                    <w:rPr>
                                      <w:szCs w:val="21"/>
                                    </w:rPr>
                                    <w:t>八、 营业收入</w:t>
                                  </w:r>
                                </w:p>
                              </w:tc>
                              <w:tc>
                                <w:tcPr>
                                  <w:tcW w:w="892" w:type="dxa"/>
                                </w:tcPr>
                                <w:p>
                                  <w:pPr>
                                    <w:pStyle w:val="33"/>
                                    <w:spacing w:before="167"/>
                                    <w:ind w:left="167" w:right="136"/>
                                    <w:jc w:val="center"/>
                                    <w:rPr>
                                      <w:szCs w:val="21"/>
                                    </w:rPr>
                                  </w:pPr>
                                  <w:r>
                                    <w:rPr>
                                      <w:szCs w:val="21"/>
                                    </w:rPr>
                                    <w:t>万元</w:t>
                                  </w:r>
                                </w:p>
                              </w:tc>
                              <w:tc>
                                <w:tcPr>
                                  <w:tcW w:w="1307" w:type="dxa"/>
                                </w:tcPr>
                                <w:p>
                                  <w:pPr>
                                    <w:pStyle w:val="33"/>
                                    <w:rPr>
                                      <w:rFonts w:ascii="Times New Roman"/>
                                      <w:szCs w:val="21"/>
                                    </w:rPr>
                                  </w:pPr>
                                </w:p>
                              </w:tc>
                              <w:tc>
                                <w:tcPr>
                                  <w:tcW w:w="1308" w:type="dxa"/>
                                </w:tcPr>
                                <w:p>
                                  <w:pPr>
                                    <w:pStyle w:val="33"/>
                                    <w:rPr>
                                      <w:rFonts w:ascii="Times New Roman"/>
                                      <w:szCs w:val="21"/>
                                    </w:rPr>
                                  </w:pPr>
                                </w:p>
                              </w:tc>
                              <w:tc>
                                <w:tcPr>
                                  <w:tcW w:w="1307" w:type="dxa"/>
                                </w:tcPr>
                                <w:p>
                                  <w:pPr>
                                    <w:pStyle w:val="33"/>
                                    <w:rPr>
                                      <w:rFonts w:ascii="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4026" w:type="dxa"/>
                                </w:tcPr>
                                <w:p>
                                  <w:pPr>
                                    <w:pStyle w:val="33"/>
                                    <w:spacing w:before="166"/>
                                    <w:ind w:left="155"/>
                                    <w:rPr>
                                      <w:szCs w:val="21"/>
                                    </w:rPr>
                                  </w:pPr>
                                  <w:r>
                                    <w:rPr>
                                      <w:szCs w:val="21"/>
                                    </w:rPr>
                                    <w:t>九、 净利润</w:t>
                                  </w:r>
                                </w:p>
                              </w:tc>
                              <w:tc>
                                <w:tcPr>
                                  <w:tcW w:w="892" w:type="dxa"/>
                                </w:tcPr>
                                <w:p>
                                  <w:pPr>
                                    <w:pStyle w:val="33"/>
                                    <w:spacing w:before="166"/>
                                    <w:ind w:left="167" w:right="136"/>
                                    <w:jc w:val="center"/>
                                    <w:rPr>
                                      <w:szCs w:val="21"/>
                                    </w:rPr>
                                  </w:pPr>
                                  <w:r>
                                    <w:rPr>
                                      <w:szCs w:val="21"/>
                                    </w:rPr>
                                    <w:t>万元</w:t>
                                  </w:r>
                                </w:p>
                              </w:tc>
                              <w:tc>
                                <w:tcPr>
                                  <w:tcW w:w="1307" w:type="dxa"/>
                                </w:tcPr>
                                <w:p>
                                  <w:pPr>
                                    <w:pStyle w:val="33"/>
                                    <w:rPr>
                                      <w:rFonts w:ascii="Times New Roman"/>
                                      <w:szCs w:val="21"/>
                                    </w:rPr>
                                  </w:pPr>
                                </w:p>
                              </w:tc>
                              <w:tc>
                                <w:tcPr>
                                  <w:tcW w:w="1308" w:type="dxa"/>
                                </w:tcPr>
                                <w:p>
                                  <w:pPr>
                                    <w:pStyle w:val="33"/>
                                    <w:rPr>
                                      <w:rFonts w:ascii="Times New Roman"/>
                                      <w:szCs w:val="21"/>
                                    </w:rPr>
                                  </w:pPr>
                                </w:p>
                              </w:tc>
                              <w:tc>
                                <w:tcPr>
                                  <w:tcW w:w="1307" w:type="dxa"/>
                                </w:tcPr>
                                <w:p>
                                  <w:pPr>
                                    <w:pStyle w:val="33"/>
                                    <w:rPr>
                                      <w:rFonts w:ascii="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4026" w:type="dxa"/>
                                </w:tcPr>
                                <w:p>
                                  <w:pPr>
                                    <w:pStyle w:val="33"/>
                                    <w:spacing w:before="169"/>
                                    <w:ind w:left="155"/>
                                    <w:rPr>
                                      <w:szCs w:val="21"/>
                                    </w:rPr>
                                  </w:pPr>
                                  <w:r>
                                    <w:rPr>
                                      <w:szCs w:val="21"/>
                                    </w:rPr>
                                    <w:t>十、 现金流量净额</w:t>
                                  </w:r>
                                </w:p>
                              </w:tc>
                              <w:tc>
                                <w:tcPr>
                                  <w:tcW w:w="892" w:type="dxa"/>
                                </w:tcPr>
                                <w:p>
                                  <w:pPr>
                                    <w:pStyle w:val="33"/>
                                    <w:spacing w:before="169"/>
                                    <w:ind w:left="167" w:right="136"/>
                                    <w:jc w:val="center"/>
                                    <w:rPr>
                                      <w:szCs w:val="21"/>
                                    </w:rPr>
                                  </w:pPr>
                                  <w:r>
                                    <w:rPr>
                                      <w:szCs w:val="21"/>
                                    </w:rPr>
                                    <w:t>万元</w:t>
                                  </w:r>
                                </w:p>
                              </w:tc>
                              <w:tc>
                                <w:tcPr>
                                  <w:tcW w:w="1307" w:type="dxa"/>
                                </w:tcPr>
                                <w:p>
                                  <w:pPr>
                                    <w:pStyle w:val="33"/>
                                    <w:rPr>
                                      <w:rFonts w:ascii="Times New Roman"/>
                                      <w:szCs w:val="21"/>
                                    </w:rPr>
                                  </w:pPr>
                                </w:p>
                              </w:tc>
                              <w:tc>
                                <w:tcPr>
                                  <w:tcW w:w="1308" w:type="dxa"/>
                                </w:tcPr>
                                <w:p>
                                  <w:pPr>
                                    <w:pStyle w:val="33"/>
                                    <w:rPr>
                                      <w:rFonts w:ascii="Times New Roman"/>
                                      <w:szCs w:val="21"/>
                                    </w:rPr>
                                  </w:pPr>
                                </w:p>
                              </w:tc>
                              <w:tc>
                                <w:tcPr>
                                  <w:tcW w:w="1307" w:type="dxa"/>
                                </w:tcPr>
                                <w:p>
                                  <w:pPr>
                                    <w:pStyle w:val="33"/>
                                    <w:rPr>
                                      <w:rFonts w:ascii="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4026" w:type="dxa"/>
                                </w:tcPr>
                                <w:p>
                                  <w:pPr>
                                    <w:pStyle w:val="33"/>
                                    <w:spacing w:before="166"/>
                                    <w:ind w:left="155"/>
                                    <w:rPr>
                                      <w:szCs w:val="21"/>
                                    </w:rPr>
                                  </w:pPr>
                                  <w:r>
                                    <w:rPr>
                                      <w:szCs w:val="21"/>
                                    </w:rPr>
                                    <w:t>十一、 主要财务指标</w:t>
                                  </w:r>
                                </w:p>
                              </w:tc>
                              <w:tc>
                                <w:tcPr>
                                  <w:tcW w:w="892" w:type="dxa"/>
                                </w:tcPr>
                                <w:p>
                                  <w:pPr>
                                    <w:pStyle w:val="33"/>
                                    <w:rPr>
                                      <w:rFonts w:ascii="Times New Roman"/>
                                      <w:szCs w:val="21"/>
                                    </w:rPr>
                                  </w:pPr>
                                </w:p>
                              </w:tc>
                              <w:tc>
                                <w:tcPr>
                                  <w:tcW w:w="1307" w:type="dxa"/>
                                </w:tcPr>
                                <w:p>
                                  <w:pPr>
                                    <w:pStyle w:val="33"/>
                                    <w:rPr>
                                      <w:rFonts w:ascii="Times New Roman"/>
                                      <w:szCs w:val="21"/>
                                    </w:rPr>
                                  </w:pPr>
                                </w:p>
                              </w:tc>
                              <w:tc>
                                <w:tcPr>
                                  <w:tcW w:w="1308" w:type="dxa"/>
                                </w:tcPr>
                                <w:p>
                                  <w:pPr>
                                    <w:pStyle w:val="33"/>
                                    <w:rPr>
                                      <w:rFonts w:ascii="Times New Roman"/>
                                      <w:szCs w:val="21"/>
                                    </w:rPr>
                                  </w:pPr>
                                </w:p>
                              </w:tc>
                              <w:tc>
                                <w:tcPr>
                                  <w:tcW w:w="1307" w:type="dxa"/>
                                </w:tcPr>
                                <w:p>
                                  <w:pPr>
                                    <w:pStyle w:val="33"/>
                                    <w:rPr>
                                      <w:rFonts w:ascii="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4026" w:type="dxa"/>
                                </w:tcPr>
                                <w:p>
                                  <w:pPr>
                                    <w:pStyle w:val="33"/>
                                    <w:spacing w:before="169"/>
                                    <w:ind w:left="952"/>
                                    <w:rPr>
                                      <w:szCs w:val="21"/>
                                    </w:rPr>
                                  </w:pPr>
                                  <w:r>
                                    <w:rPr>
                                      <w:rFonts w:ascii="Times New Roman" w:eastAsia="Times New Roman"/>
                                      <w:szCs w:val="21"/>
                                    </w:rPr>
                                    <w:t xml:space="preserve">1. </w:t>
                                  </w:r>
                                  <w:r>
                                    <w:rPr>
                                      <w:szCs w:val="21"/>
                                    </w:rPr>
                                    <w:t>净资产收益率</w:t>
                                  </w:r>
                                </w:p>
                              </w:tc>
                              <w:tc>
                                <w:tcPr>
                                  <w:tcW w:w="892" w:type="dxa"/>
                                </w:tcPr>
                                <w:p>
                                  <w:pPr>
                                    <w:pStyle w:val="33"/>
                                    <w:spacing w:before="180"/>
                                    <w:ind w:left="29"/>
                                    <w:jc w:val="center"/>
                                    <w:rPr>
                                      <w:rFonts w:ascii="Times New Roman"/>
                                      <w:szCs w:val="21"/>
                                    </w:rPr>
                                  </w:pPr>
                                  <w:r>
                                    <w:rPr>
                                      <w:rFonts w:ascii="Times New Roman"/>
                                      <w:szCs w:val="21"/>
                                    </w:rPr>
                                    <w:t>%</w:t>
                                  </w:r>
                                </w:p>
                              </w:tc>
                              <w:tc>
                                <w:tcPr>
                                  <w:tcW w:w="1307" w:type="dxa"/>
                                </w:tcPr>
                                <w:p>
                                  <w:pPr>
                                    <w:pStyle w:val="33"/>
                                    <w:rPr>
                                      <w:rFonts w:ascii="Times New Roman"/>
                                      <w:szCs w:val="21"/>
                                    </w:rPr>
                                  </w:pPr>
                                </w:p>
                              </w:tc>
                              <w:tc>
                                <w:tcPr>
                                  <w:tcW w:w="1308" w:type="dxa"/>
                                </w:tcPr>
                                <w:p>
                                  <w:pPr>
                                    <w:pStyle w:val="33"/>
                                    <w:rPr>
                                      <w:rFonts w:ascii="Times New Roman"/>
                                      <w:szCs w:val="21"/>
                                    </w:rPr>
                                  </w:pPr>
                                </w:p>
                              </w:tc>
                              <w:tc>
                                <w:tcPr>
                                  <w:tcW w:w="1307" w:type="dxa"/>
                                </w:tcPr>
                                <w:p>
                                  <w:pPr>
                                    <w:pStyle w:val="33"/>
                                    <w:rPr>
                                      <w:rFonts w:ascii="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4026" w:type="dxa"/>
                                </w:tcPr>
                                <w:p>
                                  <w:pPr>
                                    <w:pStyle w:val="33"/>
                                    <w:spacing w:before="167"/>
                                    <w:ind w:left="952"/>
                                    <w:rPr>
                                      <w:szCs w:val="21"/>
                                    </w:rPr>
                                  </w:pPr>
                                  <w:r>
                                    <w:rPr>
                                      <w:rFonts w:ascii="Times New Roman" w:eastAsia="Times New Roman"/>
                                      <w:szCs w:val="21"/>
                                    </w:rPr>
                                    <w:t xml:space="preserve">2. </w:t>
                                  </w:r>
                                  <w:r>
                                    <w:rPr>
                                      <w:szCs w:val="21"/>
                                    </w:rPr>
                                    <w:t>总资产报酬率</w:t>
                                  </w:r>
                                </w:p>
                              </w:tc>
                              <w:tc>
                                <w:tcPr>
                                  <w:tcW w:w="892" w:type="dxa"/>
                                </w:tcPr>
                                <w:p>
                                  <w:pPr>
                                    <w:pStyle w:val="33"/>
                                    <w:spacing w:before="178"/>
                                    <w:ind w:left="29"/>
                                    <w:jc w:val="center"/>
                                    <w:rPr>
                                      <w:rFonts w:ascii="Times New Roman"/>
                                      <w:szCs w:val="21"/>
                                    </w:rPr>
                                  </w:pPr>
                                  <w:r>
                                    <w:rPr>
                                      <w:rFonts w:ascii="Times New Roman"/>
                                      <w:szCs w:val="21"/>
                                    </w:rPr>
                                    <w:t>%</w:t>
                                  </w:r>
                                </w:p>
                              </w:tc>
                              <w:tc>
                                <w:tcPr>
                                  <w:tcW w:w="1307" w:type="dxa"/>
                                </w:tcPr>
                                <w:p>
                                  <w:pPr>
                                    <w:pStyle w:val="33"/>
                                    <w:rPr>
                                      <w:rFonts w:ascii="Times New Roman"/>
                                      <w:szCs w:val="21"/>
                                    </w:rPr>
                                  </w:pPr>
                                </w:p>
                              </w:tc>
                              <w:tc>
                                <w:tcPr>
                                  <w:tcW w:w="1308" w:type="dxa"/>
                                </w:tcPr>
                                <w:p>
                                  <w:pPr>
                                    <w:pStyle w:val="33"/>
                                    <w:rPr>
                                      <w:rFonts w:ascii="Times New Roman"/>
                                      <w:szCs w:val="21"/>
                                    </w:rPr>
                                  </w:pPr>
                                </w:p>
                              </w:tc>
                              <w:tc>
                                <w:tcPr>
                                  <w:tcW w:w="1307" w:type="dxa"/>
                                </w:tcPr>
                                <w:p>
                                  <w:pPr>
                                    <w:pStyle w:val="33"/>
                                    <w:rPr>
                                      <w:rFonts w:ascii="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4026" w:type="dxa"/>
                                </w:tcPr>
                                <w:p>
                                  <w:pPr>
                                    <w:pStyle w:val="33"/>
                                    <w:spacing w:before="166"/>
                                    <w:ind w:right="1361"/>
                                    <w:jc w:val="right"/>
                                    <w:rPr>
                                      <w:szCs w:val="21"/>
                                    </w:rPr>
                                  </w:pPr>
                                  <w:r>
                                    <w:rPr>
                                      <w:rFonts w:ascii="Times New Roman" w:eastAsia="Times New Roman"/>
                                      <w:szCs w:val="21"/>
                                    </w:rPr>
                                    <w:t xml:space="preserve">3. </w:t>
                                  </w:r>
                                  <w:r>
                                    <w:rPr>
                                      <w:szCs w:val="21"/>
                                    </w:rPr>
                                    <w:t>主营业务利润率</w:t>
                                  </w:r>
                                </w:p>
                              </w:tc>
                              <w:tc>
                                <w:tcPr>
                                  <w:tcW w:w="892" w:type="dxa"/>
                                </w:tcPr>
                                <w:p>
                                  <w:pPr>
                                    <w:pStyle w:val="33"/>
                                    <w:spacing w:before="178"/>
                                    <w:ind w:left="29"/>
                                    <w:jc w:val="center"/>
                                    <w:rPr>
                                      <w:rFonts w:ascii="Times New Roman"/>
                                      <w:szCs w:val="21"/>
                                    </w:rPr>
                                  </w:pPr>
                                  <w:r>
                                    <w:rPr>
                                      <w:rFonts w:ascii="Times New Roman"/>
                                      <w:szCs w:val="21"/>
                                    </w:rPr>
                                    <w:t>%</w:t>
                                  </w:r>
                                </w:p>
                              </w:tc>
                              <w:tc>
                                <w:tcPr>
                                  <w:tcW w:w="1307" w:type="dxa"/>
                                </w:tcPr>
                                <w:p>
                                  <w:pPr>
                                    <w:pStyle w:val="33"/>
                                    <w:rPr>
                                      <w:rFonts w:ascii="Times New Roman"/>
                                      <w:szCs w:val="21"/>
                                    </w:rPr>
                                  </w:pPr>
                                </w:p>
                              </w:tc>
                              <w:tc>
                                <w:tcPr>
                                  <w:tcW w:w="1308" w:type="dxa"/>
                                </w:tcPr>
                                <w:p>
                                  <w:pPr>
                                    <w:pStyle w:val="33"/>
                                    <w:rPr>
                                      <w:rFonts w:ascii="Times New Roman"/>
                                      <w:szCs w:val="21"/>
                                    </w:rPr>
                                  </w:pPr>
                                </w:p>
                              </w:tc>
                              <w:tc>
                                <w:tcPr>
                                  <w:tcW w:w="1307" w:type="dxa"/>
                                </w:tcPr>
                                <w:p>
                                  <w:pPr>
                                    <w:pStyle w:val="33"/>
                                    <w:rPr>
                                      <w:rFonts w:ascii="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4026" w:type="dxa"/>
                                </w:tcPr>
                                <w:p>
                                  <w:pPr>
                                    <w:pStyle w:val="33"/>
                                    <w:spacing w:before="166"/>
                                    <w:ind w:left="952"/>
                                    <w:rPr>
                                      <w:szCs w:val="21"/>
                                    </w:rPr>
                                  </w:pPr>
                                  <w:r>
                                    <w:rPr>
                                      <w:rFonts w:ascii="Times New Roman" w:eastAsia="Times New Roman"/>
                                      <w:szCs w:val="21"/>
                                    </w:rPr>
                                    <w:t xml:space="preserve">4. </w:t>
                                  </w:r>
                                  <w:r>
                                    <w:rPr>
                                      <w:szCs w:val="21"/>
                                    </w:rPr>
                                    <w:t>资产负债率</w:t>
                                  </w:r>
                                </w:p>
                              </w:tc>
                              <w:tc>
                                <w:tcPr>
                                  <w:tcW w:w="892" w:type="dxa"/>
                                </w:tcPr>
                                <w:p>
                                  <w:pPr>
                                    <w:pStyle w:val="33"/>
                                    <w:spacing w:before="178"/>
                                    <w:ind w:left="29"/>
                                    <w:jc w:val="center"/>
                                    <w:rPr>
                                      <w:rFonts w:ascii="Times New Roman"/>
                                      <w:szCs w:val="21"/>
                                    </w:rPr>
                                  </w:pPr>
                                  <w:r>
                                    <w:rPr>
                                      <w:rFonts w:ascii="Times New Roman"/>
                                      <w:szCs w:val="21"/>
                                    </w:rPr>
                                    <w:t>%</w:t>
                                  </w:r>
                                </w:p>
                              </w:tc>
                              <w:tc>
                                <w:tcPr>
                                  <w:tcW w:w="1307" w:type="dxa"/>
                                </w:tcPr>
                                <w:p>
                                  <w:pPr>
                                    <w:pStyle w:val="33"/>
                                    <w:rPr>
                                      <w:rFonts w:ascii="Times New Roman"/>
                                      <w:szCs w:val="21"/>
                                    </w:rPr>
                                  </w:pPr>
                                </w:p>
                              </w:tc>
                              <w:tc>
                                <w:tcPr>
                                  <w:tcW w:w="1308" w:type="dxa"/>
                                </w:tcPr>
                                <w:p>
                                  <w:pPr>
                                    <w:pStyle w:val="33"/>
                                    <w:rPr>
                                      <w:rFonts w:ascii="Times New Roman"/>
                                      <w:szCs w:val="21"/>
                                    </w:rPr>
                                  </w:pPr>
                                </w:p>
                              </w:tc>
                              <w:tc>
                                <w:tcPr>
                                  <w:tcW w:w="1307" w:type="dxa"/>
                                </w:tcPr>
                                <w:p>
                                  <w:pPr>
                                    <w:pStyle w:val="33"/>
                                    <w:rPr>
                                      <w:rFonts w:ascii="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4026" w:type="dxa"/>
                                </w:tcPr>
                                <w:p>
                                  <w:pPr>
                                    <w:pStyle w:val="33"/>
                                    <w:spacing w:before="166"/>
                                    <w:ind w:left="952"/>
                                    <w:rPr>
                                      <w:szCs w:val="21"/>
                                    </w:rPr>
                                  </w:pPr>
                                  <w:r>
                                    <w:rPr>
                                      <w:rFonts w:ascii="Times New Roman" w:eastAsia="Times New Roman"/>
                                      <w:szCs w:val="21"/>
                                    </w:rPr>
                                    <w:t xml:space="preserve">5. </w:t>
                                  </w:r>
                                  <w:r>
                                    <w:rPr>
                                      <w:szCs w:val="21"/>
                                    </w:rPr>
                                    <w:t>流动比率</w:t>
                                  </w:r>
                                </w:p>
                              </w:tc>
                              <w:tc>
                                <w:tcPr>
                                  <w:tcW w:w="892" w:type="dxa"/>
                                </w:tcPr>
                                <w:p>
                                  <w:pPr>
                                    <w:pStyle w:val="33"/>
                                    <w:spacing w:before="178"/>
                                    <w:ind w:left="29"/>
                                    <w:jc w:val="center"/>
                                    <w:rPr>
                                      <w:rFonts w:ascii="Times New Roman"/>
                                      <w:szCs w:val="21"/>
                                    </w:rPr>
                                  </w:pPr>
                                  <w:r>
                                    <w:rPr>
                                      <w:rFonts w:ascii="Times New Roman"/>
                                      <w:szCs w:val="21"/>
                                    </w:rPr>
                                    <w:t>%</w:t>
                                  </w:r>
                                </w:p>
                              </w:tc>
                              <w:tc>
                                <w:tcPr>
                                  <w:tcW w:w="1307" w:type="dxa"/>
                                </w:tcPr>
                                <w:p>
                                  <w:pPr>
                                    <w:pStyle w:val="33"/>
                                    <w:rPr>
                                      <w:rFonts w:ascii="Times New Roman"/>
                                      <w:szCs w:val="21"/>
                                    </w:rPr>
                                  </w:pPr>
                                </w:p>
                              </w:tc>
                              <w:tc>
                                <w:tcPr>
                                  <w:tcW w:w="1308" w:type="dxa"/>
                                </w:tcPr>
                                <w:p>
                                  <w:pPr>
                                    <w:pStyle w:val="33"/>
                                    <w:rPr>
                                      <w:rFonts w:ascii="Times New Roman"/>
                                      <w:szCs w:val="21"/>
                                    </w:rPr>
                                  </w:pPr>
                                </w:p>
                              </w:tc>
                              <w:tc>
                                <w:tcPr>
                                  <w:tcW w:w="1307" w:type="dxa"/>
                                </w:tcPr>
                                <w:p>
                                  <w:pPr>
                                    <w:pStyle w:val="33"/>
                                    <w:rPr>
                                      <w:rFonts w:ascii="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4026" w:type="dxa"/>
                                </w:tcPr>
                                <w:p>
                                  <w:pPr>
                                    <w:pStyle w:val="33"/>
                                    <w:spacing w:before="169"/>
                                    <w:ind w:left="952"/>
                                    <w:rPr>
                                      <w:szCs w:val="21"/>
                                    </w:rPr>
                                  </w:pPr>
                                  <w:r>
                                    <w:rPr>
                                      <w:rFonts w:ascii="Times New Roman" w:eastAsia="Times New Roman"/>
                                      <w:szCs w:val="21"/>
                                    </w:rPr>
                                    <w:t xml:space="preserve">6. </w:t>
                                  </w:r>
                                  <w:r>
                                    <w:rPr>
                                      <w:szCs w:val="21"/>
                                    </w:rPr>
                                    <w:t>速动比率</w:t>
                                  </w:r>
                                </w:p>
                              </w:tc>
                              <w:tc>
                                <w:tcPr>
                                  <w:tcW w:w="892" w:type="dxa"/>
                                </w:tcPr>
                                <w:p>
                                  <w:pPr>
                                    <w:pStyle w:val="33"/>
                                    <w:spacing w:before="180"/>
                                    <w:ind w:left="29"/>
                                    <w:jc w:val="center"/>
                                    <w:rPr>
                                      <w:rFonts w:ascii="Times New Roman"/>
                                      <w:szCs w:val="21"/>
                                    </w:rPr>
                                  </w:pPr>
                                  <w:r>
                                    <w:rPr>
                                      <w:rFonts w:ascii="Times New Roman"/>
                                      <w:szCs w:val="21"/>
                                    </w:rPr>
                                    <w:t>%</w:t>
                                  </w:r>
                                </w:p>
                              </w:tc>
                              <w:tc>
                                <w:tcPr>
                                  <w:tcW w:w="1307" w:type="dxa"/>
                                </w:tcPr>
                                <w:p>
                                  <w:pPr>
                                    <w:pStyle w:val="33"/>
                                    <w:rPr>
                                      <w:rFonts w:ascii="Times New Roman"/>
                                      <w:szCs w:val="21"/>
                                    </w:rPr>
                                  </w:pPr>
                                </w:p>
                              </w:tc>
                              <w:tc>
                                <w:tcPr>
                                  <w:tcW w:w="1308" w:type="dxa"/>
                                </w:tcPr>
                                <w:p>
                                  <w:pPr>
                                    <w:pStyle w:val="33"/>
                                    <w:rPr>
                                      <w:rFonts w:ascii="Times New Roman"/>
                                      <w:szCs w:val="21"/>
                                    </w:rPr>
                                  </w:pPr>
                                </w:p>
                              </w:tc>
                              <w:tc>
                                <w:tcPr>
                                  <w:tcW w:w="1307" w:type="dxa"/>
                                </w:tcPr>
                                <w:p>
                                  <w:pPr>
                                    <w:pStyle w:val="33"/>
                                    <w:rPr>
                                      <w:rFonts w:ascii="Times New Roman"/>
                                      <w:szCs w:val="21"/>
                                    </w:rPr>
                                  </w:pPr>
                                </w:p>
                              </w:tc>
                            </w:tr>
                          </w:tbl>
                          <w:p>
                            <w:pPr>
                              <w:pStyle w:val="10"/>
                            </w:pPr>
                          </w:p>
                        </w:txbxContent>
                      </wps:txbx>
                      <wps:bodyPr lIns="0" tIns="0" rIns="0" bIns="0" upright="1"/>
                    </wps:wsp>
                  </a:graphicData>
                </a:graphic>
              </wp:anchor>
            </w:drawing>
          </mc:Choice>
          <mc:Fallback>
            <w:pict>
              <v:shape id="_x0000_s1026" o:spid="_x0000_s1026" o:spt="202" type="#_x0000_t202" style="position:absolute;left:0pt;margin-left:76.55pt;margin-top:76.9pt;height:518.4pt;width:447.45pt;mso-position-horizontal-relative:page;z-index:251658240;mso-width-relative:page;mso-height-relative:page;" filled="f" stroked="f" coordsize="21600,21600" o:gfxdata="UEsDBAoAAAAAAIdO4kAAAAAAAAAAAAAAAAAEAAAAZHJzL1BLAwQUAAAACACHTuJAvKYbo9kAAAAN&#10;AQAADwAAAGRycy9kb3ducmV2LnhtbE2PS0/DMBCE70j9D9ZW4kbt8IjaEKdCCE5IiDQcODrxNoka&#10;r0PsPvj3bLmU24z20+xMvj65QRxwCr0nDclCgUBqvO2p1fBZvd4sQYRoyJrBE2r4wQDrYnaVm8z6&#10;I5V42MRWcAiFzGjoYhwzKUPToTNh4Uckvm395ExkO7XSTubI4W6Qt0ql0pme+ENnRnzusNlt9k7D&#10;0xeVL/33e/1Rbsu+qlaK3tKd1tfzRD2CiHiKFxjO9bk6FNyp9nuyQQzsH+4SRv8EbzgT6n7J82pW&#10;yUqlIItc/l9R/AJQSwMEFAAAAAgAh07iQKzMyvewAQAAPgMAAA4AAABkcnMvZTJvRG9jLnhtbK1S&#10;S27bMBDdF+gdCO5r2g4kuILlAEWQIEDRFkhzAJoiLQL8YchY8gXaG3TVTfc9l8/RIWM5QbILuqGG&#10;M8On997M+nK0huwlRO1dSxezOSXSCd9pt2vp/ffrDytKYuKu48Y72dKDjPRy8/7degiNXPrem04C&#10;QRAXmyG0tE8pNIxF0UvL48wH6bCoPFie8Ao71gEfEN0atpzPazZ46AJ4IWPE7NVjkW4KvlJSpK9K&#10;RZmIaSlyS+WEcm7zyTZr3uyAh16LEw3+BhaWa4c/PUNd8cTJA+hXUFYL8NGrNBPeMq+UFrJoQDWL&#10;+Qs1dz0PsmhBc2I42xT/H6z4sv8GRHctvVhQ4rjFGR1//Tz+/nv884NgDg0aQmyw7y5gZxo/+REH&#10;PeUjJrPuUYHNX1REsI5WH872yjERgcmqXi3rRUWJwFpdrS7qVRkAe3oeIKYb6S3JQUsB51ds5fvP&#10;MSEVbJ1a8t+cv9bGlBkaR4aWfqyWVXlwruAL43KvLNtwgsmSHqnnKI3b8aRz67sDyjS3Dk3OCzMF&#10;MAXbKXgIoHc9sixmsAyEQyocTwuVt+D5HePna7/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ym&#10;G6PZAAAADQEAAA8AAAAAAAAAAQAgAAAAIgAAAGRycy9kb3ducmV2LnhtbFBLAQIUABQAAAAIAIdO&#10;4kCszMr3sAEAAD4DAAAOAAAAAAAAAAEAIAAAACgBAABkcnMvZTJvRG9jLnhtbFBLBQYAAAAABgAG&#10;AFkBAABKBQAAAAA=&#10;">
                <v:fill on="f" focussize="0,0"/>
                <v:stroke on="f"/>
                <v:imagedata o:title=""/>
                <o:lock v:ext="edit" aspectratio="f"/>
                <v:textbox inset="0mm,0mm,0mm,0mm">
                  <w:txbxContent>
                    <w:tbl>
                      <w:tblPr>
                        <w:tblStyle w:val="16"/>
                        <w:tblW w:w="884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26"/>
                        <w:gridCol w:w="892"/>
                        <w:gridCol w:w="1307"/>
                        <w:gridCol w:w="1308"/>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4026" w:type="dxa"/>
                          </w:tcPr>
                          <w:p>
                            <w:pPr>
                              <w:pStyle w:val="33"/>
                              <w:spacing w:before="169"/>
                              <w:ind w:right="1426"/>
                              <w:jc w:val="right"/>
                              <w:rPr>
                                <w:szCs w:val="21"/>
                              </w:rPr>
                            </w:pPr>
                            <w:r>
                              <w:rPr>
                                <w:szCs w:val="21"/>
                              </w:rPr>
                              <w:t>项目或指标</w:t>
                            </w:r>
                          </w:p>
                        </w:tc>
                        <w:tc>
                          <w:tcPr>
                            <w:tcW w:w="892" w:type="dxa"/>
                          </w:tcPr>
                          <w:p>
                            <w:pPr>
                              <w:pStyle w:val="33"/>
                              <w:spacing w:before="169"/>
                              <w:ind w:left="167" w:right="136"/>
                              <w:jc w:val="center"/>
                              <w:rPr>
                                <w:szCs w:val="21"/>
                              </w:rPr>
                            </w:pPr>
                            <w:r>
                              <w:rPr>
                                <w:szCs w:val="21"/>
                              </w:rPr>
                              <w:t>单位</w:t>
                            </w:r>
                          </w:p>
                        </w:tc>
                        <w:tc>
                          <w:tcPr>
                            <w:tcW w:w="1307" w:type="dxa"/>
                          </w:tcPr>
                          <w:p>
                            <w:pPr>
                              <w:pStyle w:val="33"/>
                              <w:tabs>
                                <w:tab w:val="left" w:pos="878"/>
                              </w:tabs>
                              <w:spacing w:before="169"/>
                              <w:ind w:left="247"/>
                              <w:rPr>
                                <w:szCs w:val="21"/>
                              </w:rPr>
                            </w:pPr>
                            <w:r>
                              <w:rPr>
                                <w:rFonts w:ascii="Times New Roman" w:eastAsia="Times New Roman"/>
                                <w:szCs w:val="21"/>
                                <w:u w:val="single"/>
                              </w:rPr>
                              <w:t xml:space="preserve"> </w:t>
                            </w:r>
                            <w:r>
                              <w:rPr>
                                <w:rFonts w:ascii="Times New Roman" w:eastAsia="Times New Roman"/>
                                <w:szCs w:val="21"/>
                                <w:u w:val="single"/>
                              </w:rPr>
                              <w:tab/>
                            </w:r>
                            <w:r>
                              <w:rPr>
                                <w:szCs w:val="21"/>
                              </w:rPr>
                              <w:t>年</w:t>
                            </w:r>
                          </w:p>
                        </w:tc>
                        <w:tc>
                          <w:tcPr>
                            <w:tcW w:w="1308" w:type="dxa"/>
                          </w:tcPr>
                          <w:p>
                            <w:pPr>
                              <w:pStyle w:val="33"/>
                              <w:tabs>
                                <w:tab w:val="left" w:pos="878"/>
                              </w:tabs>
                              <w:spacing w:before="169"/>
                              <w:ind w:left="247"/>
                              <w:rPr>
                                <w:szCs w:val="21"/>
                              </w:rPr>
                            </w:pPr>
                            <w:r>
                              <w:rPr>
                                <w:rFonts w:ascii="Times New Roman" w:eastAsia="Times New Roman"/>
                                <w:szCs w:val="21"/>
                                <w:u w:val="single"/>
                              </w:rPr>
                              <w:t xml:space="preserve"> </w:t>
                            </w:r>
                            <w:r>
                              <w:rPr>
                                <w:rFonts w:ascii="Times New Roman" w:eastAsia="Times New Roman"/>
                                <w:szCs w:val="21"/>
                                <w:u w:val="single"/>
                              </w:rPr>
                              <w:tab/>
                            </w:r>
                            <w:r>
                              <w:rPr>
                                <w:szCs w:val="21"/>
                              </w:rPr>
                              <w:t>年</w:t>
                            </w:r>
                          </w:p>
                        </w:tc>
                        <w:tc>
                          <w:tcPr>
                            <w:tcW w:w="1307" w:type="dxa"/>
                          </w:tcPr>
                          <w:p>
                            <w:pPr>
                              <w:pStyle w:val="33"/>
                              <w:tabs>
                                <w:tab w:val="left" w:pos="878"/>
                              </w:tabs>
                              <w:spacing w:before="169"/>
                              <w:ind w:left="247"/>
                              <w:rPr>
                                <w:szCs w:val="21"/>
                              </w:rPr>
                            </w:pPr>
                            <w:r>
                              <w:rPr>
                                <w:rFonts w:ascii="Times New Roman" w:eastAsia="Times New Roman"/>
                                <w:szCs w:val="21"/>
                                <w:u w:val="single"/>
                              </w:rPr>
                              <w:t xml:space="preserve"> </w:t>
                            </w:r>
                            <w:r>
                              <w:rPr>
                                <w:rFonts w:ascii="Times New Roman" w:eastAsia="Times New Roman"/>
                                <w:szCs w:val="21"/>
                                <w:u w:val="single"/>
                              </w:rPr>
                              <w:tab/>
                            </w:r>
                            <w:r>
                              <w:rPr>
                                <w:szCs w:val="21"/>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4026" w:type="dxa"/>
                          </w:tcPr>
                          <w:p>
                            <w:pPr>
                              <w:pStyle w:val="33"/>
                              <w:spacing w:before="166"/>
                              <w:ind w:left="155"/>
                              <w:rPr>
                                <w:szCs w:val="21"/>
                              </w:rPr>
                            </w:pPr>
                            <w:r>
                              <w:rPr>
                                <w:szCs w:val="21"/>
                              </w:rPr>
                              <w:t>一、 注册资本</w:t>
                            </w:r>
                          </w:p>
                        </w:tc>
                        <w:tc>
                          <w:tcPr>
                            <w:tcW w:w="892" w:type="dxa"/>
                          </w:tcPr>
                          <w:p>
                            <w:pPr>
                              <w:pStyle w:val="33"/>
                              <w:spacing w:before="166"/>
                              <w:ind w:left="167" w:right="136"/>
                              <w:jc w:val="center"/>
                              <w:rPr>
                                <w:szCs w:val="21"/>
                              </w:rPr>
                            </w:pPr>
                            <w:r>
                              <w:rPr>
                                <w:szCs w:val="21"/>
                              </w:rPr>
                              <w:t>万元</w:t>
                            </w:r>
                          </w:p>
                        </w:tc>
                        <w:tc>
                          <w:tcPr>
                            <w:tcW w:w="1307" w:type="dxa"/>
                          </w:tcPr>
                          <w:p>
                            <w:pPr>
                              <w:pStyle w:val="33"/>
                              <w:rPr>
                                <w:rFonts w:ascii="Times New Roman"/>
                                <w:szCs w:val="21"/>
                              </w:rPr>
                            </w:pPr>
                          </w:p>
                        </w:tc>
                        <w:tc>
                          <w:tcPr>
                            <w:tcW w:w="1308" w:type="dxa"/>
                          </w:tcPr>
                          <w:p>
                            <w:pPr>
                              <w:pStyle w:val="33"/>
                              <w:rPr>
                                <w:rFonts w:ascii="Times New Roman"/>
                                <w:szCs w:val="21"/>
                              </w:rPr>
                            </w:pPr>
                          </w:p>
                        </w:tc>
                        <w:tc>
                          <w:tcPr>
                            <w:tcW w:w="1307" w:type="dxa"/>
                          </w:tcPr>
                          <w:p>
                            <w:pPr>
                              <w:pStyle w:val="33"/>
                              <w:rPr>
                                <w:rFonts w:ascii="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5" w:hRule="atLeast"/>
                        </w:trPr>
                        <w:tc>
                          <w:tcPr>
                            <w:tcW w:w="4026" w:type="dxa"/>
                          </w:tcPr>
                          <w:p>
                            <w:pPr>
                              <w:pStyle w:val="33"/>
                              <w:spacing w:before="166"/>
                              <w:ind w:left="155"/>
                              <w:rPr>
                                <w:szCs w:val="21"/>
                              </w:rPr>
                            </w:pPr>
                            <w:r>
                              <w:rPr>
                                <w:szCs w:val="21"/>
                              </w:rPr>
                              <w:t>二、 净资产</w:t>
                            </w:r>
                          </w:p>
                        </w:tc>
                        <w:tc>
                          <w:tcPr>
                            <w:tcW w:w="892" w:type="dxa"/>
                          </w:tcPr>
                          <w:p>
                            <w:pPr>
                              <w:pStyle w:val="33"/>
                              <w:spacing w:before="166"/>
                              <w:ind w:left="167" w:right="136"/>
                              <w:jc w:val="center"/>
                              <w:rPr>
                                <w:szCs w:val="21"/>
                              </w:rPr>
                            </w:pPr>
                            <w:r>
                              <w:rPr>
                                <w:szCs w:val="21"/>
                              </w:rPr>
                              <w:t>万元</w:t>
                            </w:r>
                          </w:p>
                        </w:tc>
                        <w:tc>
                          <w:tcPr>
                            <w:tcW w:w="1307" w:type="dxa"/>
                          </w:tcPr>
                          <w:p>
                            <w:pPr>
                              <w:pStyle w:val="33"/>
                              <w:rPr>
                                <w:rFonts w:ascii="Times New Roman"/>
                                <w:szCs w:val="21"/>
                              </w:rPr>
                            </w:pPr>
                          </w:p>
                        </w:tc>
                        <w:tc>
                          <w:tcPr>
                            <w:tcW w:w="1308" w:type="dxa"/>
                          </w:tcPr>
                          <w:p>
                            <w:pPr>
                              <w:pStyle w:val="33"/>
                              <w:rPr>
                                <w:rFonts w:ascii="Times New Roman"/>
                                <w:szCs w:val="21"/>
                              </w:rPr>
                            </w:pPr>
                          </w:p>
                        </w:tc>
                        <w:tc>
                          <w:tcPr>
                            <w:tcW w:w="1307" w:type="dxa"/>
                          </w:tcPr>
                          <w:p>
                            <w:pPr>
                              <w:pStyle w:val="33"/>
                              <w:rPr>
                                <w:rFonts w:ascii="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4026" w:type="dxa"/>
                          </w:tcPr>
                          <w:p>
                            <w:pPr>
                              <w:pStyle w:val="33"/>
                              <w:spacing w:before="166"/>
                              <w:ind w:left="155"/>
                              <w:rPr>
                                <w:szCs w:val="21"/>
                              </w:rPr>
                            </w:pPr>
                            <w:r>
                              <w:rPr>
                                <w:szCs w:val="21"/>
                              </w:rPr>
                              <w:t>三、 总资产</w:t>
                            </w:r>
                          </w:p>
                        </w:tc>
                        <w:tc>
                          <w:tcPr>
                            <w:tcW w:w="892" w:type="dxa"/>
                          </w:tcPr>
                          <w:p>
                            <w:pPr>
                              <w:pStyle w:val="33"/>
                              <w:spacing w:before="166"/>
                              <w:ind w:left="167" w:right="136"/>
                              <w:jc w:val="center"/>
                              <w:rPr>
                                <w:szCs w:val="21"/>
                              </w:rPr>
                            </w:pPr>
                            <w:r>
                              <w:rPr>
                                <w:szCs w:val="21"/>
                              </w:rPr>
                              <w:t>万元</w:t>
                            </w:r>
                          </w:p>
                        </w:tc>
                        <w:tc>
                          <w:tcPr>
                            <w:tcW w:w="1307" w:type="dxa"/>
                          </w:tcPr>
                          <w:p>
                            <w:pPr>
                              <w:pStyle w:val="33"/>
                              <w:rPr>
                                <w:rFonts w:ascii="Times New Roman"/>
                                <w:szCs w:val="21"/>
                              </w:rPr>
                            </w:pPr>
                          </w:p>
                        </w:tc>
                        <w:tc>
                          <w:tcPr>
                            <w:tcW w:w="1308" w:type="dxa"/>
                          </w:tcPr>
                          <w:p>
                            <w:pPr>
                              <w:pStyle w:val="33"/>
                              <w:rPr>
                                <w:rFonts w:ascii="Times New Roman"/>
                                <w:szCs w:val="21"/>
                              </w:rPr>
                            </w:pPr>
                          </w:p>
                        </w:tc>
                        <w:tc>
                          <w:tcPr>
                            <w:tcW w:w="1307" w:type="dxa"/>
                          </w:tcPr>
                          <w:p>
                            <w:pPr>
                              <w:pStyle w:val="33"/>
                              <w:rPr>
                                <w:rFonts w:ascii="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4026" w:type="dxa"/>
                          </w:tcPr>
                          <w:p>
                            <w:pPr>
                              <w:pStyle w:val="33"/>
                              <w:spacing w:before="166"/>
                              <w:ind w:left="155"/>
                              <w:rPr>
                                <w:szCs w:val="21"/>
                              </w:rPr>
                            </w:pPr>
                            <w:r>
                              <w:rPr>
                                <w:szCs w:val="21"/>
                              </w:rPr>
                              <w:t>四、 固定资产</w:t>
                            </w:r>
                          </w:p>
                        </w:tc>
                        <w:tc>
                          <w:tcPr>
                            <w:tcW w:w="892" w:type="dxa"/>
                          </w:tcPr>
                          <w:p>
                            <w:pPr>
                              <w:pStyle w:val="33"/>
                              <w:spacing w:before="166"/>
                              <w:ind w:left="167" w:right="136"/>
                              <w:jc w:val="center"/>
                              <w:rPr>
                                <w:szCs w:val="21"/>
                              </w:rPr>
                            </w:pPr>
                            <w:r>
                              <w:rPr>
                                <w:szCs w:val="21"/>
                              </w:rPr>
                              <w:t>万元</w:t>
                            </w:r>
                          </w:p>
                        </w:tc>
                        <w:tc>
                          <w:tcPr>
                            <w:tcW w:w="1307" w:type="dxa"/>
                          </w:tcPr>
                          <w:p>
                            <w:pPr>
                              <w:pStyle w:val="33"/>
                              <w:rPr>
                                <w:rFonts w:ascii="Times New Roman"/>
                                <w:szCs w:val="21"/>
                              </w:rPr>
                            </w:pPr>
                          </w:p>
                        </w:tc>
                        <w:tc>
                          <w:tcPr>
                            <w:tcW w:w="1308" w:type="dxa"/>
                          </w:tcPr>
                          <w:p>
                            <w:pPr>
                              <w:pStyle w:val="33"/>
                              <w:rPr>
                                <w:rFonts w:ascii="Times New Roman"/>
                                <w:szCs w:val="21"/>
                              </w:rPr>
                            </w:pPr>
                          </w:p>
                        </w:tc>
                        <w:tc>
                          <w:tcPr>
                            <w:tcW w:w="1307" w:type="dxa"/>
                          </w:tcPr>
                          <w:p>
                            <w:pPr>
                              <w:pStyle w:val="33"/>
                              <w:rPr>
                                <w:rFonts w:ascii="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4026" w:type="dxa"/>
                          </w:tcPr>
                          <w:p>
                            <w:pPr>
                              <w:pStyle w:val="33"/>
                              <w:spacing w:before="169"/>
                              <w:ind w:left="155"/>
                              <w:rPr>
                                <w:szCs w:val="21"/>
                              </w:rPr>
                            </w:pPr>
                            <w:r>
                              <w:rPr>
                                <w:szCs w:val="21"/>
                              </w:rPr>
                              <w:t>五、 流动资产</w:t>
                            </w:r>
                          </w:p>
                        </w:tc>
                        <w:tc>
                          <w:tcPr>
                            <w:tcW w:w="892" w:type="dxa"/>
                          </w:tcPr>
                          <w:p>
                            <w:pPr>
                              <w:pStyle w:val="33"/>
                              <w:spacing w:before="169"/>
                              <w:ind w:left="167" w:right="136"/>
                              <w:jc w:val="center"/>
                              <w:rPr>
                                <w:szCs w:val="21"/>
                              </w:rPr>
                            </w:pPr>
                            <w:r>
                              <w:rPr>
                                <w:szCs w:val="21"/>
                              </w:rPr>
                              <w:t>万元</w:t>
                            </w:r>
                          </w:p>
                        </w:tc>
                        <w:tc>
                          <w:tcPr>
                            <w:tcW w:w="1307" w:type="dxa"/>
                          </w:tcPr>
                          <w:p>
                            <w:pPr>
                              <w:pStyle w:val="33"/>
                              <w:rPr>
                                <w:rFonts w:ascii="Times New Roman"/>
                                <w:szCs w:val="21"/>
                              </w:rPr>
                            </w:pPr>
                          </w:p>
                        </w:tc>
                        <w:tc>
                          <w:tcPr>
                            <w:tcW w:w="1308" w:type="dxa"/>
                          </w:tcPr>
                          <w:p>
                            <w:pPr>
                              <w:pStyle w:val="33"/>
                              <w:rPr>
                                <w:rFonts w:ascii="Times New Roman"/>
                                <w:szCs w:val="21"/>
                              </w:rPr>
                            </w:pPr>
                          </w:p>
                        </w:tc>
                        <w:tc>
                          <w:tcPr>
                            <w:tcW w:w="1307" w:type="dxa"/>
                          </w:tcPr>
                          <w:p>
                            <w:pPr>
                              <w:pStyle w:val="33"/>
                              <w:rPr>
                                <w:rFonts w:ascii="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4026" w:type="dxa"/>
                          </w:tcPr>
                          <w:p>
                            <w:pPr>
                              <w:pStyle w:val="33"/>
                              <w:spacing w:before="166"/>
                              <w:ind w:left="155"/>
                              <w:rPr>
                                <w:szCs w:val="21"/>
                              </w:rPr>
                            </w:pPr>
                            <w:r>
                              <w:rPr>
                                <w:szCs w:val="21"/>
                              </w:rPr>
                              <w:t>六、 流动负债</w:t>
                            </w:r>
                          </w:p>
                        </w:tc>
                        <w:tc>
                          <w:tcPr>
                            <w:tcW w:w="892" w:type="dxa"/>
                          </w:tcPr>
                          <w:p>
                            <w:pPr>
                              <w:pStyle w:val="33"/>
                              <w:spacing w:before="166"/>
                              <w:ind w:left="167" w:right="136"/>
                              <w:jc w:val="center"/>
                              <w:rPr>
                                <w:szCs w:val="21"/>
                              </w:rPr>
                            </w:pPr>
                            <w:r>
                              <w:rPr>
                                <w:szCs w:val="21"/>
                              </w:rPr>
                              <w:t>万元</w:t>
                            </w:r>
                          </w:p>
                        </w:tc>
                        <w:tc>
                          <w:tcPr>
                            <w:tcW w:w="1307" w:type="dxa"/>
                          </w:tcPr>
                          <w:p>
                            <w:pPr>
                              <w:pStyle w:val="33"/>
                              <w:rPr>
                                <w:rFonts w:ascii="Times New Roman"/>
                                <w:szCs w:val="21"/>
                              </w:rPr>
                            </w:pPr>
                          </w:p>
                        </w:tc>
                        <w:tc>
                          <w:tcPr>
                            <w:tcW w:w="1308" w:type="dxa"/>
                          </w:tcPr>
                          <w:p>
                            <w:pPr>
                              <w:pStyle w:val="33"/>
                              <w:rPr>
                                <w:rFonts w:ascii="Times New Roman"/>
                                <w:szCs w:val="21"/>
                              </w:rPr>
                            </w:pPr>
                          </w:p>
                        </w:tc>
                        <w:tc>
                          <w:tcPr>
                            <w:tcW w:w="1307" w:type="dxa"/>
                          </w:tcPr>
                          <w:p>
                            <w:pPr>
                              <w:pStyle w:val="33"/>
                              <w:rPr>
                                <w:rFonts w:ascii="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4026" w:type="dxa"/>
                          </w:tcPr>
                          <w:p>
                            <w:pPr>
                              <w:pStyle w:val="33"/>
                              <w:spacing w:before="166"/>
                              <w:ind w:left="155"/>
                              <w:rPr>
                                <w:szCs w:val="21"/>
                              </w:rPr>
                            </w:pPr>
                            <w:r>
                              <w:rPr>
                                <w:szCs w:val="21"/>
                              </w:rPr>
                              <w:t>七、 负债合计</w:t>
                            </w:r>
                          </w:p>
                        </w:tc>
                        <w:tc>
                          <w:tcPr>
                            <w:tcW w:w="892" w:type="dxa"/>
                          </w:tcPr>
                          <w:p>
                            <w:pPr>
                              <w:pStyle w:val="33"/>
                              <w:spacing w:before="166"/>
                              <w:ind w:left="167" w:right="136"/>
                              <w:jc w:val="center"/>
                              <w:rPr>
                                <w:szCs w:val="21"/>
                              </w:rPr>
                            </w:pPr>
                            <w:r>
                              <w:rPr>
                                <w:szCs w:val="21"/>
                              </w:rPr>
                              <w:t>万元</w:t>
                            </w:r>
                          </w:p>
                        </w:tc>
                        <w:tc>
                          <w:tcPr>
                            <w:tcW w:w="1307" w:type="dxa"/>
                          </w:tcPr>
                          <w:p>
                            <w:pPr>
                              <w:pStyle w:val="33"/>
                              <w:rPr>
                                <w:rFonts w:ascii="Times New Roman"/>
                                <w:szCs w:val="21"/>
                              </w:rPr>
                            </w:pPr>
                          </w:p>
                        </w:tc>
                        <w:tc>
                          <w:tcPr>
                            <w:tcW w:w="1308" w:type="dxa"/>
                          </w:tcPr>
                          <w:p>
                            <w:pPr>
                              <w:pStyle w:val="33"/>
                              <w:rPr>
                                <w:rFonts w:ascii="Times New Roman"/>
                                <w:szCs w:val="21"/>
                              </w:rPr>
                            </w:pPr>
                          </w:p>
                        </w:tc>
                        <w:tc>
                          <w:tcPr>
                            <w:tcW w:w="1307" w:type="dxa"/>
                          </w:tcPr>
                          <w:p>
                            <w:pPr>
                              <w:pStyle w:val="33"/>
                              <w:rPr>
                                <w:rFonts w:ascii="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4026" w:type="dxa"/>
                          </w:tcPr>
                          <w:p>
                            <w:pPr>
                              <w:pStyle w:val="33"/>
                              <w:spacing w:before="167"/>
                              <w:ind w:left="155"/>
                              <w:rPr>
                                <w:szCs w:val="21"/>
                              </w:rPr>
                            </w:pPr>
                            <w:r>
                              <w:rPr>
                                <w:szCs w:val="21"/>
                              </w:rPr>
                              <w:t>八、 营业收入</w:t>
                            </w:r>
                          </w:p>
                        </w:tc>
                        <w:tc>
                          <w:tcPr>
                            <w:tcW w:w="892" w:type="dxa"/>
                          </w:tcPr>
                          <w:p>
                            <w:pPr>
                              <w:pStyle w:val="33"/>
                              <w:spacing w:before="167"/>
                              <w:ind w:left="167" w:right="136"/>
                              <w:jc w:val="center"/>
                              <w:rPr>
                                <w:szCs w:val="21"/>
                              </w:rPr>
                            </w:pPr>
                            <w:r>
                              <w:rPr>
                                <w:szCs w:val="21"/>
                              </w:rPr>
                              <w:t>万元</w:t>
                            </w:r>
                          </w:p>
                        </w:tc>
                        <w:tc>
                          <w:tcPr>
                            <w:tcW w:w="1307" w:type="dxa"/>
                          </w:tcPr>
                          <w:p>
                            <w:pPr>
                              <w:pStyle w:val="33"/>
                              <w:rPr>
                                <w:rFonts w:ascii="Times New Roman"/>
                                <w:szCs w:val="21"/>
                              </w:rPr>
                            </w:pPr>
                          </w:p>
                        </w:tc>
                        <w:tc>
                          <w:tcPr>
                            <w:tcW w:w="1308" w:type="dxa"/>
                          </w:tcPr>
                          <w:p>
                            <w:pPr>
                              <w:pStyle w:val="33"/>
                              <w:rPr>
                                <w:rFonts w:ascii="Times New Roman"/>
                                <w:szCs w:val="21"/>
                              </w:rPr>
                            </w:pPr>
                          </w:p>
                        </w:tc>
                        <w:tc>
                          <w:tcPr>
                            <w:tcW w:w="1307" w:type="dxa"/>
                          </w:tcPr>
                          <w:p>
                            <w:pPr>
                              <w:pStyle w:val="33"/>
                              <w:rPr>
                                <w:rFonts w:ascii="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4026" w:type="dxa"/>
                          </w:tcPr>
                          <w:p>
                            <w:pPr>
                              <w:pStyle w:val="33"/>
                              <w:spacing w:before="166"/>
                              <w:ind w:left="155"/>
                              <w:rPr>
                                <w:szCs w:val="21"/>
                              </w:rPr>
                            </w:pPr>
                            <w:r>
                              <w:rPr>
                                <w:szCs w:val="21"/>
                              </w:rPr>
                              <w:t>九、 净利润</w:t>
                            </w:r>
                          </w:p>
                        </w:tc>
                        <w:tc>
                          <w:tcPr>
                            <w:tcW w:w="892" w:type="dxa"/>
                          </w:tcPr>
                          <w:p>
                            <w:pPr>
                              <w:pStyle w:val="33"/>
                              <w:spacing w:before="166"/>
                              <w:ind w:left="167" w:right="136"/>
                              <w:jc w:val="center"/>
                              <w:rPr>
                                <w:szCs w:val="21"/>
                              </w:rPr>
                            </w:pPr>
                            <w:r>
                              <w:rPr>
                                <w:szCs w:val="21"/>
                              </w:rPr>
                              <w:t>万元</w:t>
                            </w:r>
                          </w:p>
                        </w:tc>
                        <w:tc>
                          <w:tcPr>
                            <w:tcW w:w="1307" w:type="dxa"/>
                          </w:tcPr>
                          <w:p>
                            <w:pPr>
                              <w:pStyle w:val="33"/>
                              <w:rPr>
                                <w:rFonts w:ascii="Times New Roman"/>
                                <w:szCs w:val="21"/>
                              </w:rPr>
                            </w:pPr>
                          </w:p>
                        </w:tc>
                        <w:tc>
                          <w:tcPr>
                            <w:tcW w:w="1308" w:type="dxa"/>
                          </w:tcPr>
                          <w:p>
                            <w:pPr>
                              <w:pStyle w:val="33"/>
                              <w:rPr>
                                <w:rFonts w:ascii="Times New Roman"/>
                                <w:szCs w:val="21"/>
                              </w:rPr>
                            </w:pPr>
                          </w:p>
                        </w:tc>
                        <w:tc>
                          <w:tcPr>
                            <w:tcW w:w="1307" w:type="dxa"/>
                          </w:tcPr>
                          <w:p>
                            <w:pPr>
                              <w:pStyle w:val="33"/>
                              <w:rPr>
                                <w:rFonts w:ascii="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4026" w:type="dxa"/>
                          </w:tcPr>
                          <w:p>
                            <w:pPr>
                              <w:pStyle w:val="33"/>
                              <w:spacing w:before="169"/>
                              <w:ind w:left="155"/>
                              <w:rPr>
                                <w:szCs w:val="21"/>
                              </w:rPr>
                            </w:pPr>
                            <w:r>
                              <w:rPr>
                                <w:szCs w:val="21"/>
                              </w:rPr>
                              <w:t>十、 现金流量净额</w:t>
                            </w:r>
                          </w:p>
                        </w:tc>
                        <w:tc>
                          <w:tcPr>
                            <w:tcW w:w="892" w:type="dxa"/>
                          </w:tcPr>
                          <w:p>
                            <w:pPr>
                              <w:pStyle w:val="33"/>
                              <w:spacing w:before="169"/>
                              <w:ind w:left="167" w:right="136"/>
                              <w:jc w:val="center"/>
                              <w:rPr>
                                <w:szCs w:val="21"/>
                              </w:rPr>
                            </w:pPr>
                            <w:r>
                              <w:rPr>
                                <w:szCs w:val="21"/>
                              </w:rPr>
                              <w:t>万元</w:t>
                            </w:r>
                          </w:p>
                        </w:tc>
                        <w:tc>
                          <w:tcPr>
                            <w:tcW w:w="1307" w:type="dxa"/>
                          </w:tcPr>
                          <w:p>
                            <w:pPr>
                              <w:pStyle w:val="33"/>
                              <w:rPr>
                                <w:rFonts w:ascii="Times New Roman"/>
                                <w:szCs w:val="21"/>
                              </w:rPr>
                            </w:pPr>
                          </w:p>
                        </w:tc>
                        <w:tc>
                          <w:tcPr>
                            <w:tcW w:w="1308" w:type="dxa"/>
                          </w:tcPr>
                          <w:p>
                            <w:pPr>
                              <w:pStyle w:val="33"/>
                              <w:rPr>
                                <w:rFonts w:ascii="Times New Roman"/>
                                <w:szCs w:val="21"/>
                              </w:rPr>
                            </w:pPr>
                          </w:p>
                        </w:tc>
                        <w:tc>
                          <w:tcPr>
                            <w:tcW w:w="1307" w:type="dxa"/>
                          </w:tcPr>
                          <w:p>
                            <w:pPr>
                              <w:pStyle w:val="33"/>
                              <w:rPr>
                                <w:rFonts w:ascii="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4026" w:type="dxa"/>
                          </w:tcPr>
                          <w:p>
                            <w:pPr>
                              <w:pStyle w:val="33"/>
                              <w:spacing w:before="166"/>
                              <w:ind w:left="155"/>
                              <w:rPr>
                                <w:szCs w:val="21"/>
                              </w:rPr>
                            </w:pPr>
                            <w:r>
                              <w:rPr>
                                <w:szCs w:val="21"/>
                              </w:rPr>
                              <w:t>十一、 主要财务指标</w:t>
                            </w:r>
                          </w:p>
                        </w:tc>
                        <w:tc>
                          <w:tcPr>
                            <w:tcW w:w="892" w:type="dxa"/>
                          </w:tcPr>
                          <w:p>
                            <w:pPr>
                              <w:pStyle w:val="33"/>
                              <w:rPr>
                                <w:rFonts w:ascii="Times New Roman"/>
                                <w:szCs w:val="21"/>
                              </w:rPr>
                            </w:pPr>
                          </w:p>
                        </w:tc>
                        <w:tc>
                          <w:tcPr>
                            <w:tcW w:w="1307" w:type="dxa"/>
                          </w:tcPr>
                          <w:p>
                            <w:pPr>
                              <w:pStyle w:val="33"/>
                              <w:rPr>
                                <w:rFonts w:ascii="Times New Roman"/>
                                <w:szCs w:val="21"/>
                              </w:rPr>
                            </w:pPr>
                          </w:p>
                        </w:tc>
                        <w:tc>
                          <w:tcPr>
                            <w:tcW w:w="1308" w:type="dxa"/>
                          </w:tcPr>
                          <w:p>
                            <w:pPr>
                              <w:pStyle w:val="33"/>
                              <w:rPr>
                                <w:rFonts w:ascii="Times New Roman"/>
                                <w:szCs w:val="21"/>
                              </w:rPr>
                            </w:pPr>
                          </w:p>
                        </w:tc>
                        <w:tc>
                          <w:tcPr>
                            <w:tcW w:w="1307" w:type="dxa"/>
                          </w:tcPr>
                          <w:p>
                            <w:pPr>
                              <w:pStyle w:val="33"/>
                              <w:rPr>
                                <w:rFonts w:ascii="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4026" w:type="dxa"/>
                          </w:tcPr>
                          <w:p>
                            <w:pPr>
                              <w:pStyle w:val="33"/>
                              <w:spacing w:before="169"/>
                              <w:ind w:left="952"/>
                              <w:rPr>
                                <w:szCs w:val="21"/>
                              </w:rPr>
                            </w:pPr>
                            <w:r>
                              <w:rPr>
                                <w:rFonts w:ascii="Times New Roman" w:eastAsia="Times New Roman"/>
                                <w:szCs w:val="21"/>
                              </w:rPr>
                              <w:t xml:space="preserve">1. </w:t>
                            </w:r>
                            <w:r>
                              <w:rPr>
                                <w:szCs w:val="21"/>
                              </w:rPr>
                              <w:t>净资产收益率</w:t>
                            </w:r>
                          </w:p>
                        </w:tc>
                        <w:tc>
                          <w:tcPr>
                            <w:tcW w:w="892" w:type="dxa"/>
                          </w:tcPr>
                          <w:p>
                            <w:pPr>
                              <w:pStyle w:val="33"/>
                              <w:spacing w:before="180"/>
                              <w:ind w:left="29"/>
                              <w:jc w:val="center"/>
                              <w:rPr>
                                <w:rFonts w:ascii="Times New Roman"/>
                                <w:szCs w:val="21"/>
                              </w:rPr>
                            </w:pPr>
                            <w:r>
                              <w:rPr>
                                <w:rFonts w:ascii="Times New Roman"/>
                                <w:szCs w:val="21"/>
                              </w:rPr>
                              <w:t>%</w:t>
                            </w:r>
                          </w:p>
                        </w:tc>
                        <w:tc>
                          <w:tcPr>
                            <w:tcW w:w="1307" w:type="dxa"/>
                          </w:tcPr>
                          <w:p>
                            <w:pPr>
                              <w:pStyle w:val="33"/>
                              <w:rPr>
                                <w:rFonts w:ascii="Times New Roman"/>
                                <w:szCs w:val="21"/>
                              </w:rPr>
                            </w:pPr>
                          </w:p>
                        </w:tc>
                        <w:tc>
                          <w:tcPr>
                            <w:tcW w:w="1308" w:type="dxa"/>
                          </w:tcPr>
                          <w:p>
                            <w:pPr>
                              <w:pStyle w:val="33"/>
                              <w:rPr>
                                <w:rFonts w:ascii="Times New Roman"/>
                                <w:szCs w:val="21"/>
                              </w:rPr>
                            </w:pPr>
                          </w:p>
                        </w:tc>
                        <w:tc>
                          <w:tcPr>
                            <w:tcW w:w="1307" w:type="dxa"/>
                          </w:tcPr>
                          <w:p>
                            <w:pPr>
                              <w:pStyle w:val="33"/>
                              <w:rPr>
                                <w:rFonts w:ascii="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4026" w:type="dxa"/>
                          </w:tcPr>
                          <w:p>
                            <w:pPr>
                              <w:pStyle w:val="33"/>
                              <w:spacing w:before="167"/>
                              <w:ind w:left="952"/>
                              <w:rPr>
                                <w:szCs w:val="21"/>
                              </w:rPr>
                            </w:pPr>
                            <w:r>
                              <w:rPr>
                                <w:rFonts w:ascii="Times New Roman" w:eastAsia="Times New Roman"/>
                                <w:szCs w:val="21"/>
                              </w:rPr>
                              <w:t xml:space="preserve">2. </w:t>
                            </w:r>
                            <w:r>
                              <w:rPr>
                                <w:szCs w:val="21"/>
                              </w:rPr>
                              <w:t>总资产报酬率</w:t>
                            </w:r>
                          </w:p>
                        </w:tc>
                        <w:tc>
                          <w:tcPr>
                            <w:tcW w:w="892" w:type="dxa"/>
                          </w:tcPr>
                          <w:p>
                            <w:pPr>
                              <w:pStyle w:val="33"/>
                              <w:spacing w:before="178"/>
                              <w:ind w:left="29"/>
                              <w:jc w:val="center"/>
                              <w:rPr>
                                <w:rFonts w:ascii="Times New Roman"/>
                                <w:szCs w:val="21"/>
                              </w:rPr>
                            </w:pPr>
                            <w:r>
                              <w:rPr>
                                <w:rFonts w:ascii="Times New Roman"/>
                                <w:szCs w:val="21"/>
                              </w:rPr>
                              <w:t>%</w:t>
                            </w:r>
                          </w:p>
                        </w:tc>
                        <w:tc>
                          <w:tcPr>
                            <w:tcW w:w="1307" w:type="dxa"/>
                          </w:tcPr>
                          <w:p>
                            <w:pPr>
                              <w:pStyle w:val="33"/>
                              <w:rPr>
                                <w:rFonts w:ascii="Times New Roman"/>
                                <w:szCs w:val="21"/>
                              </w:rPr>
                            </w:pPr>
                          </w:p>
                        </w:tc>
                        <w:tc>
                          <w:tcPr>
                            <w:tcW w:w="1308" w:type="dxa"/>
                          </w:tcPr>
                          <w:p>
                            <w:pPr>
                              <w:pStyle w:val="33"/>
                              <w:rPr>
                                <w:rFonts w:ascii="Times New Roman"/>
                                <w:szCs w:val="21"/>
                              </w:rPr>
                            </w:pPr>
                          </w:p>
                        </w:tc>
                        <w:tc>
                          <w:tcPr>
                            <w:tcW w:w="1307" w:type="dxa"/>
                          </w:tcPr>
                          <w:p>
                            <w:pPr>
                              <w:pStyle w:val="33"/>
                              <w:rPr>
                                <w:rFonts w:ascii="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4026" w:type="dxa"/>
                          </w:tcPr>
                          <w:p>
                            <w:pPr>
                              <w:pStyle w:val="33"/>
                              <w:spacing w:before="166"/>
                              <w:ind w:right="1361"/>
                              <w:jc w:val="right"/>
                              <w:rPr>
                                <w:szCs w:val="21"/>
                              </w:rPr>
                            </w:pPr>
                            <w:r>
                              <w:rPr>
                                <w:rFonts w:ascii="Times New Roman" w:eastAsia="Times New Roman"/>
                                <w:szCs w:val="21"/>
                              </w:rPr>
                              <w:t xml:space="preserve">3. </w:t>
                            </w:r>
                            <w:r>
                              <w:rPr>
                                <w:szCs w:val="21"/>
                              </w:rPr>
                              <w:t>主营业务利润率</w:t>
                            </w:r>
                          </w:p>
                        </w:tc>
                        <w:tc>
                          <w:tcPr>
                            <w:tcW w:w="892" w:type="dxa"/>
                          </w:tcPr>
                          <w:p>
                            <w:pPr>
                              <w:pStyle w:val="33"/>
                              <w:spacing w:before="178"/>
                              <w:ind w:left="29"/>
                              <w:jc w:val="center"/>
                              <w:rPr>
                                <w:rFonts w:ascii="Times New Roman"/>
                                <w:szCs w:val="21"/>
                              </w:rPr>
                            </w:pPr>
                            <w:r>
                              <w:rPr>
                                <w:rFonts w:ascii="Times New Roman"/>
                                <w:szCs w:val="21"/>
                              </w:rPr>
                              <w:t>%</w:t>
                            </w:r>
                          </w:p>
                        </w:tc>
                        <w:tc>
                          <w:tcPr>
                            <w:tcW w:w="1307" w:type="dxa"/>
                          </w:tcPr>
                          <w:p>
                            <w:pPr>
                              <w:pStyle w:val="33"/>
                              <w:rPr>
                                <w:rFonts w:ascii="Times New Roman"/>
                                <w:szCs w:val="21"/>
                              </w:rPr>
                            </w:pPr>
                          </w:p>
                        </w:tc>
                        <w:tc>
                          <w:tcPr>
                            <w:tcW w:w="1308" w:type="dxa"/>
                          </w:tcPr>
                          <w:p>
                            <w:pPr>
                              <w:pStyle w:val="33"/>
                              <w:rPr>
                                <w:rFonts w:ascii="Times New Roman"/>
                                <w:szCs w:val="21"/>
                              </w:rPr>
                            </w:pPr>
                          </w:p>
                        </w:tc>
                        <w:tc>
                          <w:tcPr>
                            <w:tcW w:w="1307" w:type="dxa"/>
                          </w:tcPr>
                          <w:p>
                            <w:pPr>
                              <w:pStyle w:val="33"/>
                              <w:rPr>
                                <w:rFonts w:ascii="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4026" w:type="dxa"/>
                          </w:tcPr>
                          <w:p>
                            <w:pPr>
                              <w:pStyle w:val="33"/>
                              <w:spacing w:before="166"/>
                              <w:ind w:left="952"/>
                              <w:rPr>
                                <w:szCs w:val="21"/>
                              </w:rPr>
                            </w:pPr>
                            <w:r>
                              <w:rPr>
                                <w:rFonts w:ascii="Times New Roman" w:eastAsia="Times New Roman"/>
                                <w:szCs w:val="21"/>
                              </w:rPr>
                              <w:t xml:space="preserve">4. </w:t>
                            </w:r>
                            <w:r>
                              <w:rPr>
                                <w:szCs w:val="21"/>
                              </w:rPr>
                              <w:t>资产负债率</w:t>
                            </w:r>
                          </w:p>
                        </w:tc>
                        <w:tc>
                          <w:tcPr>
                            <w:tcW w:w="892" w:type="dxa"/>
                          </w:tcPr>
                          <w:p>
                            <w:pPr>
                              <w:pStyle w:val="33"/>
                              <w:spacing w:before="178"/>
                              <w:ind w:left="29"/>
                              <w:jc w:val="center"/>
                              <w:rPr>
                                <w:rFonts w:ascii="Times New Roman"/>
                                <w:szCs w:val="21"/>
                              </w:rPr>
                            </w:pPr>
                            <w:r>
                              <w:rPr>
                                <w:rFonts w:ascii="Times New Roman"/>
                                <w:szCs w:val="21"/>
                              </w:rPr>
                              <w:t>%</w:t>
                            </w:r>
                          </w:p>
                        </w:tc>
                        <w:tc>
                          <w:tcPr>
                            <w:tcW w:w="1307" w:type="dxa"/>
                          </w:tcPr>
                          <w:p>
                            <w:pPr>
                              <w:pStyle w:val="33"/>
                              <w:rPr>
                                <w:rFonts w:ascii="Times New Roman"/>
                                <w:szCs w:val="21"/>
                              </w:rPr>
                            </w:pPr>
                          </w:p>
                        </w:tc>
                        <w:tc>
                          <w:tcPr>
                            <w:tcW w:w="1308" w:type="dxa"/>
                          </w:tcPr>
                          <w:p>
                            <w:pPr>
                              <w:pStyle w:val="33"/>
                              <w:rPr>
                                <w:rFonts w:ascii="Times New Roman"/>
                                <w:szCs w:val="21"/>
                              </w:rPr>
                            </w:pPr>
                          </w:p>
                        </w:tc>
                        <w:tc>
                          <w:tcPr>
                            <w:tcW w:w="1307" w:type="dxa"/>
                          </w:tcPr>
                          <w:p>
                            <w:pPr>
                              <w:pStyle w:val="33"/>
                              <w:rPr>
                                <w:rFonts w:ascii="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4026" w:type="dxa"/>
                          </w:tcPr>
                          <w:p>
                            <w:pPr>
                              <w:pStyle w:val="33"/>
                              <w:spacing w:before="166"/>
                              <w:ind w:left="952"/>
                              <w:rPr>
                                <w:szCs w:val="21"/>
                              </w:rPr>
                            </w:pPr>
                            <w:r>
                              <w:rPr>
                                <w:rFonts w:ascii="Times New Roman" w:eastAsia="Times New Roman"/>
                                <w:szCs w:val="21"/>
                              </w:rPr>
                              <w:t xml:space="preserve">5. </w:t>
                            </w:r>
                            <w:r>
                              <w:rPr>
                                <w:szCs w:val="21"/>
                              </w:rPr>
                              <w:t>流动比率</w:t>
                            </w:r>
                          </w:p>
                        </w:tc>
                        <w:tc>
                          <w:tcPr>
                            <w:tcW w:w="892" w:type="dxa"/>
                          </w:tcPr>
                          <w:p>
                            <w:pPr>
                              <w:pStyle w:val="33"/>
                              <w:spacing w:before="178"/>
                              <w:ind w:left="29"/>
                              <w:jc w:val="center"/>
                              <w:rPr>
                                <w:rFonts w:ascii="Times New Roman"/>
                                <w:szCs w:val="21"/>
                              </w:rPr>
                            </w:pPr>
                            <w:r>
                              <w:rPr>
                                <w:rFonts w:ascii="Times New Roman"/>
                                <w:szCs w:val="21"/>
                              </w:rPr>
                              <w:t>%</w:t>
                            </w:r>
                          </w:p>
                        </w:tc>
                        <w:tc>
                          <w:tcPr>
                            <w:tcW w:w="1307" w:type="dxa"/>
                          </w:tcPr>
                          <w:p>
                            <w:pPr>
                              <w:pStyle w:val="33"/>
                              <w:rPr>
                                <w:rFonts w:ascii="Times New Roman"/>
                                <w:szCs w:val="21"/>
                              </w:rPr>
                            </w:pPr>
                          </w:p>
                        </w:tc>
                        <w:tc>
                          <w:tcPr>
                            <w:tcW w:w="1308" w:type="dxa"/>
                          </w:tcPr>
                          <w:p>
                            <w:pPr>
                              <w:pStyle w:val="33"/>
                              <w:rPr>
                                <w:rFonts w:ascii="Times New Roman"/>
                                <w:szCs w:val="21"/>
                              </w:rPr>
                            </w:pPr>
                          </w:p>
                        </w:tc>
                        <w:tc>
                          <w:tcPr>
                            <w:tcW w:w="1307" w:type="dxa"/>
                          </w:tcPr>
                          <w:p>
                            <w:pPr>
                              <w:pStyle w:val="33"/>
                              <w:rPr>
                                <w:rFonts w:ascii="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4026" w:type="dxa"/>
                          </w:tcPr>
                          <w:p>
                            <w:pPr>
                              <w:pStyle w:val="33"/>
                              <w:spacing w:before="169"/>
                              <w:ind w:left="952"/>
                              <w:rPr>
                                <w:szCs w:val="21"/>
                              </w:rPr>
                            </w:pPr>
                            <w:r>
                              <w:rPr>
                                <w:rFonts w:ascii="Times New Roman" w:eastAsia="Times New Roman"/>
                                <w:szCs w:val="21"/>
                              </w:rPr>
                              <w:t xml:space="preserve">6. </w:t>
                            </w:r>
                            <w:r>
                              <w:rPr>
                                <w:szCs w:val="21"/>
                              </w:rPr>
                              <w:t>速动比率</w:t>
                            </w:r>
                          </w:p>
                        </w:tc>
                        <w:tc>
                          <w:tcPr>
                            <w:tcW w:w="892" w:type="dxa"/>
                          </w:tcPr>
                          <w:p>
                            <w:pPr>
                              <w:pStyle w:val="33"/>
                              <w:spacing w:before="180"/>
                              <w:ind w:left="29"/>
                              <w:jc w:val="center"/>
                              <w:rPr>
                                <w:rFonts w:ascii="Times New Roman"/>
                                <w:szCs w:val="21"/>
                              </w:rPr>
                            </w:pPr>
                            <w:r>
                              <w:rPr>
                                <w:rFonts w:ascii="Times New Roman"/>
                                <w:szCs w:val="21"/>
                              </w:rPr>
                              <w:t>%</w:t>
                            </w:r>
                          </w:p>
                        </w:tc>
                        <w:tc>
                          <w:tcPr>
                            <w:tcW w:w="1307" w:type="dxa"/>
                          </w:tcPr>
                          <w:p>
                            <w:pPr>
                              <w:pStyle w:val="33"/>
                              <w:rPr>
                                <w:rFonts w:ascii="Times New Roman"/>
                                <w:szCs w:val="21"/>
                              </w:rPr>
                            </w:pPr>
                          </w:p>
                        </w:tc>
                        <w:tc>
                          <w:tcPr>
                            <w:tcW w:w="1308" w:type="dxa"/>
                          </w:tcPr>
                          <w:p>
                            <w:pPr>
                              <w:pStyle w:val="33"/>
                              <w:rPr>
                                <w:rFonts w:ascii="Times New Roman"/>
                                <w:szCs w:val="21"/>
                              </w:rPr>
                            </w:pPr>
                          </w:p>
                        </w:tc>
                        <w:tc>
                          <w:tcPr>
                            <w:tcW w:w="1307" w:type="dxa"/>
                          </w:tcPr>
                          <w:p>
                            <w:pPr>
                              <w:pStyle w:val="33"/>
                              <w:rPr>
                                <w:rFonts w:ascii="Times New Roman"/>
                                <w:szCs w:val="21"/>
                              </w:rPr>
                            </w:pPr>
                          </w:p>
                        </w:tc>
                      </w:tr>
                    </w:tbl>
                    <w:p>
                      <w:pPr>
                        <w:pStyle w:val="10"/>
                      </w:pPr>
                    </w:p>
                  </w:txbxContent>
                </v:textbox>
              </v:shape>
            </w:pict>
          </mc:Fallback>
        </mc:AlternateContent>
      </w:r>
      <w:bookmarkStart w:id="217" w:name="_bookmark313"/>
      <w:bookmarkEnd w:id="217"/>
      <w:r>
        <w:rPr>
          <w:rFonts w:hint="eastAsia" w:ascii="黑体" w:eastAsia="黑体"/>
        </w:rPr>
        <w:t>（三）近年财务状况财务状况表</w:t>
      </w:r>
    </w:p>
    <w:p>
      <w:pPr>
        <w:pStyle w:val="10"/>
        <w:rPr>
          <w:rFonts w:ascii="黑体"/>
        </w:rPr>
      </w:pPr>
    </w:p>
    <w:p>
      <w:pPr>
        <w:pStyle w:val="10"/>
        <w:rPr>
          <w:rFonts w:ascii="黑体"/>
        </w:rPr>
      </w:pPr>
    </w:p>
    <w:p>
      <w:pPr>
        <w:pStyle w:val="10"/>
        <w:rPr>
          <w:rFonts w:ascii="黑体"/>
        </w:rPr>
      </w:pPr>
    </w:p>
    <w:p>
      <w:pPr>
        <w:pStyle w:val="10"/>
        <w:rPr>
          <w:rFonts w:ascii="黑体"/>
        </w:rPr>
      </w:pPr>
    </w:p>
    <w:p>
      <w:pPr>
        <w:pStyle w:val="10"/>
        <w:rPr>
          <w:rFonts w:ascii="黑体"/>
        </w:rPr>
      </w:pPr>
    </w:p>
    <w:p>
      <w:pPr>
        <w:pStyle w:val="10"/>
        <w:rPr>
          <w:rFonts w:ascii="黑体"/>
        </w:rPr>
      </w:pPr>
    </w:p>
    <w:p>
      <w:pPr>
        <w:pStyle w:val="10"/>
        <w:rPr>
          <w:rFonts w:ascii="黑体"/>
        </w:rPr>
      </w:pPr>
    </w:p>
    <w:p>
      <w:pPr>
        <w:pStyle w:val="10"/>
        <w:rPr>
          <w:rFonts w:ascii="黑体"/>
        </w:rPr>
      </w:pPr>
    </w:p>
    <w:p>
      <w:pPr>
        <w:pStyle w:val="10"/>
        <w:rPr>
          <w:rFonts w:ascii="黑体"/>
        </w:rPr>
      </w:pPr>
    </w:p>
    <w:p>
      <w:pPr>
        <w:pStyle w:val="10"/>
        <w:rPr>
          <w:rFonts w:ascii="黑体"/>
        </w:rPr>
      </w:pPr>
    </w:p>
    <w:p>
      <w:pPr>
        <w:pStyle w:val="10"/>
        <w:rPr>
          <w:rFonts w:ascii="黑体"/>
        </w:rPr>
      </w:pPr>
    </w:p>
    <w:p>
      <w:pPr>
        <w:pStyle w:val="10"/>
        <w:rPr>
          <w:rFonts w:ascii="黑体"/>
        </w:rPr>
      </w:pPr>
    </w:p>
    <w:p>
      <w:pPr>
        <w:pStyle w:val="10"/>
        <w:rPr>
          <w:rFonts w:ascii="黑体"/>
        </w:rPr>
      </w:pPr>
    </w:p>
    <w:p>
      <w:pPr>
        <w:pStyle w:val="10"/>
        <w:rPr>
          <w:rFonts w:ascii="黑体"/>
        </w:rPr>
      </w:pPr>
    </w:p>
    <w:p>
      <w:pPr>
        <w:pStyle w:val="10"/>
        <w:rPr>
          <w:rFonts w:ascii="黑体"/>
        </w:rPr>
      </w:pPr>
    </w:p>
    <w:p>
      <w:pPr>
        <w:pStyle w:val="10"/>
        <w:rPr>
          <w:rFonts w:ascii="黑体"/>
        </w:rPr>
      </w:pPr>
    </w:p>
    <w:p>
      <w:pPr>
        <w:pStyle w:val="10"/>
        <w:rPr>
          <w:rFonts w:ascii="黑体"/>
        </w:rPr>
      </w:pPr>
    </w:p>
    <w:p>
      <w:pPr>
        <w:pStyle w:val="10"/>
        <w:rPr>
          <w:rFonts w:ascii="黑体"/>
        </w:rPr>
      </w:pPr>
    </w:p>
    <w:p>
      <w:pPr>
        <w:pStyle w:val="10"/>
        <w:rPr>
          <w:rFonts w:ascii="黑体"/>
        </w:rPr>
      </w:pPr>
    </w:p>
    <w:p>
      <w:pPr>
        <w:pStyle w:val="10"/>
        <w:rPr>
          <w:rFonts w:ascii="黑体"/>
        </w:rPr>
      </w:pPr>
    </w:p>
    <w:p>
      <w:pPr>
        <w:pStyle w:val="10"/>
        <w:rPr>
          <w:rFonts w:ascii="黑体"/>
        </w:rPr>
      </w:pPr>
    </w:p>
    <w:p>
      <w:pPr>
        <w:pStyle w:val="10"/>
        <w:rPr>
          <w:rFonts w:ascii="黑体"/>
        </w:rPr>
      </w:pPr>
    </w:p>
    <w:p>
      <w:pPr>
        <w:pStyle w:val="10"/>
        <w:rPr>
          <w:rFonts w:ascii="黑体"/>
        </w:rPr>
      </w:pPr>
    </w:p>
    <w:p>
      <w:pPr>
        <w:pStyle w:val="10"/>
        <w:rPr>
          <w:rFonts w:ascii="黑体"/>
        </w:rPr>
      </w:pPr>
    </w:p>
    <w:p>
      <w:pPr>
        <w:pStyle w:val="10"/>
        <w:rPr>
          <w:rFonts w:ascii="黑体"/>
        </w:rPr>
      </w:pPr>
    </w:p>
    <w:p>
      <w:pPr>
        <w:pStyle w:val="10"/>
        <w:rPr>
          <w:rFonts w:ascii="黑体"/>
        </w:rPr>
      </w:pPr>
    </w:p>
    <w:p>
      <w:pPr>
        <w:spacing w:before="179"/>
        <w:jc w:val="left"/>
      </w:pPr>
    </w:p>
    <w:p>
      <w:pPr>
        <w:spacing w:before="179"/>
        <w:jc w:val="left"/>
      </w:pPr>
    </w:p>
    <w:p>
      <w:pPr>
        <w:spacing w:before="179"/>
        <w:jc w:val="left"/>
      </w:pPr>
    </w:p>
    <w:p>
      <w:pPr>
        <w:spacing w:before="179"/>
        <w:jc w:val="left"/>
      </w:pPr>
    </w:p>
    <w:p>
      <w:pPr>
        <w:spacing w:before="179"/>
        <w:jc w:val="left"/>
      </w:pPr>
    </w:p>
    <w:p>
      <w:pPr>
        <w:spacing w:before="179"/>
        <w:jc w:val="left"/>
      </w:pPr>
    </w:p>
    <w:p>
      <w:pPr>
        <w:spacing w:before="179"/>
        <w:jc w:val="left"/>
      </w:pPr>
    </w:p>
    <w:p>
      <w:pPr>
        <w:spacing w:before="179"/>
        <w:jc w:val="left"/>
      </w:pPr>
      <w:r>
        <w:t>注：</w:t>
      </w:r>
      <w:r>
        <w:rPr>
          <w:rFonts w:eastAsia="Times New Roman"/>
        </w:rPr>
        <w:t>1.</w:t>
      </w:r>
      <w:r>
        <w:rPr>
          <w:rFonts w:hint="eastAsia"/>
          <w:lang w:eastAsia="zh-CN"/>
        </w:rPr>
        <w:t>交易响应单位</w:t>
      </w:r>
      <w:r>
        <w:t>应根据</w:t>
      </w:r>
      <w:r>
        <w:rPr>
          <w:rFonts w:hint="eastAsia"/>
          <w:lang w:eastAsia="zh-CN"/>
        </w:rPr>
        <w:t>交易文件</w:t>
      </w:r>
      <w:r>
        <w:t>第二章“</w:t>
      </w:r>
      <w:r>
        <w:rPr>
          <w:rFonts w:hint="eastAsia"/>
          <w:lang w:eastAsia="zh-CN"/>
        </w:rPr>
        <w:t>交易须知</w:t>
      </w:r>
      <w:r>
        <w:t xml:space="preserve">”第 </w:t>
      </w:r>
      <w:r>
        <w:rPr>
          <w:rFonts w:eastAsia="Times New Roman"/>
        </w:rPr>
        <w:t xml:space="preserve">3.5.2 </w:t>
      </w:r>
      <w:r>
        <w:t>项的要求在本表后附相关证明材料。</w:t>
      </w:r>
    </w:p>
    <w:p>
      <w:pPr>
        <w:pStyle w:val="34"/>
        <w:numPr>
          <w:ilvl w:val="0"/>
          <w:numId w:val="6"/>
        </w:numPr>
        <w:tabs>
          <w:tab w:val="left" w:pos="844"/>
        </w:tabs>
        <w:spacing w:before="132"/>
        <w:ind w:hanging="159"/>
      </w:pPr>
      <w:r>
        <w:rPr>
          <w:spacing w:val="-3"/>
        </w:rPr>
        <w:t>本表所列数据必须与本表各附件中的数据相一致。</w:t>
      </w:r>
    </w:p>
    <w:p>
      <w:pPr>
        <w:pStyle w:val="34"/>
        <w:numPr>
          <w:ilvl w:val="0"/>
          <w:numId w:val="6"/>
        </w:numPr>
        <w:tabs>
          <w:tab w:val="left" w:pos="844"/>
        </w:tabs>
        <w:spacing w:before="132"/>
        <w:ind w:hanging="159"/>
      </w:pPr>
      <w:r>
        <w:rPr>
          <w:spacing w:val="-3"/>
        </w:rPr>
        <w:t>以联合体形式参与投标的，联合体各成员应分别填写。</w:t>
      </w:r>
    </w:p>
    <w:p>
      <w:pPr>
        <w:jc w:val="left"/>
        <w:sectPr>
          <w:footerReference r:id="rId13" w:type="default"/>
          <w:footerReference r:id="rId14" w:type="even"/>
          <w:pgSz w:w="11911" w:h="16849"/>
          <w:pgMar w:top="1480" w:right="1202" w:bottom="1480" w:left="1219" w:header="879" w:footer="850" w:gutter="0"/>
          <w:pgBorders>
            <w:top w:val="none" w:sz="0" w:space="0"/>
            <w:left w:val="none" w:sz="0" w:space="0"/>
            <w:bottom w:val="none" w:sz="0" w:space="0"/>
            <w:right w:val="none" w:sz="0" w:space="0"/>
          </w:pgBorders>
          <w:cols w:space="425" w:num="1"/>
        </w:sectPr>
      </w:pPr>
    </w:p>
    <w:p>
      <w:pPr>
        <w:pStyle w:val="10"/>
        <w:spacing w:before="88"/>
        <w:jc w:val="center"/>
        <w:rPr>
          <w:rFonts w:ascii="黑体" w:hAnsi="黑体" w:eastAsia="黑体"/>
        </w:rPr>
      </w:pPr>
    </w:p>
    <w:p>
      <w:pPr>
        <w:pStyle w:val="10"/>
        <w:spacing w:before="88"/>
        <w:jc w:val="center"/>
        <w:rPr>
          <w:rFonts w:ascii="黑体" w:hAnsi="黑体" w:eastAsia="黑体"/>
          <w:sz w:val="12"/>
        </w:rPr>
      </w:pPr>
      <w:r>
        <w:rPr>
          <w:rFonts w:hint="eastAsia" w:ascii="黑体" w:hAnsi="黑体" w:eastAsia="黑体"/>
        </w:rPr>
        <w:t>银行信贷证明</w:t>
      </w:r>
    </w:p>
    <w:p>
      <w:pPr>
        <w:pStyle w:val="10"/>
        <w:rPr>
          <w:rFonts w:ascii="黑体"/>
          <w:sz w:val="20"/>
        </w:rPr>
      </w:pPr>
    </w:p>
    <w:p>
      <w:pPr>
        <w:pStyle w:val="10"/>
        <w:spacing w:before="10"/>
        <w:rPr>
          <w:rFonts w:ascii="黑体"/>
          <w:sz w:val="18"/>
        </w:rPr>
      </w:pPr>
    </w:p>
    <w:p>
      <w:pPr>
        <w:pStyle w:val="10"/>
        <w:tabs>
          <w:tab w:val="left" w:pos="984"/>
          <w:tab w:val="left" w:pos="5359"/>
        </w:tabs>
        <w:spacing w:before="74" w:line="405" w:lineRule="auto"/>
        <w:ind w:left="264" w:right="4026"/>
        <w:rPr>
          <w:rFonts w:eastAsia="Times New Roman"/>
        </w:rPr>
      </w:pPr>
      <w:r>
        <w:rPr>
          <w:spacing w:val="-1"/>
        </w:rPr>
        <w:t>银</w:t>
      </w:r>
      <w:r>
        <w:t>行名称：</w:t>
      </w:r>
      <w:r>
        <w:rPr>
          <w:rFonts w:eastAsia="Times New Roman"/>
          <w:u w:val="single"/>
        </w:rPr>
        <w:t xml:space="preserve"> </w:t>
      </w:r>
      <w:r>
        <w:rPr>
          <w:rFonts w:eastAsia="Times New Roman"/>
          <w:u w:val="single"/>
        </w:rPr>
        <w:tab/>
      </w:r>
      <w:r>
        <w:rPr>
          <w:rFonts w:eastAsia="Times New Roman"/>
          <w:u w:val="single"/>
        </w:rPr>
        <w:t xml:space="preserve"> </w:t>
      </w:r>
      <w:r>
        <w:t>地</w:t>
      </w:r>
      <w:r>
        <w:tab/>
      </w:r>
      <w:r>
        <w:t>址：</w:t>
      </w:r>
      <w:r>
        <w:rPr>
          <w:rFonts w:eastAsia="Times New Roman"/>
          <w:u w:val="single"/>
        </w:rPr>
        <w:t xml:space="preserve"> </w:t>
      </w:r>
      <w:r>
        <w:rPr>
          <w:rFonts w:eastAsia="Times New Roman"/>
          <w:u w:val="single"/>
        </w:rPr>
        <w:tab/>
      </w:r>
    </w:p>
    <w:p>
      <w:pPr>
        <w:pStyle w:val="10"/>
        <w:tabs>
          <w:tab w:val="left" w:pos="2334"/>
        </w:tabs>
        <w:ind w:right="508"/>
        <w:jc w:val="right"/>
        <w:rPr>
          <w:rFonts w:eastAsia="Times New Roman"/>
        </w:rPr>
      </w:pPr>
      <w:r>
        <w:t>日期：</w:t>
      </w:r>
      <w:r>
        <w:rPr>
          <w:rFonts w:eastAsia="Times New Roman"/>
          <w:u w:val="single"/>
        </w:rPr>
        <w:t xml:space="preserve"> </w:t>
      </w:r>
      <w:r>
        <w:rPr>
          <w:rFonts w:eastAsia="Times New Roman"/>
          <w:u w:val="single"/>
        </w:rPr>
        <w:tab/>
      </w:r>
    </w:p>
    <w:p>
      <w:pPr>
        <w:pStyle w:val="10"/>
        <w:rPr>
          <w:sz w:val="20"/>
        </w:rPr>
      </w:pPr>
    </w:p>
    <w:p>
      <w:pPr>
        <w:pStyle w:val="10"/>
        <w:rPr>
          <w:sz w:val="20"/>
        </w:rPr>
      </w:pPr>
    </w:p>
    <w:p>
      <w:pPr>
        <w:pStyle w:val="10"/>
        <w:spacing w:before="11"/>
        <w:rPr>
          <w:sz w:val="17"/>
        </w:rPr>
      </w:pPr>
    </w:p>
    <w:p>
      <w:pPr>
        <w:pStyle w:val="10"/>
        <w:tabs>
          <w:tab w:val="left" w:pos="1224"/>
        </w:tabs>
        <w:spacing w:before="66"/>
        <w:ind w:left="264"/>
      </w:pPr>
      <w:r>
        <mc:AlternateContent>
          <mc:Choice Requires="wps">
            <w:drawing>
              <wp:anchor distT="0" distB="0" distL="114300" distR="114300" simplePos="0" relativeHeight="251658240" behindDoc="0" locked="0" layoutInCell="1" allowOverlap="1">
                <wp:simplePos x="0" y="0"/>
                <wp:positionH relativeFrom="page">
                  <wp:posOffset>1348740</wp:posOffset>
                </wp:positionH>
                <wp:positionV relativeFrom="paragraph">
                  <wp:posOffset>217805</wp:posOffset>
                </wp:positionV>
                <wp:extent cx="1676400" cy="0"/>
                <wp:effectExtent l="0" t="0" r="0" b="0"/>
                <wp:wrapNone/>
                <wp:docPr id="30" name="直接连接符 30"/>
                <wp:cNvGraphicFramePr/>
                <a:graphic xmlns:a="http://schemas.openxmlformats.org/drawingml/2006/main">
                  <a:graphicData uri="http://schemas.microsoft.com/office/word/2010/wordprocessingShape">
                    <wps:wsp>
                      <wps:cNvCnPr/>
                      <wps:spPr>
                        <a:xfrm>
                          <a:off x="0" y="0"/>
                          <a:ext cx="1676400" cy="0"/>
                        </a:xfrm>
                        <a:prstGeom prst="line">
                          <a:avLst/>
                        </a:prstGeom>
                        <a:ln w="762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6.2pt;margin-top:17.15pt;height:0pt;width:132pt;mso-position-horizontal-relative:page;z-index:251658240;mso-width-relative:page;mso-height-relative:page;" filled="f" stroked="t" coordsize="21600,21600" o:gfxdata="UEsDBAoAAAAAAIdO4kAAAAAAAAAAAAAAAAAEAAAAZHJzL1BLAwQUAAAACACHTuJA9k1BdNYAAAAJ&#10;AQAADwAAAGRycy9kb3ducmV2LnhtbE2PwU7DMAyG70i8Q2QkbixtV3VTaToJBkeY2BDnrDFNReNU&#10;TdYOnh4jDnD070+/P1ebs+vFhGPoPClIFwkIpMabjloFr4fHmzWIEDUZ3XtCBZ8YYFNfXlS6NH6m&#10;F5z2sRVcQqHUCmyMQyllaCw6HRZ+QOLdux+djjyOrTSjnrnc9TJLkkI63RFfsHrAe4vNx/7kFHwV&#10;s93Kh+fVzr7Ju/Xu6TBluFXq+ipNbkFEPMc/GH70WR1qdjr6E5kgegVZmuWMKljmSxAM5KuCg+Nv&#10;IOtK/v+g/gZQSwMEFAAAAAgAh07iQE/HLFreAQAApgMAAA4AAABkcnMvZTJvRG9jLnhtbK1TS44T&#10;MRDdI3EHy3vSSUAZ1EpnFhOGDYJIwAEq/nRb8k8uTzq5BBdAYgcrluy5DcMxKDuZMMAGIXrhLrvK&#10;r+q9fr283DvLdiqhCb7js8mUM+VFkMb3HX/75vrRU84wg5dgg1cdPyjkl6uHD5ZjbNU8DMFKlRiB&#10;eGzH2PEh59g2DYpBOcBJiMpTUofkINM29Y1MMBK6s818Ol00Y0gypiAUIp2uj0m+qvhaK5FfaY0q&#10;M9txmi3XNdV1W9ZmtYS2TxAHI05jwD9M4cB4anqGWkMGdpPMH1DOiBQw6DwRwTVBayNU5UBsZtPf&#10;2LweIKrKhcTBeJYJ/x+seLnbJGZkxx+TPB4cfaPb91++vfv4/esHWm8/f2KUIZnGiC1VX/lNOu0w&#10;blLhvNfJlTexYfsq7eEsrdpnJuhwtrhYPJlSC3GXa35ejAnzcxUcK0HHrfGFNbSwe4GZmlHpXUk5&#10;tp6NHb9YzAsckGm0hUyhi0QDfV/vYrBGXhtryw1M/fbKJraDYoP6FEqE+0tZabIGHI51NXU0yKBA&#10;PvOS5UMkfTw5mZcRnJKcWUXGLxEBQpvB2L+ppNbWlwuqmvTEs2h8VLVE2yAP9HFuYjL9QLrM6swl&#10;Q2ao05+MW9x2f0/x/d9r9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2TUF01gAAAAkBAAAPAAAA&#10;AAAAAAEAIAAAACIAAABkcnMvZG93bnJldi54bWxQSwECFAAUAAAACACHTuJAT8csWt4BAACmAwAA&#10;DgAAAAAAAAABACAAAAAlAQAAZHJzL2Uyb0RvYy54bWxQSwUGAAAAAAYABgBZAQAAdQUAAAAA&#10;">
                <v:fill on="f" focussize="0,0"/>
                <v:stroke weight="0.6pt" color="#000000" joinstyle="round"/>
                <v:imagedata o:title=""/>
                <o:lock v:ext="edit" aspectratio="f"/>
              </v:line>
            </w:pict>
          </mc:Fallback>
        </mc:AlternateContent>
      </w:r>
      <w:r>
        <w:t>致：</w:t>
      </w:r>
      <w:r>
        <w:tab/>
      </w:r>
      <w:r>
        <w:t>（招标人全称）</w:t>
      </w:r>
    </w:p>
    <w:p>
      <w:pPr>
        <w:pStyle w:val="10"/>
        <w:rPr>
          <w:sz w:val="20"/>
        </w:rPr>
      </w:pPr>
    </w:p>
    <w:p>
      <w:pPr>
        <w:pStyle w:val="10"/>
        <w:spacing w:before="2"/>
        <w:rPr>
          <w:sz w:val="22"/>
        </w:rPr>
      </w:pPr>
    </w:p>
    <w:p>
      <w:pPr>
        <w:pStyle w:val="10"/>
        <w:tabs>
          <w:tab w:val="left" w:pos="2304"/>
          <w:tab w:val="left" w:pos="2904"/>
          <w:tab w:val="left" w:pos="3504"/>
          <w:tab w:val="left" w:pos="3670"/>
          <w:tab w:val="left" w:pos="6006"/>
          <w:tab w:val="left" w:pos="6145"/>
          <w:tab w:val="left" w:pos="8461"/>
        </w:tabs>
        <w:spacing w:before="74" w:line="312" w:lineRule="auto"/>
        <w:ind w:left="264" w:right="359" w:firstLine="525"/>
      </w:pPr>
      <w:r>
        <mc:AlternateContent>
          <mc:Choice Requires="wps">
            <w:drawing>
              <wp:anchor distT="0" distB="0" distL="114300" distR="114300" simplePos="0" relativeHeight="251658240" behindDoc="1" locked="0" layoutInCell="1" allowOverlap="1">
                <wp:simplePos x="0" y="0"/>
                <wp:positionH relativeFrom="page">
                  <wp:posOffset>3054350</wp:posOffset>
                </wp:positionH>
                <wp:positionV relativeFrom="paragraph">
                  <wp:posOffset>219710</wp:posOffset>
                </wp:positionV>
                <wp:extent cx="152400" cy="0"/>
                <wp:effectExtent l="0" t="0" r="0" b="0"/>
                <wp:wrapNone/>
                <wp:docPr id="85" name="直接连接符 85"/>
                <wp:cNvGraphicFramePr/>
                <a:graphic xmlns:a="http://schemas.openxmlformats.org/drawingml/2006/main">
                  <a:graphicData uri="http://schemas.microsoft.com/office/word/2010/wordprocessingShape">
                    <wps:wsp>
                      <wps:cNvCnPr/>
                      <wps:spPr>
                        <a:xfrm>
                          <a:off x="0" y="0"/>
                          <a:ext cx="152400" cy="0"/>
                        </a:xfrm>
                        <a:prstGeom prst="line">
                          <a:avLst/>
                        </a:prstGeom>
                        <a:ln w="762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0.5pt;margin-top:17.3pt;height:0pt;width:12pt;mso-position-horizontal-relative:page;z-index:-251658240;mso-width-relative:page;mso-height-relative:page;" filled="f" stroked="t" coordsize="21600,21600" o:gfxdata="UEsDBAoAAAAAAIdO4kAAAAAAAAAAAAAAAAAEAAAAZHJzL1BLAwQUAAAACACHTuJAEiMZRtYAAAAJ&#10;AQAADwAAAGRycy9kb3ducmV2LnhtbE2PwU7DMBBE70j8g7VI3Kid0oYojVMJCkeoaBFnN9nGEfE6&#10;it2k8PUs4gDHnR3NvCnWZ9eJEYfQetKQzBQIpMrXLTUa3vZPNxmIEA3VpvOEGj4xwLq8vChMXvuJ&#10;XnHcxUZwCIXcaLAx9rmUobLoTJj5Hol/Rz84E/kcGlkPZuJw18m5Uql0piVusKbHB4vVx+7kNHyl&#10;k93Ix5e7rX2X99n2eT/OcaP19VWiViAinuOfGX7wGR1KZjr4E9VBdBoWWcJboobbRQqCDUu1ZOHw&#10;K8iykP8XlN9QSwMEFAAAAAgAh07iQAC3pODeAQAApQMAAA4AAABkcnMvZTJvRG9jLnhtbK1TS44T&#10;MRDdI3EHy3vSScQMo1Y6s5gwbBBEAg5Q8afbkn9yedLJJbgAEjtYsWTPbZg5BmUnEwbYIEQWTtlV&#10;9Vzv+fXicucs26qEJviOzyZTzpQXQRrfd/zd2+snF5xhBi/BBq86vlfIL5ePHy3G2Kp5GIKVKjEC&#10;8diOseNDzrFtGhSDcoCTEJWnpA7JQaZt6huZYCR0Z5v5dHrejCHJmIJQiHS6OiT5suJrrUR+rTWq&#10;zGzHabZc11TXTVmb5QLaPkEcjDiOAf8whQPj6dIT1AoysJtk/oByRqSAQeeJCK4JWhuhKgdiM5v+&#10;xubNAFFVLiQOxpNM+P9gxavtOjEjO35xxpkHR290++Hr9/ef7r59pPX2y2dGGZJpjNhS9ZVfp+MO&#10;4zoVzjudXPknNmxXpd2fpFW7zAQdzs7mT6f0AOI+1fzsiwnzCxUcK0HHrfGFNLSwfYmZ7qLS+5Jy&#10;bD0bO/7sfF7ggDyjLWQKXSQW6Pvai8EaeW2sLR2Y+s2VTWwLxQX1VxgR7i9l5ZIV4HCoq6mDPwYF&#10;8rmXLO8jyePJyLyM4JTkzCryfYkIENoMxv5NJV1tfWlQ1aNHnkXig6gl2gS5p7e5icn0A+kyqzOX&#10;DHmhTn/0bTHbwz3FD7+u5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SIxlG1gAAAAkBAAAPAAAA&#10;AAAAAAEAIAAAACIAAABkcnMvZG93bnJldi54bWxQSwECFAAUAAAACACHTuJAALek4N4BAAClAwAA&#10;DgAAAAAAAAABACAAAAAlAQAAZHJzL2Uyb0RvYy54bWxQSwUGAAAAAAYABgBZAQAAdQUAAAAA&#10;">
                <v:fill on="f" focussize="0,0"/>
                <v:stroke weight="0.6pt" color="#000000" joinstyle="round"/>
                <v:imagedata o:title=""/>
                <o:lock v:ext="edit" aspectratio="f"/>
              </v:line>
            </w:pict>
          </mc:Fallback>
        </mc:AlternateContent>
      </w:r>
      <w:r>
        <w:t>兹开具最高限额为人民币</w:t>
      </w:r>
      <w:r>
        <w:tab/>
      </w:r>
      <w:r>
        <w:tab/>
      </w:r>
      <w:r>
        <w:t>万元的银行信贷</w:t>
      </w:r>
      <w:r>
        <w:rPr>
          <w:spacing w:val="-92"/>
        </w:rPr>
        <w:t>，</w:t>
      </w:r>
      <w:r>
        <w:t>供</w:t>
      </w:r>
      <w:r>
        <w:rPr>
          <w:u w:val="single"/>
        </w:rPr>
        <w:t xml:space="preserve"> </w:t>
      </w:r>
      <w:r>
        <w:rPr>
          <w:u w:val="single"/>
        </w:rPr>
        <w:tab/>
      </w:r>
      <w:r>
        <w:rPr>
          <w:u w:val="single"/>
        </w:rPr>
        <w:t>（</w:t>
      </w:r>
      <w:r>
        <w:rPr>
          <w:rFonts w:hint="eastAsia"/>
          <w:lang w:eastAsia="zh-CN"/>
        </w:rPr>
        <w:t>交易响应单位</w:t>
      </w:r>
      <w:r>
        <w:t>注册地点）</w:t>
      </w:r>
      <w:r>
        <w:tab/>
      </w:r>
      <w:r>
        <w:rPr>
          <w:u w:val="single"/>
        </w:rPr>
        <w:t>（</w:t>
      </w:r>
      <w:r>
        <w:rPr>
          <w:rFonts w:hint="eastAsia"/>
          <w:lang w:eastAsia="zh-CN"/>
        </w:rPr>
        <w:t>交易响应单位</w:t>
      </w:r>
      <w:r>
        <w:t>名称）于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日之前，在</w:t>
      </w:r>
      <w:r>
        <w:rPr>
          <w:u w:val="single"/>
        </w:rPr>
        <w:t xml:space="preserve"> </w:t>
      </w:r>
      <w:r>
        <w:rPr>
          <w:u w:val="single"/>
        </w:rPr>
        <w:tab/>
      </w:r>
      <w:r>
        <w:rPr>
          <w:u w:val="single"/>
        </w:rPr>
        <w:tab/>
      </w:r>
      <w:r>
        <w:t>（项目名称）需要时使用</w:t>
      </w:r>
      <w:r>
        <w:rPr>
          <w:spacing w:val="-18"/>
        </w:rPr>
        <w:t>。</w:t>
      </w:r>
      <w:r>
        <w:t>我行保证由</w:t>
      </w:r>
      <w:r>
        <w:rPr>
          <w:u w:val="single"/>
        </w:rPr>
        <w:t xml:space="preserve"> </w:t>
      </w:r>
      <w:r>
        <w:rPr>
          <w:u w:val="single"/>
        </w:rPr>
        <w:tab/>
      </w:r>
      <w:r>
        <w:rPr>
          <w:u w:val="single"/>
        </w:rPr>
        <w:tab/>
      </w:r>
      <w:r>
        <w:t>（</w:t>
      </w:r>
      <w:r>
        <w:rPr>
          <w:rFonts w:hint="eastAsia"/>
          <w:lang w:eastAsia="zh-CN"/>
        </w:rPr>
        <w:t>交易响应单位</w:t>
      </w:r>
      <w:r>
        <w:t>名称）提供的财务报表中所开列的作为流动资产的各项中无一项包含在上述提到的银行信贷中。</w:t>
      </w:r>
    </w:p>
    <w:p>
      <w:pPr>
        <w:pStyle w:val="10"/>
        <w:spacing w:before="119"/>
        <w:ind w:left="790"/>
      </w:pPr>
      <w:r>
        <w:t>此项目若未中标，该信贷证明自动失效，无须退回我行。</w:t>
      </w:r>
    </w:p>
    <w:p>
      <w:pPr>
        <w:pStyle w:val="10"/>
      </w:pPr>
    </w:p>
    <w:p>
      <w:pPr>
        <w:pStyle w:val="10"/>
      </w:pPr>
    </w:p>
    <w:p>
      <w:pPr>
        <w:pStyle w:val="10"/>
        <w:tabs>
          <w:tab w:val="left" w:pos="3624"/>
          <w:tab w:val="left" w:pos="4344"/>
          <w:tab w:val="left" w:pos="5065"/>
          <w:tab w:val="left" w:pos="6625"/>
          <w:tab w:val="left" w:pos="8000"/>
          <w:tab w:val="left" w:pos="8065"/>
          <w:tab w:val="left" w:pos="8240"/>
        </w:tabs>
        <w:spacing w:line="312" w:lineRule="auto"/>
        <w:ind w:left="2905" w:right="1143"/>
        <w:rPr>
          <w:rFonts w:eastAsia="Times New Roman"/>
        </w:rPr>
      </w:pPr>
      <w:r>
        <w:t>银</w:t>
      </w:r>
      <w:r>
        <w:tab/>
      </w:r>
      <w:r>
        <w:tab/>
      </w:r>
      <w:r>
        <w:t>行（盖单位章</w:t>
      </w:r>
      <w:r>
        <w:rPr>
          <w:spacing w:val="-120"/>
        </w:rPr>
        <w:t>）</w:t>
      </w:r>
      <w:r>
        <w:t>：</w:t>
      </w:r>
      <w:r>
        <w:rPr>
          <w:rFonts w:eastAsia="Times New Roman"/>
          <w:u w:val="single"/>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t>银行主要负责人（签字</w:t>
      </w:r>
      <w:r>
        <w:rPr>
          <w:spacing w:val="-120"/>
        </w:rPr>
        <w:t>）</w:t>
      </w:r>
      <w:r>
        <w:t>：</w:t>
      </w:r>
      <w:r>
        <w:rPr>
          <w:rFonts w:eastAsia="Times New Roman"/>
          <w:u w:val="single"/>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 xml:space="preserve"> </w:t>
      </w:r>
      <w:r>
        <w:t>银行主要负责人姓名、职务：</w:t>
      </w:r>
      <w:r>
        <w:rPr>
          <w:u w:val="single"/>
        </w:rPr>
        <w:t xml:space="preserve"> </w:t>
      </w:r>
      <w:r>
        <w:rPr>
          <w:u w:val="single"/>
        </w:rPr>
        <w:tab/>
      </w:r>
      <w:r>
        <w:rPr>
          <w:u w:val="single"/>
        </w:rPr>
        <w:t>（打印）</w:t>
      </w:r>
      <w:r>
        <w:rPr>
          <w:u w:val="single"/>
        </w:rPr>
        <w:tab/>
      </w:r>
      <w:r>
        <w:rPr>
          <w:u w:val="single"/>
        </w:rPr>
        <w:tab/>
      </w:r>
      <w:r>
        <w:rPr>
          <w:u w:val="single"/>
        </w:rPr>
        <w:t xml:space="preserve"> </w:t>
      </w:r>
      <w:r>
        <w:t>银</w:t>
      </w:r>
      <w:r>
        <w:tab/>
      </w:r>
      <w:r>
        <w:t>行</w:t>
      </w:r>
      <w:r>
        <w:tab/>
      </w:r>
      <w:r>
        <w:t>电</w:t>
      </w:r>
      <w:r>
        <w:tab/>
      </w:r>
      <w:r>
        <w:t>话：</w:t>
      </w:r>
      <w:r>
        <w:rPr>
          <w:rFonts w:eastAsia="Times New Roman"/>
          <w:u w:val="single"/>
        </w:rPr>
        <w:t xml:space="preserve"> </w:t>
      </w:r>
      <w:r>
        <w:rPr>
          <w:rFonts w:eastAsia="Times New Roman"/>
          <w:u w:val="single"/>
        </w:rPr>
        <w:tab/>
      </w:r>
      <w:r>
        <w:rPr>
          <w:rFonts w:eastAsia="Times New Roman"/>
          <w:u w:val="single"/>
        </w:rPr>
        <w:tab/>
      </w:r>
      <w:r>
        <w:t xml:space="preserve"> 银</w:t>
      </w:r>
      <w:r>
        <w:tab/>
      </w:r>
      <w:r>
        <w:t>行</w:t>
      </w:r>
      <w:r>
        <w:tab/>
      </w:r>
      <w:r>
        <w:t>传</w:t>
      </w:r>
      <w:r>
        <w:tab/>
      </w:r>
      <w:r>
        <w:t>真：</w:t>
      </w:r>
      <w:r>
        <w:rPr>
          <w:rFonts w:eastAsia="Times New Roman"/>
          <w:u w:val="single"/>
        </w:rPr>
        <w:t xml:space="preserve"> </w:t>
      </w:r>
      <w:r>
        <w:rPr>
          <w:rFonts w:eastAsia="Times New Roman"/>
          <w:u w:val="single"/>
        </w:rPr>
        <w:tab/>
      </w:r>
      <w:r>
        <w:rPr>
          <w:rFonts w:eastAsia="Times New Roman"/>
          <w:u w:val="single"/>
        </w:rPr>
        <w:tab/>
      </w:r>
    </w:p>
    <w:p>
      <w:pPr>
        <w:pStyle w:val="10"/>
        <w:rPr>
          <w:sz w:val="20"/>
        </w:rPr>
      </w:pPr>
    </w:p>
    <w:p>
      <w:pPr>
        <w:pStyle w:val="10"/>
        <w:spacing w:before="6"/>
        <w:rPr>
          <w:sz w:val="25"/>
        </w:rPr>
      </w:pPr>
    </w:p>
    <w:p>
      <w:pPr>
        <w:spacing w:before="79" w:line="285" w:lineRule="auto"/>
        <w:ind w:left="1349" w:right="440" w:hanging="632"/>
      </w:pPr>
      <w:r>
        <w:t>注：</w:t>
      </w:r>
      <w:r>
        <w:rPr>
          <w:rFonts w:eastAsia="Times New Roman"/>
        </w:rPr>
        <w:t xml:space="preserve">1. </w:t>
      </w:r>
      <w:r>
        <w:t>允许</w:t>
      </w:r>
      <w:r>
        <w:rPr>
          <w:rFonts w:hint="eastAsia"/>
          <w:lang w:eastAsia="zh-CN"/>
        </w:rPr>
        <w:t>交易响应单位</w:t>
      </w:r>
      <w:r>
        <w:t>实际开具的银行信贷证明的格式与《公路工程标准施工</w:t>
      </w:r>
      <w:r>
        <w:rPr>
          <w:rFonts w:hint="eastAsia"/>
          <w:lang w:eastAsia="zh-CN"/>
        </w:rPr>
        <w:t>交易文件</w:t>
      </w:r>
      <w:r>
        <w:t>》提供的格式有所不同，但不得更改《公路工程标准施工</w:t>
      </w:r>
      <w:r>
        <w:rPr>
          <w:rFonts w:hint="eastAsia"/>
          <w:lang w:eastAsia="zh-CN"/>
        </w:rPr>
        <w:t>交易文件</w:t>
      </w:r>
      <w:r>
        <w:t>》提供的银行信贷证明格式中的实质性内容。</w:t>
      </w:r>
    </w:p>
    <w:p>
      <w:pPr>
        <w:spacing w:line="285" w:lineRule="auto"/>
        <w:ind w:left="1418" w:right="444" w:hanging="315"/>
        <w:jc w:val="left"/>
      </w:pPr>
      <w:r>
        <w:rPr>
          <w:rFonts w:eastAsia="Times New Roman"/>
        </w:rPr>
        <w:t xml:space="preserve">2. </w:t>
      </w:r>
      <w:r>
        <w:t>银行主要负责人应亲笔签名，不得使用印章、签名章或其他电子制版签名代替，否则，视为无效。</w:t>
      </w:r>
    </w:p>
    <w:p>
      <w:pPr>
        <w:pStyle w:val="10"/>
        <w:rPr>
          <w:sz w:val="20"/>
        </w:rPr>
      </w:pPr>
    </w:p>
    <w:p>
      <w:pPr>
        <w:pStyle w:val="10"/>
        <w:rPr>
          <w:sz w:val="20"/>
        </w:rPr>
      </w:pPr>
    </w:p>
    <w:p>
      <w:pPr>
        <w:pStyle w:val="10"/>
        <w:rPr>
          <w:sz w:val="20"/>
        </w:rPr>
      </w:pPr>
    </w:p>
    <w:p>
      <w:pPr>
        <w:pStyle w:val="10"/>
        <w:rPr>
          <w:sz w:val="20"/>
        </w:rPr>
      </w:pPr>
    </w:p>
    <w:p>
      <w:pPr>
        <w:pStyle w:val="10"/>
        <w:rPr>
          <w:sz w:val="20"/>
        </w:rPr>
      </w:pPr>
    </w:p>
    <w:p>
      <w:pPr>
        <w:spacing w:line="312" w:lineRule="auto"/>
        <w:rPr>
          <w:sz w:val="18"/>
        </w:rPr>
        <w:sectPr>
          <w:pgSz w:w="11911" w:h="16849"/>
          <w:pgMar w:top="1480" w:right="1202" w:bottom="1480" w:left="1219" w:header="879" w:footer="850" w:gutter="0"/>
          <w:pgBorders>
            <w:top w:val="none" w:sz="0" w:space="0"/>
            <w:left w:val="none" w:sz="0" w:space="0"/>
            <w:bottom w:val="none" w:sz="0" w:space="0"/>
            <w:right w:val="none" w:sz="0" w:space="0"/>
          </w:pgBorders>
          <w:cols w:space="425" w:num="1"/>
        </w:sectPr>
      </w:pPr>
    </w:p>
    <w:p>
      <w:pPr>
        <w:pStyle w:val="10"/>
        <w:spacing w:before="108"/>
        <w:ind w:left="2801"/>
        <w:rPr>
          <w:rFonts w:ascii="黑体" w:eastAsia="黑体"/>
        </w:rPr>
      </w:pPr>
      <w:bookmarkStart w:id="218" w:name="_bookmark314"/>
      <w:bookmarkEnd w:id="218"/>
      <w:r>
        <w:rPr>
          <w:rFonts w:hint="eastAsia" w:ascii="黑体" w:eastAsia="黑体"/>
        </w:rPr>
        <w:t>（四）近年完成的类似项目情况表</w:t>
      </w:r>
    </w:p>
    <w:p>
      <w:pPr>
        <w:pStyle w:val="10"/>
        <w:spacing w:before="5"/>
        <w:rPr>
          <w:rFonts w:ascii="黑体"/>
          <w:sz w:val="14"/>
        </w:rPr>
      </w:pPr>
    </w:p>
    <w:tbl>
      <w:tblPr>
        <w:tblStyle w:val="16"/>
        <w:tblW w:w="8894"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7"/>
        <w:gridCol w:w="6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367" w:type="dxa"/>
          </w:tcPr>
          <w:p>
            <w:pPr>
              <w:pStyle w:val="33"/>
              <w:spacing w:before="1"/>
              <w:rPr>
                <w:rFonts w:ascii="黑体"/>
                <w:sz w:val="20"/>
              </w:rPr>
            </w:pPr>
          </w:p>
          <w:p>
            <w:pPr>
              <w:pStyle w:val="33"/>
              <w:tabs>
                <w:tab w:val="left" w:pos="642"/>
              </w:tabs>
              <w:ind w:left="11"/>
              <w:jc w:val="center"/>
            </w:pPr>
            <w:r>
              <w:t>序</w:t>
            </w:r>
            <w:r>
              <w:tab/>
            </w:r>
            <w:r>
              <w:t>号</w:t>
            </w:r>
          </w:p>
        </w:tc>
        <w:tc>
          <w:tcPr>
            <w:tcW w:w="6527"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367" w:type="dxa"/>
          </w:tcPr>
          <w:p>
            <w:pPr>
              <w:pStyle w:val="33"/>
              <w:spacing w:before="11"/>
              <w:rPr>
                <w:rFonts w:ascii="黑体"/>
                <w:sz w:val="20"/>
              </w:rPr>
            </w:pPr>
          </w:p>
          <w:p>
            <w:pPr>
              <w:pStyle w:val="33"/>
              <w:ind w:left="4"/>
              <w:jc w:val="center"/>
              <w:rPr>
                <w:sz w:val="20"/>
              </w:rPr>
            </w:pPr>
            <w:r>
              <w:rPr>
                <w:sz w:val="20"/>
              </w:rPr>
              <w:t>项目名称</w:t>
            </w:r>
          </w:p>
        </w:tc>
        <w:tc>
          <w:tcPr>
            <w:tcW w:w="6527"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367" w:type="dxa"/>
          </w:tcPr>
          <w:p>
            <w:pPr>
              <w:pStyle w:val="33"/>
              <w:spacing w:before="5"/>
              <w:rPr>
                <w:rFonts w:ascii="黑体"/>
                <w:sz w:val="18"/>
              </w:rPr>
            </w:pPr>
          </w:p>
          <w:p>
            <w:pPr>
              <w:pStyle w:val="33"/>
              <w:spacing w:before="1"/>
              <w:ind w:left="3"/>
              <w:jc w:val="center"/>
              <w:rPr>
                <w:sz w:val="20"/>
              </w:rPr>
            </w:pPr>
            <w:r>
              <w:rPr>
                <w:sz w:val="20"/>
              </w:rPr>
              <w:t>项目所在地</w:t>
            </w:r>
          </w:p>
        </w:tc>
        <w:tc>
          <w:tcPr>
            <w:tcW w:w="6527"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367" w:type="dxa"/>
          </w:tcPr>
          <w:p>
            <w:pPr>
              <w:pStyle w:val="33"/>
              <w:spacing w:before="8"/>
              <w:rPr>
                <w:rFonts w:ascii="黑体"/>
                <w:sz w:val="18"/>
              </w:rPr>
            </w:pPr>
          </w:p>
          <w:p>
            <w:pPr>
              <w:pStyle w:val="33"/>
              <w:spacing w:before="1"/>
              <w:ind w:left="3"/>
              <w:jc w:val="center"/>
              <w:rPr>
                <w:sz w:val="20"/>
              </w:rPr>
            </w:pPr>
            <w:r>
              <w:rPr>
                <w:sz w:val="20"/>
              </w:rPr>
              <w:t>发包人名称</w:t>
            </w:r>
          </w:p>
        </w:tc>
        <w:tc>
          <w:tcPr>
            <w:tcW w:w="6527"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367" w:type="dxa"/>
          </w:tcPr>
          <w:p>
            <w:pPr>
              <w:pStyle w:val="33"/>
              <w:spacing w:before="5"/>
              <w:rPr>
                <w:rFonts w:ascii="黑体"/>
                <w:sz w:val="18"/>
              </w:rPr>
            </w:pPr>
          </w:p>
          <w:p>
            <w:pPr>
              <w:pStyle w:val="33"/>
              <w:spacing w:before="1"/>
              <w:ind w:left="3"/>
              <w:jc w:val="center"/>
              <w:rPr>
                <w:sz w:val="20"/>
              </w:rPr>
            </w:pPr>
            <w:r>
              <w:rPr>
                <w:sz w:val="20"/>
              </w:rPr>
              <w:t>发包人地址</w:t>
            </w:r>
          </w:p>
        </w:tc>
        <w:tc>
          <w:tcPr>
            <w:tcW w:w="6527"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367" w:type="dxa"/>
          </w:tcPr>
          <w:p>
            <w:pPr>
              <w:pStyle w:val="33"/>
              <w:spacing w:before="10"/>
              <w:rPr>
                <w:rFonts w:ascii="黑体"/>
                <w:sz w:val="18"/>
              </w:rPr>
            </w:pPr>
          </w:p>
          <w:p>
            <w:pPr>
              <w:pStyle w:val="33"/>
              <w:ind w:left="3"/>
              <w:jc w:val="center"/>
              <w:rPr>
                <w:sz w:val="20"/>
              </w:rPr>
            </w:pPr>
            <w:r>
              <w:rPr>
                <w:sz w:val="20"/>
              </w:rPr>
              <w:t>发包人电话</w:t>
            </w:r>
          </w:p>
        </w:tc>
        <w:tc>
          <w:tcPr>
            <w:tcW w:w="6527"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367" w:type="dxa"/>
          </w:tcPr>
          <w:p>
            <w:pPr>
              <w:pStyle w:val="33"/>
              <w:spacing w:before="8"/>
              <w:rPr>
                <w:rFonts w:ascii="黑体"/>
                <w:sz w:val="18"/>
              </w:rPr>
            </w:pPr>
          </w:p>
          <w:p>
            <w:pPr>
              <w:pStyle w:val="33"/>
              <w:ind w:left="4"/>
              <w:jc w:val="center"/>
              <w:rPr>
                <w:sz w:val="20"/>
              </w:rPr>
            </w:pPr>
            <w:r>
              <w:rPr>
                <w:sz w:val="20"/>
              </w:rPr>
              <w:t>合同价格</w:t>
            </w:r>
          </w:p>
        </w:tc>
        <w:tc>
          <w:tcPr>
            <w:tcW w:w="6527"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367" w:type="dxa"/>
          </w:tcPr>
          <w:p>
            <w:pPr>
              <w:pStyle w:val="33"/>
              <w:spacing w:before="5"/>
              <w:rPr>
                <w:rFonts w:ascii="黑体"/>
                <w:sz w:val="18"/>
              </w:rPr>
            </w:pPr>
          </w:p>
          <w:p>
            <w:pPr>
              <w:pStyle w:val="33"/>
              <w:spacing w:before="1"/>
              <w:ind w:left="4"/>
              <w:jc w:val="center"/>
              <w:rPr>
                <w:sz w:val="20"/>
              </w:rPr>
            </w:pPr>
            <w:r>
              <w:rPr>
                <w:sz w:val="20"/>
              </w:rPr>
              <w:t>开工日期</w:t>
            </w:r>
          </w:p>
        </w:tc>
        <w:tc>
          <w:tcPr>
            <w:tcW w:w="6527"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367" w:type="dxa"/>
          </w:tcPr>
          <w:p>
            <w:pPr>
              <w:pStyle w:val="33"/>
              <w:spacing w:before="3"/>
              <w:rPr>
                <w:rFonts w:ascii="黑体"/>
                <w:sz w:val="19"/>
              </w:rPr>
            </w:pPr>
          </w:p>
          <w:p>
            <w:pPr>
              <w:pStyle w:val="33"/>
              <w:ind w:left="4"/>
              <w:jc w:val="center"/>
              <w:rPr>
                <w:sz w:val="20"/>
              </w:rPr>
            </w:pPr>
            <w:r>
              <w:rPr>
                <w:sz w:val="20"/>
              </w:rPr>
              <w:t>交工日期</w:t>
            </w:r>
          </w:p>
        </w:tc>
        <w:tc>
          <w:tcPr>
            <w:tcW w:w="6527"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367" w:type="dxa"/>
          </w:tcPr>
          <w:p>
            <w:pPr>
              <w:pStyle w:val="33"/>
              <w:spacing w:before="5"/>
              <w:rPr>
                <w:rFonts w:ascii="黑体"/>
                <w:sz w:val="18"/>
              </w:rPr>
            </w:pPr>
          </w:p>
          <w:p>
            <w:pPr>
              <w:pStyle w:val="33"/>
              <w:spacing w:before="1"/>
              <w:ind w:left="3"/>
              <w:jc w:val="center"/>
              <w:rPr>
                <w:sz w:val="20"/>
              </w:rPr>
            </w:pPr>
            <w:r>
              <w:rPr>
                <w:sz w:val="20"/>
              </w:rPr>
              <w:t>承担的工作</w:t>
            </w:r>
          </w:p>
        </w:tc>
        <w:tc>
          <w:tcPr>
            <w:tcW w:w="6527"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367" w:type="dxa"/>
          </w:tcPr>
          <w:p>
            <w:pPr>
              <w:pStyle w:val="33"/>
              <w:spacing w:before="8"/>
              <w:rPr>
                <w:rFonts w:ascii="黑体"/>
                <w:sz w:val="18"/>
              </w:rPr>
            </w:pPr>
          </w:p>
          <w:p>
            <w:pPr>
              <w:pStyle w:val="33"/>
              <w:ind w:left="4"/>
              <w:jc w:val="center"/>
              <w:rPr>
                <w:sz w:val="20"/>
              </w:rPr>
            </w:pPr>
            <w:r>
              <w:rPr>
                <w:sz w:val="20"/>
              </w:rPr>
              <w:t>工程质量</w:t>
            </w:r>
          </w:p>
        </w:tc>
        <w:tc>
          <w:tcPr>
            <w:tcW w:w="6527"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367" w:type="dxa"/>
          </w:tcPr>
          <w:p>
            <w:pPr>
              <w:pStyle w:val="33"/>
              <w:spacing w:before="5"/>
              <w:rPr>
                <w:rFonts w:ascii="黑体"/>
                <w:sz w:val="18"/>
              </w:rPr>
            </w:pPr>
          </w:p>
          <w:p>
            <w:pPr>
              <w:pStyle w:val="33"/>
              <w:spacing w:before="1"/>
              <w:ind w:left="4"/>
              <w:jc w:val="center"/>
              <w:rPr>
                <w:sz w:val="20"/>
              </w:rPr>
            </w:pPr>
            <w:r>
              <w:rPr>
                <w:sz w:val="20"/>
              </w:rPr>
              <w:t>项目经理</w:t>
            </w:r>
          </w:p>
        </w:tc>
        <w:tc>
          <w:tcPr>
            <w:tcW w:w="6527"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367" w:type="dxa"/>
          </w:tcPr>
          <w:p>
            <w:pPr>
              <w:pStyle w:val="33"/>
              <w:spacing w:before="10"/>
              <w:rPr>
                <w:rFonts w:ascii="黑体"/>
                <w:sz w:val="18"/>
              </w:rPr>
            </w:pPr>
          </w:p>
          <w:p>
            <w:pPr>
              <w:pStyle w:val="33"/>
              <w:ind w:left="4"/>
              <w:jc w:val="center"/>
              <w:rPr>
                <w:rFonts w:hint="eastAsia" w:eastAsia="宋体"/>
                <w:sz w:val="20"/>
                <w:lang w:eastAsia="zh-CN"/>
              </w:rPr>
            </w:pPr>
            <w:r>
              <w:rPr>
                <w:rFonts w:hint="eastAsia"/>
                <w:sz w:val="20"/>
                <w:lang w:eastAsia="zh-CN"/>
              </w:rPr>
              <w:t>项目总工程师</w:t>
            </w:r>
          </w:p>
        </w:tc>
        <w:tc>
          <w:tcPr>
            <w:tcW w:w="6527"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367" w:type="dxa"/>
          </w:tcPr>
          <w:p>
            <w:pPr>
              <w:pStyle w:val="33"/>
              <w:spacing w:before="8"/>
              <w:rPr>
                <w:rFonts w:ascii="黑体"/>
                <w:sz w:val="18"/>
              </w:rPr>
            </w:pPr>
          </w:p>
          <w:p>
            <w:pPr>
              <w:pStyle w:val="33"/>
              <w:spacing w:before="1"/>
              <w:ind w:left="6"/>
              <w:jc w:val="center"/>
              <w:rPr>
                <w:sz w:val="20"/>
              </w:rPr>
            </w:pPr>
            <w:r>
              <w:rPr>
                <w:sz w:val="20"/>
              </w:rPr>
              <w:t>总监理工程师及电话</w:t>
            </w:r>
          </w:p>
        </w:tc>
        <w:tc>
          <w:tcPr>
            <w:tcW w:w="6527"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367" w:type="dxa"/>
          </w:tcPr>
          <w:p>
            <w:pPr>
              <w:pStyle w:val="33"/>
              <w:rPr>
                <w:rFonts w:ascii="黑体"/>
                <w:sz w:val="20"/>
              </w:rPr>
            </w:pPr>
          </w:p>
          <w:p>
            <w:pPr>
              <w:pStyle w:val="33"/>
              <w:spacing w:before="2"/>
              <w:rPr>
                <w:rFonts w:ascii="黑体"/>
                <w:sz w:val="26"/>
              </w:rPr>
            </w:pPr>
          </w:p>
          <w:p>
            <w:pPr>
              <w:pStyle w:val="33"/>
              <w:ind w:left="4"/>
              <w:jc w:val="center"/>
              <w:rPr>
                <w:sz w:val="20"/>
              </w:rPr>
            </w:pPr>
            <w:r>
              <w:rPr>
                <w:sz w:val="20"/>
              </w:rPr>
              <w:t>项目描述</w:t>
            </w:r>
          </w:p>
        </w:tc>
        <w:tc>
          <w:tcPr>
            <w:tcW w:w="6527"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367" w:type="dxa"/>
          </w:tcPr>
          <w:p>
            <w:pPr>
              <w:pStyle w:val="33"/>
              <w:spacing w:before="3"/>
              <w:rPr>
                <w:rFonts w:ascii="黑体"/>
                <w:sz w:val="18"/>
              </w:rPr>
            </w:pPr>
          </w:p>
          <w:p>
            <w:pPr>
              <w:pStyle w:val="33"/>
              <w:ind w:left="4"/>
              <w:jc w:val="center"/>
              <w:rPr>
                <w:sz w:val="20"/>
              </w:rPr>
            </w:pPr>
            <w:r>
              <w:rPr>
                <w:sz w:val="20"/>
              </w:rPr>
              <w:t>备注</w:t>
            </w:r>
          </w:p>
        </w:tc>
        <w:tc>
          <w:tcPr>
            <w:tcW w:w="6527" w:type="dxa"/>
          </w:tcPr>
          <w:p>
            <w:pPr>
              <w:pStyle w:val="33"/>
              <w:rPr>
                <w:rFonts w:ascii="Times New Roman"/>
                <w:sz w:val="20"/>
              </w:rPr>
            </w:pPr>
          </w:p>
        </w:tc>
      </w:tr>
    </w:tbl>
    <w:p>
      <w:pPr>
        <w:spacing w:before="128"/>
        <w:ind w:left="264"/>
        <w:jc w:val="left"/>
      </w:pPr>
      <w:r>
        <w:t>注：</w:t>
      </w:r>
      <w:r>
        <w:rPr>
          <w:rFonts w:eastAsia="Times New Roman"/>
        </w:rPr>
        <w:t>1.</w:t>
      </w:r>
      <w:r>
        <w:t>每张表格只填写一个项目，并标明序号。</w:t>
      </w:r>
    </w:p>
    <w:p>
      <w:pPr>
        <w:pStyle w:val="34"/>
        <w:numPr>
          <w:ilvl w:val="0"/>
          <w:numId w:val="7"/>
        </w:numPr>
        <w:tabs>
          <w:tab w:val="left" w:pos="844"/>
        </w:tabs>
        <w:spacing w:before="130"/>
        <w:ind w:hanging="159"/>
      </w:pPr>
      <w:r>
        <w:rPr>
          <w:rFonts w:hint="eastAsia"/>
          <w:spacing w:val="-12"/>
          <w:lang w:eastAsia="zh-CN"/>
        </w:rPr>
        <w:t>交易响应单位</w:t>
      </w:r>
      <w:r>
        <w:rPr>
          <w:spacing w:val="-12"/>
        </w:rPr>
        <w:t>应根据</w:t>
      </w:r>
      <w:r>
        <w:rPr>
          <w:rFonts w:hint="eastAsia"/>
          <w:spacing w:val="-12"/>
          <w:lang w:eastAsia="zh-CN"/>
        </w:rPr>
        <w:t>交易文件</w:t>
      </w:r>
      <w:r>
        <w:rPr>
          <w:spacing w:val="-12"/>
        </w:rPr>
        <w:t>第二章“</w:t>
      </w:r>
      <w:r>
        <w:rPr>
          <w:rFonts w:hint="eastAsia"/>
          <w:spacing w:val="-12"/>
          <w:lang w:eastAsia="zh-CN"/>
        </w:rPr>
        <w:t>交易须知</w:t>
      </w:r>
      <w:r>
        <w:rPr>
          <w:spacing w:val="-12"/>
        </w:rPr>
        <w:t xml:space="preserve">”第 </w:t>
      </w:r>
      <w:r>
        <w:rPr>
          <w:rFonts w:ascii="Times New Roman" w:hAnsi="Times New Roman" w:eastAsia="Times New Roman"/>
        </w:rPr>
        <w:t>3.5.3</w:t>
      </w:r>
      <w:r>
        <w:rPr>
          <w:rFonts w:ascii="Times New Roman" w:hAnsi="Times New Roman" w:eastAsia="Times New Roman"/>
          <w:spacing w:val="5"/>
        </w:rPr>
        <w:t xml:space="preserve"> </w:t>
      </w:r>
      <w:r>
        <w:rPr>
          <w:spacing w:val="-3"/>
        </w:rPr>
        <w:t>项的要求在本表后附相关证明材料。</w:t>
      </w:r>
    </w:p>
    <w:p>
      <w:pPr>
        <w:pStyle w:val="34"/>
        <w:numPr>
          <w:ilvl w:val="0"/>
          <w:numId w:val="7"/>
        </w:numPr>
        <w:tabs>
          <w:tab w:val="left" w:pos="844"/>
        </w:tabs>
        <w:spacing w:before="132" w:line="357" w:lineRule="auto"/>
        <w:ind w:left="852" w:right="440" w:hanging="168"/>
      </w:pPr>
      <w:r>
        <w:rPr>
          <w:spacing w:val="-10"/>
        </w:rPr>
        <w:t>如近年来，</w:t>
      </w:r>
      <w:r>
        <w:rPr>
          <w:rFonts w:hint="eastAsia"/>
          <w:spacing w:val="-10"/>
          <w:lang w:eastAsia="zh-CN"/>
        </w:rPr>
        <w:t>交易响应单位</w:t>
      </w:r>
      <w:r>
        <w:rPr>
          <w:spacing w:val="-10"/>
        </w:rPr>
        <w:t>法人机构发生合法变更或重组或法人名称变更时，应提供相关部门的合</w:t>
      </w:r>
      <w:r>
        <w:rPr>
          <w:spacing w:val="-5"/>
        </w:rPr>
        <w:t>法批件或其他相关证明材料来证明其所附业绩的继承性。</w:t>
      </w:r>
    </w:p>
    <w:p>
      <w:pPr>
        <w:pStyle w:val="34"/>
        <w:numPr>
          <w:ilvl w:val="0"/>
          <w:numId w:val="7"/>
        </w:numPr>
        <w:tabs>
          <w:tab w:val="left" w:pos="844"/>
        </w:tabs>
        <w:spacing w:line="266" w:lineRule="exact"/>
        <w:ind w:hanging="159"/>
      </w:pPr>
      <w:r>
        <w:rPr>
          <w:spacing w:val="-3"/>
        </w:rPr>
        <w:t>以联合体形式参与投标的，联合体各成员应分别填写。</w:t>
      </w:r>
    </w:p>
    <w:p>
      <w:pPr>
        <w:spacing w:line="266" w:lineRule="exact"/>
        <w:jc w:val="left"/>
        <w:sectPr>
          <w:footerReference r:id="rId15" w:type="default"/>
          <w:footerReference r:id="rId16" w:type="even"/>
          <w:pgSz w:w="11911" w:h="16849"/>
          <w:pgMar w:top="1480" w:right="1202" w:bottom="1480" w:left="1219" w:header="879" w:footer="850" w:gutter="0"/>
          <w:pgBorders>
            <w:top w:val="none" w:sz="0" w:space="0"/>
            <w:left w:val="none" w:sz="0" w:space="0"/>
            <w:bottom w:val="none" w:sz="0" w:space="0"/>
            <w:right w:val="none" w:sz="0" w:space="0"/>
          </w:pgBorders>
          <w:cols w:space="425" w:num="1"/>
        </w:sectPr>
      </w:pPr>
    </w:p>
    <w:p>
      <w:pPr>
        <w:pStyle w:val="10"/>
        <w:spacing w:before="12"/>
      </w:pPr>
    </w:p>
    <w:p>
      <w:pPr>
        <w:pStyle w:val="10"/>
        <w:spacing w:before="66"/>
        <w:ind w:right="180"/>
        <w:jc w:val="center"/>
        <w:rPr>
          <w:rFonts w:ascii="黑体"/>
          <w:sz w:val="11"/>
        </w:rPr>
      </w:pPr>
      <w:bookmarkStart w:id="219" w:name="_bookmark315"/>
      <w:bookmarkEnd w:id="219"/>
      <w:r>
        <w:rPr>
          <w:rFonts w:hint="eastAsia" w:ascii="黑体" w:eastAsia="黑体"/>
        </w:rPr>
        <w:t>（五）</w:t>
      </w:r>
      <w:r>
        <w:rPr>
          <w:rFonts w:hint="eastAsia" w:ascii="黑体" w:eastAsia="黑体"/>
          <w:lang w:eastAsia="zh-CN"/>
        </w:rPr>
        <w:t>交易响应单位</w:t>
      </w:r>
      <w:r>
        <w:rPr>
          <w:rFonts w:hint="eastAsia" w:ascii="黑体" w:eastAsia="黑体"/>
        </w:rPr>
        <w:t>的信誉情况表</w:t>
      </w:r>
    </w:p>
    <w:tbl>
      <w:tblPr>
        <w:tblStyle w:val="16"/>
        <w:tblW w:w="8525"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5" w:hRule="atLeast"/>
        </w:trPr>
        <w:tc>
          <w:tcPr>
            <w:tcW w:w="4261" w:type="dxa"/>
          </w:tcPr>
          <w:p>
            <w:pPr>
              <w:pStyle w:val="33"/>
              <w:rPr>
                <w:rFonts w:ascii="黑体"/>
                <w:sz w:val="20"/>
              </w:rPr>
            </w:pPr>
          </w:p>
          <w:p>
            <w:pPr>
              <w:pStyle w:val="33"/>
              <w:spacing w:before="8"/>
              <w:rPr>
                <w:rFonts w:ascii="黑体"/>
                <w:sz w:val="15"/>
              </w:rPr>
            </w:pPr>
          </w:p>
          <w:p>
            <w:pPr>
              <w:pStyle w:val="33"/>
              <w:ind w:left="1848" w:right="1838"/>
              <w:jc w:val="center"/>
            </w:pPr>
            <w:r>
              <w:t>项 目</w:t>
            </w:r>
          </w:p>
        </w:tc>
        <w:tc>
          <w:tcPr>
            <w:tcW w:w="4264" w:type="dxa"/>
          </w:tcPr>
          <w:p>
            <w:pPr>
              <w:pStyle w:val="33"/>
              <w:rPr>
                <w:rFonts w:ascii="黑体"/>
                <w:sz w:val="20"/>
              </w:rPr>
            </w:pPr>
          </w:p>
          <w:p>
            <w:pPr>
              <w:pStyle w:val="33"/>
              <w:spacing w:before="8"/>
              <w:rPr>
                <w:rFonts w:ascii="黑体"/>
                <w:sz w:val="15"/>
              </w:rPr>
            </w:pPr>
          </w:p>
          <w:p>
            <w:pPr>
              <w:pStyle w:val="33"/>
              <w:ind w:left="1394"/>
            </w:pPr>
            <w:r>
              <w:rPr>
                <w:rFonts w:hint="eastAsia"/>
                <w:lang w:eastAsia="zh-CN"/>
              </w:rPr>
              <w:t>交易响应单位</w:t>
            </w:r>
            <w:r>
              <w:t>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pPr>
              <w:pStyle w:val="33"/>
              <w:rPr>
                <w:rFonts w:ascii="Times New Roman"/>
                <w:sz w:val="20"/>
              </w:rPr>
            </w:pPr>
          </w:p>
        </w:tc>
        <w:tc>
          <w:tcPr>
            <w:tcW w:w="4264"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pPr>
              <w:pStyle w:val="33"/>
              <w:rPr>
                <w:rFonts w:ascii="Times New Roman"/>
                <w:sz w:val="20"/>
              </w:rPr>
            </w:pPr>
          </w:p>
        </w:tc>
        <w:tc>
          <w:tcPr>
            <w:tcW w:w="4264"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pPr>
              <w:pStyle w:val="33"/>
              <w:rPr>
                <w:rFonts w:ascii="Times New Roman"/>
                <w:sz w:val="20"/>
              </w:rPr>
            </w:pPr>
          </w:p>
        </w:tc>
        <w:tc>
          <w:tcPr>
            <w:tcW w:w="4264"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pPr>
              <w:pStyle w:val="33"/>
              <w:rPr>
                <w:rFonts w:ascii="Times New Roman"/>
                <w:sz w:val="20"/>
              </w:rPr>
            </w:pPr>
          </w:p>
        </w:tc>
        <w:tc>
          <w:tcPr>
            <w:tcW w:w="4264"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pPr>
              <w:pStyle w:val="33"/>
              <w:rPr>
                <w:rFonts w:ascii="Times New Roman"/>
                <w:sz w:val="20"/>
              </w:rPr>
            </w:pPr>
          </w:p>
        </w:tc>
        <w:tc>
          <w:tcPr>
            <w:tcW w:w="4264"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pPr>
              <w:pStyle w:val="33"/>
              <w:rPr>
                <w:rFonts w:ascii="Times New Roman"/>
                <w:sz w:val="20"/>
              </w:rPr>
            </w:pPr>
          </w:p>
        </w:tc>
        <w:tc>
          <w:tcPr>
            <w:tcW w:w="4264"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pPr>
              <w:pStyle w:val="33"/>
              <w:rPr>
                <w:rFonts w:ascii="Times New Roman"/>
                <w:sz w:val="20"/>
              </w:rPr>
            </w:pPr>
          </w:p>
        </w:tc>
        <w:tc>
          <w:tcPr>
            <w:tcW w:w="4264"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pPr>
              <w:pStyle w:val="33"/>
              <w:rPr>
                <w:rFonts w:ascii="Times New Roman"/>
                <w:sz w:val="20"/>
              </w:rPr>
            </w:pPr>
          </w:p>
        </w:tc>
        <w:tc>
          <w:tcPr>
            <w:tcW w:w="4264" w:type="dxa"/>
          </w:tcPr>
          <w:p>
            <w:pPr>
              <w:pStyle w:val="33"/>
              <w:rPr>
                <w:rFonts w:ascii="Times New Roman"/>
                <w:sz w:val="20"/>
              </w:rPr>
            </w:pPr>
          </w:p>
        </w:tc>
      </w:tr>
    </w:tbl>
    <w:p>
      <w:pPr>
        <w:spacing w:before="128" w:line="357" w:lineRule="auto"/>
        <w:ind w:left="684" w:right="381" w:hanging="420"/>
        <w:jc w:val="left"/>
      </w:pPr>
      <w:r>
        <w:t>注：</w:t>
      </w:r>
      <w:r>
        <w:rPr>
          <w:rFonts w:eastAsia="Times New Roman"/>
        </w:rPr>
        <w:t>1.</w:t>
      </w:r>
      <w:r>
        <w:rPr>
          <w:rFonts w:hint="eastAsia"/>
          <w:lang w:eastAsia="zh-CN"/>
        </w:rPr>
        <w:t>交易响应单位</w:t>
      </w:r>
      <w:r>
        <w:t>应按照</w:t>
      </w:r>
      <w:r>
        <w:rPr>
          <w:rFonts w:hint="eastAsia"/>
          <w:lang w:eastAsia="zh-CN"/>
        </w:rPr>
        <w:t>交易文件</w:t>
      </w:r>
      <w:r>
        <w:t>第二章</w:t>
      </w:r>
      <w:r>
        <w:rPr>
          <w:rFonts w:eastAsia="Times New Roman"/>
        </w:rPr>
        <w:t>“</w:t>
      </w:r>
      <w:r>
        <w:rPr>
          <w:rFonts w:hint="eastAsia"/>
          <w:lang w:eastAsia="zh-CN"/>
        </w:rPr>
        <w:t>交易须知</w:t>
      </w:r>
      <w:r>
        <w:rPr>
          <w:rFonts w:eastAsia="Times New Roman"/>
        </w:rPr>
        <w:t>”</w:t>
      </w:r>
      <w:r>
        <w:t xml:space="preserve">前附表附录 </w:t>
      </w:r>
      <w:r>
        <w:rPr>
          <w:rFonts w:eastAsia="Times New Roman"/>
        </w:rPr>
        <w:t xml:space="preserve">4 </w:t>
      </w:r>
      <w:r>
        <w:t>和</w:t>
      </w:r>
      <w:r>
        <w:rPr>
          <w:rFonts w:eastAsia="Times New Roman"/>
        </w:rPr>
        <w:t>“</w:t>
      </w:r>
      <w:r>
        <w:rPr>
          <w:rFonts w:hint="eastAsia"/>
          <w:lang w:eastAsia="zh-CN"/>
        </w:rPr>
        <w:t>交易须知</w:t>
      </w:r>
      <w:r>
        <w:rPr>
          <w:rFonts w:eastAsia="Times New Roman"/>
        </w:rPr>
        <w:t>”</w:t>
      </w:r>
      <w:r>
        <w:t xml:space="preserve">正文第 </w:t>
      </w:r>
      <w:r>
        <w:rPr>
          <w:rFonts w:eastAsia="Times New Roman"/>
        </w:rPr>
        <w:t xml:space="preserve">1.4.4 </w:t>
      </w:r>
      <w:r>
        <w:t>项规定，逐条说明其信誉情况。</w:t>
      </w:r>
    </w:p>
    <w:p>
      <w:pPr>
        <w:pStyle w:val="34"/>
        <w:numPr>
          <w:ilvl w:val="0"/>
          <w:numId w:val="8"/>
        </w:numPr>
        <w:tabs>
          <w:tab w:val="left" w:pos="844"/>
        </w:tabs>
        <w:spacing w:line="267" w:lineRule="exact"/>
        <w:ind w:hanging="159"/>
      </w:pPr>
      <w:r>
        <w:rPr>
          <w:rFonts w:hint="eastAsia"/>
          <w:spacing w:val="-12"/>
          <w:lang w:eastAsia="zh-CN"/>
        </w:rPr>
        <w:t>交易响应单位</w:t>
      </w:r>
      <w:r>
        <w:rPr>
          <w:spacing w:val="-12"/>
        </w:rPr>
        <w:t>应根据</w:t>
      </w:r>
      <w:r>
        <w:rPr>
          <w:rFonts w:hint="eastAsia"/>
          <w:spacing w:val="-12"/>
          <w:lang w:eastAsia="zh-CN"/>
        </w:rPr>
        <w:t>交易文件</w:t>
      </w:r>
      <w:r>
        <w:rPr>
          <w:spacing w:val="-12"/>
        </w:rPr>
        <w:t>第二章“</w:t>
      </w:r>
      <w:r>
        <w:rPr>
          <w:rFonts w:hint="eastAsia"/>
          <w:spacing w:val="-12"/>
          <w:lang w:eastAsia="zh-CN"/>
        </w:rPr>
        <w:t>交易须知</w:t>
      </w:r>
      <w:r>
        <w:rPr>
          <w:spacing w:val="-12"/>
        </w:rPr>
        <w:t xml:space="preserve">”第 </w:t>
      </w:r>
      <w:r>
        <w:rPr>
          <w:rFonts w:ascii="Times New Roman" w:hAnsi="Times New Roman" w:eastAsia="Times New Roman"/>
        </w:rPr>
        <w:t>3.5.4</w:t>
      </w:r>
      <w:r>
        <w:rPr>
          <w:rFonts w:ascii="Times New Roman" w:hAnsi="Times New Roman" w:eastAsia="Times New Roman"/>
          <w:spacing w:val="5"/>
        </w:rPr>
        <w:t xml:space="preserve"> </w:t>
      </w:r>
      <w:r>
        <w:rPr>
          <w:spacing w:val="-3"/>
        </w:rPr>
        <w:t>项的要求在本表后附相关证明材料。</w:t>
      </w:r>
    </w:p>
    <w:p>
      <w:pPr>
        <w:pStyle w:val="34"/>
        <w:numPr>
          <w:ilvl w:val="0"/>
          <w:numId w:val="8"/>
        </w:numPr>
        <w:tabs>
          <w:tab w:val="left" w:pos="844"/>
        </w:tabs>
        <w:spacing w:before="132"/>
        <w:ind w:hanging="159"/>
      </w:pPr>
      <w:r>
        <w:rPr>
          <w:spacing w:val="-3"/>
        </w:rPr>
        <w:t>以联合体形式参与投标的，联合体各成员应分别填写。</w:t>
      </w:r>
    </w:p>
    <w:p>
      <w:pPr>
        <w:jc w:val="left"/>
        <w:sectPr>
          <w:pgSz w:w="11911" w:h="16849"/>
          <w:pgMar w:top="1480" w:right="1202" w:bottom="1480" w:left="1219" w:header="879" w:footer="850" w:gutter="0"/>
          <w:pgBorders>
            <w:top w:val="none" w:sz="0" w:space="0"/>
            <w:left w:val="none" w:sz="0" w:space="0"/>
            <w:bottom w:val="none" w:sz="0" w:space="0"/>
            <w:right w:val="none" w:sz="0" w:space="0"/>
          </w:pgBorders>
          <w:cols w:space="425" w:num="1"/>
        </w:sectPr>
      </w:pPr>
    </w:p>
    <w:p>
      <w:pPr>
        <w:pStyle w:val="10"/>
        <w:spacing w:before="108"/>
        <w:ind w:left="2321"/>
        <w:rPr>
          <w:rFonts w:ascii="黑体"/>
          <w:sz w:val="11"/>
        </w:rPr>
      </w:pPr>
      <w:bookmarkStart w:id="220" w:name="_bookmark316"/>
      <w:bookmarkEnd w:id="220"/>
      <w:r>
        <w:rPr>
          <w:rFonts w:hint="eastAsia" w:ascii="黑体" w:eastAsia="黑体"/>
        </w:rPr>
        <w:t>（六）拟委任的项目经理和</w:t>
      </w:r>
      <w:r>
        <w:rPr>
          <w:rFonts w:hint="eastAsia" w:ascii="黑体" w:eastAsia="黑体"/>
          <w:lang w:eastAsia="zh-CN"/>
        </w:rPr>
        <w:t>项目总工程师</w:t>
      </w:r>
      <w:r>
        <w:rPr>
          <w:rFonts w:hint="eastAsia" w:ascii="黑体" w:eastAsia="黑体"/>
        </w:rPr>
        <w:t>资历表</w:t>
      </w:r>
    </w:p>
    <w:tbl>
      <w:tblPr>
        <w:tblStyle w:val="16"/>
        <w:tblW w:w="8737" w:type="dxa"/>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1377"/>
        <w:gridCol w:w="103"/>
        <w:gridCol w:w="1061"/>
        <w:gridCol w:w="1381"/>
        <w:gridCol w:w="339"/>
        <w:gridCol w:w="1544"/>
        <w:gridCol w:w="388"/>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61" w:type="dxa"/>
          </w:tcPr>
          <w:p>
            <w:pPr>
              <w:pStyle w:val="33"/>
              <w:spacing w:before="6"/>
              <w:rPr>
                <w:rFonts w:ascii="黑体"/>
                <w:sz w:val="14"/>
              </w:rPr>
            </w:pPr>
          </w:p>
          <w:p>
            <w:pPr>
              <w:pStyle w:val="33"/>
              <w:tabs>
                <w:tab w:val="left" w:pos="631"/>
              </w:tabs>
              <w:ind w:right="13"/>
              <w:jc w:val="center"/>
            </w:pPr>
            <w:r>
              <w:t>姓</w:t>
            </w:r>
            <w:r>
              <w:tab/>
            </w:r>
            <w:r>
              <w:t>名</w:t>
            </w:r>
          </w:p>
        </w:tc>
        <w:tc>
          <w:tcPr>
            <w:tcW w:w="1480" w:type="dxa"/>
            <w:gridSpan w:val="2"/>
          </w:tcPr>
          <w:p>
            <w:pPr>
              <w:pStyle w:val="33"/>
              <w:rPr>
                <w:rFonts w:ascii="Times New Roman"/>
                <w:sz w:val="20"/>
              </w:rPr>
            </w:pPr>
          </w:p>
        </w:tc>
        <w:tc>
          <w:tcPr>
            <w:tcW w:w="1061" w:type="dxa"/>
          </w:tcPr>
          <w:p>
            <w:pPr>
              <w:pStyle w:val="33"/>
              <w:spacing w:before="6"/>
              <w:rPr>
                <w:rFonts w:ascii="黑体"/>
                <w:sz w:val="14"/>
              </w:rPr>
            </w:pPr>
          </w:p>
          <w:p>
            <w:pPr>
              <w:pStyle w:val="33"/>
              <w:tabs>
                <w:tab w:val="left" w:pos="643"/>
              </w:tabs>
              <w:ind w:left="12"/>
              <w:jc w:val="center"/>
            </w:pPr>
            <w:r>
              <w:t>年</w:t>
            </w:r>
            <w:r>
              <w:tab/>
            </w:r>
            <w:r>
              <w:t>龄</w:t>
            </w:r>
          </w:p>
        </w:tc>
        <w:tc>
          <w:tcPr>
            <w:tcW w:w="1381" w:type="dxa"/>
          </w:tcPr>
          <w:p>
            <w:pPr>
              <w:pStyle w:val="33"/>
              <w:rPr>
                <w:rFonts w:ascii="Times New Roman"/>
                <w:sz w:val="20"/>
              </w:rPr>
            </w:pPr>
          </w:p>
        </w:tc>
        <w:tc>
          <w:tcPr>
            <w:tcW w:w="1883" w:type="dxa"/>
            <w:gridSpan w:val="2"/>
          </w:tcPr>
          <w:p>
            <w:pPr>
              <w:pStyle w:val="33"/>
              <w:spacing w:before="6"/>
              <w:rPr>
                <w:rFonts w:ascii="黑体"/>
                <w:sz w:val="14"/>
              </w:rPr>
            </w:pPr>
          </w:p>
          <w:p>
            <w:pPr>
              <w:pStyle w:val="33"/>
              <w:tabs>
                <w:tab w:val="left" w:pos="1151"/>
              </w:tabs>
              <w:ind w:left="520"/>
            </w:pPr>
            <w:r>
              <w:t>专</w:t>
            </w:r>
            <w:r>
              <w:tab/>
            </w:r>
            <w:r>
              <w:t>业</w:t>
            </w:r>
          </w:p>
        </w:tc>
        <w:tc>
          <w:tcPr>
            <w:tcW w:w="1671" w:type="dxa"/>
            <w:gridSpan w:val="2"/>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1261" w:type="dxa"/>
          </w:tcPr>
          <w:p>
            <w:pPr>
              <w:pStyle w:val="33"/>
              <w:rPr>
                <w:rFonts w:ascii="黑体"/>
                <w:sz w:val="20"/>
              </w:rPr>
            </w:pPr>
          </w:p>
          <w:p>
            <w:pPr>
              <w:pStyle w:val="33"/>
              <w:spacing w:before="160"/>
              <w:ind w:right="15"/>
              <w:jc w:val="center"/>
            </w:pPr>
            <w:r>
              <w:t>技术职称</w:t>
            </w:r>
          </w:p>
        </w:tc>
        <w:tc>
          <w:tcPr>
            <w:tcW w:w="1480" w:type="dxa"/>
            <w:gridSpan w:val="2"/>
          </w:tcPr>
          <w:p>
            <w:pPr>
              <w:pStyle w:val="33"/>
              <w:rPr>
                <w:rFonts w:ascii="Times New Roman"/>
                <w:sz w:val="20"/>
              </w:rPr>
            </w:pPr>
          </w:p>
        </w:tc>
        <w:tc>
          <w:tcPr>
            <w:tcW w:w="1061" w:type="dxa"/>
          </w:tcPr>
          <w:p>
            <w:pPr>
              <w:pStyle w:val="33"/>
              <w:rPr>
                <w:rFonts w:ascii="黑体"/>
                <w:sz w:val="20"/>
              </w:rPr>
            </w:pPr>
          </w:p>
          <w:p>
            <w:pPr>
              <w:pStyle w:val="33"/>
              <w:tabs>
                <w:tab w:val="left" w:pos="643"/>
              </w:tabs>
              <w:spacing w:before="160"/>
              <w:ind w:left="12"/>
              <w:jc w:val="center"/>
            </w:pPr>
            <w:r>
              <w:t>学</w:t>
            </w:r>
            <w:r>
              <w:tab/>
            </w:r>
            <w:r>
              <w:t>历</w:t>
            </w:r>
          </w:p>
        </w:tc>
        <w:tc>
          <w:tcPr>
            <w:tcW w:w="1381" w:type="dxa"/>
          </w:tcPr>
          <w:p>
            <w:pPr>
              <w:pStyle w:val="33"/>
              <w:rPr>
                <w:rFonts w:ascii="Times New Roman"/>
                <w:sz w:val="20"/>
              </w:rPr>
            </w:pPr>
          </w:p>
        </w:tc>
        <w:tc>
          <w:tcPr>
            <w:tcW w:w="1883" w:type="dxa"/>
            <w:gridSpan w:val="2"/>
          </w:tcPr>
          <w:p>
            <w:pPr>
              <w:pStyle w:val="33"/>
              <w:spacing w:before="31" w:line="458" w:lineRule="exact"/>
              <w:ind w:left="520" w:right="402" w:hanging="106"/>
            </w:pPr>
            <w:r>
              <w:t>拟在本标段工程任职</w:t>
            </w:r>
          </w:p>
        </w:tc>
        <w:tc>
          <w:tcPr>
            <w:tcW w:w="1671" w:type="dxa"/>
            <w:gridSpan w:val="2"/>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33"/>
              <w:spacing w:before="6"/>
              <w:rPr>
                <w:rFonts w:ascii="黑体"/>
                <w:sz w:val="14"/>
              </w:rPr>
            </w:pPr>
          </w:p>
          <w:p>
            <w:pPr>
              <w:pStyle w:val="33"/>
              <w:ind w:right="15"/>
              <w:jc w:val="center"/>
            </w:pPr>
            <w:r>
              <w:t>工作年限</w:t>
            </w:r>
          </w:p>
        </w:tc>
        <w:tc>
          <w:tcPr>
            <w:tcW w:w="3922" w:type="dxa"/>
            <w:gridSpan w:val="4"/>
          </w:tcPr>
          <w:p>
            <w:pPr>
              <w:pStyle w:val="33"/>
              <w:rPr>
                <w:rFonts w:ascii="Times New Roman"/>
                <w:sz w:val="20"/>
              </w:rPr>
            </w:pPr>
          </w:p>
        </w:tc>
        <w:tc>
          <w:tcPr>
            <w:tcW w:w="1883" w:type="dxa"/>
            <w:gridSpan w:val="2"/>
          </w:tcPr>
          <w:p>
            <w:pPr>
              <w:pStyle w:val="33"/>
              <w:spacing w:before="6"/>
              <w:rPr>
                <w:rFonts w:ascii="黑体"/>
                <w:sz w:val="14"/>
              </w:rPr>
            </w:pPr>
          </w:p>
          <w:p>
            <w:pPr>
              <w:pStyle w:val="33"/>
              <w:ind w:left="100"/>
            </w:pPr>
            <w:r>
              <w:t>类似施工经验年限</w:t>
            </w:r>
          </w:p>
        </w:tc>
        <w:tc>
          <w:tcPr>
            <w:tcW w:w="1671" w:type="dxa"/>
            <w:gridSpan w:val="2"/>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33"/>
              <w:spacing w:before="7"/>
              <w:rPr>
                <w:rFonts w:ascii="黑体"/>
                <w:sz w:val="14"/>
              </w:rPr>
            </w:pPr>
          </w:p>
          <w:p>
            <w:pPr>
              <w:pStyle w:val="33"/>
              <w:ind w:right="13"/>
              <w:jc w:val="center"/>
            </w:pPr>
            <w:r>
              <w:t>毕业学校</w:t>
            </w:r>
          </w:p>
        </w:tc>
        <w:tc>
          <w:tcPr>
            <w:tcW w:w="7476" w:type="dxa"/>
            <w:gridSpan w:val="8"/>
          </w:tcPr>
          <w:p>
            <w:pPr>
              <w:pStyle w:val="33"/>
              <w:tabs>
                <w:tab w:val="left" w:pos="531"/>
                <w:tab w:val="left" w:pos="1057"/>
                <w:tab w:val="left" w:pos="3892"/>
                <w:tab w:val="left" w:pos="5466"/>
                <w:tab w:val="left" w:pos="7145"/>
              </w:tabs>
              <w:spacing w:before="186"/>
              <w:ind w:left="5"/>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rPr>
                <w:spacing w:val="-3"/>
              </w:rPr>
              <w:t>月</w:t>
            </w:r>
            <w:r>
              <w:t>毕</w:t>
            </w:r>
            <w:r>
              <w:rPr>
                <w:spacing w:val="-3"/>
              </w:rPr>
              <w:t>业</w:t>
            </w:r>
            <w:r>
              <w:t>于</w:t>
            </w:r>
            <w:r>
              <w:rPr>
                <w:u w:val="single"/>
              </w:rPr>
              <w:t xml:space="preserve"> </w:t>
            </w:r>
            <w:r>
              <w:rPr>
                <w:u w:val="single"/>
              </w:rPr>
              <w:tab/>
            </w:r>
            <w:r>
              <w:rPr>
                <w:spacing w:val="-3"/>
              </w:rPr>
              <w:t>学</w:t>
            </w:r>
            <w:r>
              <w:t>校</w:t>
            </w:r>
            <w:r>
              <w:rPr>
                <w:u w:val="single"/>
              </w:rPr>
              <w:t xml:space="preserve"> </w:t>
            </w:r>
            <w:r>
              <w:rPr>
                <w:u w:val="single"/>
              </w:rPr>
              <w:tab/>
            </w:r>
            <w:r>
              <w:rPr>
                <w:spacing w:val="-3"/>
              </w:rPr>
              <w:t>专</w:t>
            </w:r>
            <w:r>
              <w:t>业</w:t>
            </w:r>
            <w:r>
              <w:rPr>
                <w:spacing w:val="-3"/>
              </w:rPr>
              <w:t>，</w:t>
            </w:r>
            <w:r>
              <w:t>学制</w:t>
            </w:r>
            <w:r>
              <w:rPr>
                <w:u w:val="single"/>
              </w:rPr>
              <w:t xml:space="preserve"> </w:t>
            </w:r>
            <w:r>
              <w:rPr>
                <w:u w:val="single"/>
              </w:rPr>
              <w:tab/>
            </w:r>
            <w: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8737" w:type="dxa"/>
            <w:gridSpan w:val="9"/>
          </w:tcPr>
          <w:p>
            <w:pPr>
              <w:pStyle w:val="33"/>
              <w:spacing w:before="6"/>
              <w:rPr>
                <w:rFonts w:ascii="黑体"/>
                <w:sz w:val="14"/>
              </w:rPr>
            </w:pPr>
          </w:p>
          <w:p>
            <w:pPr>
              <w:pStyle w:val="33"/>
              <w:tabs>
                <w:tab w:val="left" w:pos="1167"/>
              </w:tabs>
              <w:ind w:left="10"/>
              <w:jc w:val="center"/>
            </w:pPr>
            <w:r>
              <w:t>经</w:t>
            </w:r>
            <w:r>
              <w:tab/>
            </w:r>
            <w: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1261" w:type="dxa"/>
          </w:tcPr>
          <w:p>
            <w:pPr>
              <w:pStyle w:val="33"/>
              <w:rPr>
                <w:rFonts w:ascii="黑体"/>
                <w:sz w:val="20"/>
              </w:rPr>
            </w:pPr>
          </w:p>
          <w:p>
            <w:pPr>
              <w:pStyle w:val="33"/>
              <w:tabs>
                <w:tab w:val="left" w:pos="457"/>
              </w:tabs>
              <w:spacing w:before="131"/>
              <w:ind w:left="34"/>
              <w:jc w:val="center"/>
            </w:pPr>
            <w:r>
              <w:t>时</w:t>
            </w:r>
            <w:r>
              <w:tab/>
            </w:r>
            <w:r>
              <w:t>间</w:t>
            </w:r>
          </w:p>
        </w:tc>
        <w:tc>
          <w:tcPr>
            <w:tcW w:w="4261" w:type="dxa"/>
            <w:gridSpan w:val="5"/>
          </w:tcPr>
          <w:p>
            <w:pPr>
              <w:pStyle w:val="33"/>
              <w:rPr>
                <w:rFonts w:ascii="黑体"/>
                <w:sz w:val="20"/>
              </w:rPr>
            </w:pPr>
          </w:p>
          <w:p>
            <w:pPr>
              <w:pStyle w:val="33"/>
              <w:spacing w:before="131"/>
              <w:ind w:left="877"/>
            </w:pPr>
            <w:r>
              <w:t>参加过的类似工程项目名称</w:t>
            </w:r>
          </w:p>
        </w:tc>
        <w:tc>
          <w:tcPr>
            <w:tcW w:w="1932" w:type="dxa"/>
            <w:gridSpan w:val="2"/>
          </w:tcPr>
          <w:p>
            <w:pPr>
              <w:pStyle w:val="33"/>
              <w:rPr>
                <w:rFonts w:ascii="黑体"/>
                <w:sz w:val="20"/>
              </w:rPr>
            </w:pPr>
          </w:p>
          <w:p>
            <w:pPr>
              <w:pStyle w:val="33"/>
              <w:spacing w:before="131"/>
              <w:ind w:left="541"/>
            </w:pPr>
            <w:r>
              <w:t>担任职务</w:t>
            </w:r>
          </w:p>
        </w:tc>
        <w:tc>
          <w:tcPr>
            <w:tcW w:w="1283" w:type="dxa"/>
          </w:tcPr>
          <w:p>
            <w:pPr>
              <w:pStyle w:val="33"/>
              <w:spacing w:before="57" w:line="400" w:lineRule="atLeast"/>
              <w:ind w:left="320" w:right="107" w:hanging="212"/>
            </w:pPr>
            <w: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33"/>
              <w:rPr>
                <w:rFonts w:ascii="Times New Roman"/>
                <w:sz w:val="20"/>
              </w:rPr>
            </w:pPr>
          </w:p>
        </w:tc>
        <w:tc>
          <w:tcPr>
            <w:tcW w:w="4261" w:type="dxa"/>
            <w:gridSpan w:val="5"/>
          </w:tcPr>
          <w:p>
            <w:pPr>
              <w:pStyle w:val="33"/>
              <w:rPr>
                <w:rFonts w:ascii="Times New Roman"/>
                <w:sz w:val="20"/>
              </w:rPr>
            </w:pPr>
          </w:p>
        </w:tc>
        <w:tc>
          <w:tcPr>
            <w:tcW w:w="1932" w:type="dxa"/>
            <w:gridSpan w:val="2"/>
          </w:tcPr>
          <w:p>
            <w:pPr>
              <w:pStyle w:val="33"/>
              <w:rPr>
                <w:rFonts w:ascii="Times New Roman"/>
                <w:sz w:val="20"/>
              </w:rPr>
            </w:pPr>
          </w:p>
        </w:tc>
        <w:tc>
          <w:tcPr>
            <w:tcW w:w="1283"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33"/>
              <w:rPr>
                <w:rFonts w:ascii="Times New Roman"/>
                <w:sz w:val="20"/>
              </w:rPr>
            </w:pPr>
          </w:p>
        </w:tc>
        <w:tc>
          <w:tcPr>
            <w:tcW w:w="4261" w:type="dxa"/>
            <w:gridSpan w:val="5"/>
          </w:tcPr>
          <w:p>
            <w:pPr>
              <w:pStyle w:val="33"/>
              <w:rPr>
                <w:rFonts w:ascii="Times New Roman"/>
                <w:sz w:val="20"/>
              </w:rPr>
            </w:pPr>
          </w:p>
        </w:tc>
        <w:tc>
          <w:tcPr>
            <w:tcW w:w="1932" w:type="dxa"/>
            <w:gridSpan w:val="2"/>
          </w:tcPr>
          <w:p>
            <w:pPr>
              <w:pStyle w:val="33"/>
              <w:rPr>
                <w:rFonts w:ascii="Times New Roman"/>
                <w:sz w:val="20"/>
              </w:rPr>
            </w:pPr>
          </w:p>
        </w:tc>
        <w:tc>
          <w:tcPr>
            <w:tcW w:w="1283"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261" w:type="dxa"/>
          </w:tcPr>
          <w:p>
            <w:pPr>
              <w:pStyle w:val="33"/>
              <w:rPr>
                <w:rFonts w:ascii="Times New Roman"/>
                <w:sz w:val="20"/>
              </w:rPr>
            </w:pPr>
          </w:p>
        </w:tc>
        <w:tc>
          <w:tcPr>
            <w:tcW w:w="4261" w:type="dxa"/>
            <w:gridSpan w:val="5"/>
          </w:tcPr>
          <w:p>
            <w:pPr>
              <w:pStyle w:val="33"/>
              <w:rPr>
                <w:rFonts w:ascii="Times New Roman"/>
                <w:sz w:val="20"/>
              </w:rPr>
            </w:pPr>
          </w:p>
        </w:tc>
        <w:tc>
          <w:tcPr>
            <w:tcW w:w="1932" w:type="dxa"/>
            <w:gridSpan w:val="2"/>
          </w:tcPr>
          <w:p>
            <w:pPr>
              <w:pStyle w:val="33"/>
              <w:rPr>
                <w:rFonts w:ascii="Times New Roman"/>
                <w:sz w:val="20"/>
              </w:rPr>
            </w:pPr>
          </w:p>
        </w:tc>
        <w:tc>
          <w:tcPr>
            <w:tcW w:w="1283"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33"/>
              <w:rPr>
                <w:rFonts w:ascii="Times New Roman"/>
                <w:sz w:val="20"/>
              </w:rPr>
            </w:pPr>
          </w:p>
        </w:tc>
        <w:tc>
          <w:tcPr>
            <w:tcW w:w="4261" w:type="dxa"/>
            <w:gridSpan w:val="5"/>
          </w:tcPr>
          <w:p>
            <w:pPr>
              <w:pStyle w:val="33"/>
              <w:rPr>
                <w:rFonts w:ascii="Times New Roman"/>
                <w:sz w:val="20"/>
              </w:rPr>
            </w:pPr>
          </w:p>
        </w:tc>
        <w:tc>
          <w:tcPr>
            <w:tcW w:w="1932" w:type="dxa"/>
            <w:gridSpan w:val="2"/>
          </w:tcPr>
          <w:p>
            <w:pPr>
              <w:pStyle w:val="33"/>
              <w:rPr>
                <w:rFonts w:ascii="Times New Roman"/>
                <w:sz w:val="20"/>
              </w:rPr>
            </w:pPr>
          </w:p>
        </w:tc>
        <w:tc>
          <w:tcPr>
            <w:tcW w:w="1283"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33"/>
              <w:rPr>
                <w:rFonts w:ascii="Times New Roman"/>
                <w:sz w:val="20"/>
              </w:rPr>
            </w:pPr>
          </w:p>
        </w:tc>
        <w:tc>
          <w:tcPr>
            <w:tcW w:w="4261" w:type="dxa"/>
            <w:gridSpan w:val="5"/>
          </w:tcPr>
          <w:p>
            <w:pPr>
              <w:pStyle w:val="33"/>
              <w:rPr>
                <w:rFonts w:ascii="Times New Roman"/>
                <w:sz w:val="20"/>
              </w:rPr>
            </w:pPr>
          </w:p>
        </w:tc>
        <w:tc>
          <w:tcPr>
            <w:tcW w:w="1932" w:type="dxa"/>
            <w:gridSpan w:val="2"/>
          </w:tcPr>
          <w:p>
            <w:pPr>
              <w:pStyle w:val="33"/>
              <w:rPr>
                <w:rFonts w:ascii="Times New Roman"/>
                <w:sz w:val="20"/>
              </w:rPr>
            </w:pPr>
          </w:p>
        </w:tc>
        <w:tc>
          <w:tcPr>
            <w:tcW w:w="1283"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33"/>
              <w:rPr>
                <w:rFonts w:ascii="Times New Roman"/>
                <w:sz w:val="20"/>
              </w:rPr>
            </w:pPr>
          </w:p>
        </w:tc>
        <w:tc>
          <w:tcPr>
            <w:tcW w:w="4261" w:type="dxa"/>
            <w:gridSpan w:val="5"/>
          </w:tcPr>
          <w:p>
            <w:pPr>
              <w:pStyle w:val="33"/>
              <w:rPr>
                <w:rFonts w:ascii="Times New Roman"/>
                <w:sz w:val="20"/>
              </w:rPr>
            </w:pPr>
          </w:p>
        </w:tc>
        <w:tc>
          <w:tcPr>
            <w:tcW w:w="1932" w:type="dxa"/>
            <w:gridSpan w:val="2"/>
          </w:tcPr>
          <w:p>
            <w:pPr>
              <w:pStyle w:val="33"/>
              <w:rPr>
                <w:rFonts w:ascii="Times New Roman"/>
                <w:sz w:val="20"/>
              </w:rPr>
            </w:pPr>
          </w:p>
        </w:tc>
        <w:tc>
          <w:tcPr>
            <w:tcW w:w="1283"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33"/>
              <w:rPr>
                <w:rFonts w:ascii="Times New Roman"/>
                <w:sz w:val="20"/>
              </w:rPr>
            </w:pPr>
          </w:p>
        </w:tc>
        <w:tc>
          <w:tcPr>
            <w:tcW w:w="4261" w:type="dxa"/>
            <w:gridSpan w:val="5"/>
          </w:tcPr>
          <w:p>
            <w:pPr>
              <w:pStyle w:val="33"/>
              <w:rPr>
                <w:rFonts w:ascii="Times New Roman"/>
                <w:sz w:val="20"/>
              </w:rPr>
            </w:pPr>
          </w:p>
        </w:tc>
        <w:tc>
          <w:tcPr>
            <w:tcW w:w="1932" w:type="dxa"/>
            <w:gridSpan w:val="2"/>
          </w:tcPr>
          <w:p>
            <w:pPr>
              <w:pStyle w:val="33"/>
              <w:rPr>
                <w:rFonts w:ascii="Times New Roman"/>
                <w:sz w:val="20"/>
              </w:rPr>
            </w:pPr>
          </w:p>
        </w:tc>
        <w:tc>
          <w:tcPr>
            <w:tcW w:w="1283"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33"/>
              <w:rPr>
                <w:rFonts w:ascii="Times New Roman"/>
                <w:sz w:val="20"/>
              </w:rPr>
            </w:pPr>
          </w:p>
        </w:tc>
        <w:tc>
          <w:tcPr>
            <w:tcW w:w="4261" w:type="dxa"/>
            <w:gridSpan w:val="5"/>
          </w:tcPr>
          <w:p>
            <w:pPr>
              <w:pStyle w:val="33"/>
              <w:rPr>
                <w:rFonts w:ascii="Times New Roman"/>
                <w:sz w:val="20"/>
              </w:rPr>
            </w:pPr>
          </w:p>
        </w:tc>
        <w:tc>
          <w:tcPr>
            <w:tcW w:w="1932" w:type="dxa"/>
            <w:gridSpan w:val="2"/>
          </w:tcPr>
          <w:p>
            <w:pPr>
              <w:pStyle w:val="33"/>
              <w:rPr>
                <w:rFonts w:ascii="Times New Roman"/>
                <w:sz w:val="20"/>
              </w:rPr>
            </w:pPr>
          </w:p>
        </w:tc>
        <w:tc>
          <w:tcPr>
            <w:tcW w:w="1283"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261" w:type="dxa"/>
          </w:tcPr>
          <w:p>
            <w:pPr>
              <w:pStyle w:val="33"/>
              <w:rPr>
                <w:rFonts w:ascii="Times New Roman"/>
                <w:sz w:val="20"/>
              </w:rPr>
            </w:pPr>
          </w:p>
        </w:tc>
        <w:tc>
          <w:tcPr>
            <w:tcW w:w="4261" w:type="dxa"/>
            <w:gridSpan w:val="5"/>
          </w:tcPr>
          <w:p>
            <w:pPr>
              <w:pStyle w:val="33"/>
              <w:rPr>
                <w:rFonts w:ascii="Times New Roman"/>
                <w:sz w:val="20"/>
              </w:rPr>
            </w:pPr>
          </w:p>
        </w:tc>
        <w:tc>
          <w:tcPr>
            <w:tcW w:w="1932" w:type="dxa"/>
            <w:gridSpan w:val="2"/>
          </w:tcPr>
          <w:p>
            <w:pPr>
              <w:pStyle w:val="33"/>
              <w:rPr>
                <w:rFonts w:ascii="Times New Roman"/>
                <w:sz w:val="20"/>
              </w:rPr>
            </w:pPr>
          </w:p>
        </w:tc>
        <w:tc>
          <w:tcPr>
            <w:tcW w:w="1283"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638" w:type="dxa"/>
            <w:gridSpan w:val="2"/>
          </w:tcPr>
          <w:p>
            <w:pPr>
              <w:pStyle w:val="33"/>
              <w:spacing w:before="8"/>
              <w:rPr>
                <w:rFonts w:ascii="黑体"/>
                <w:sz w:val="14"/>
              </w:rPr>
            </w:pPr>
          </w:p>
          <w:p>
            <w:pPr>
              <w:pStyle w:val="33"/>
              <w:spacing w:before="1"/>
              <w:ind w:left="878" w:right="869"/>
              <w:jc w:val="center"/>
            </w:pPr>
            <w:r>
              <w:t>获奖情况</w:t>
            </w:r>
          </w:p>
        </w:tc>
        <w:tc>
          <w:tcPr>
            <w:tcW w:w="6099" w:type="dxa"/>
            <w:gridSpan w:val="7"/>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2638" w:type="dxa"/>
            <w:gridSpan w:val="2"/>
          </w:tcPr>
          <w:p>
            <w:pPr>
              <w:pStyle w:val="33"/>
              <w:rPr>
                <w:rFonts w:ascii="黑体"/>
                <w:sz w:val="20"/>
              </w:rPr>
            </w:pPr>
          </w:p>
          <w:p>
            <w:pPr>
              <w:pStyle w:val="33"/>
              <w:spacing w:before="7"/>
              <w:rPr>
                <w:rFonts w:ascii="黑体"/>
                <w:sz w:val="19"/>
              </w:rPr>
            </w:pPr>
          </w:p>
          <w:p>
            <w:pPr>
              <w:pStyle w:val="33"/>
              <w:ind w:left="688"/>
            </w:pPr>
            <w:r>
              <w:t>说明在岗情况</w:t>
            </w:r>
          </w:p>
        </w:tc>
        <w:tc>
          <w:tcPr>
            <w:tcW w:w="6099" w:type="dxa"/>
            <w:gridSpan w:val="7"/>
          </w:tcPr>
          <w:p>
            <w:pPr>
              <w:pStyle w:val="33"/>
              <w:tabs>
                <w:tab w:val="left" w:pos="5780"/>
              </w:tabs>
              <w:spacing w:before="90"/>
              <w:ind w:left="107"/>
            </w:pPr>
            <w:r>
              <w:t>□目</w:t>
            </w:r>
            <w:r>
              <w:rPr>
                <w:spacing w:val="-3"/>
              </w:rPr>
              <w:t>前</w:t>
            </w:r>
            <w:r>
              <w:t>未</w:t>
            </w:r>
            <w:r>
              <w:rPr>
                <w:spacing w:val="-3"/>
              </w:rPr>
              <w:t>在</w:t>
            </w:r>
            <w:r>
              <w:t>其</w:t>
            </w:r>
            <w:r>
              <w:rPr>
                <w:spacing w:val="-3"/>
              </w:rPr>
              <w:t>他</w:t>
            </w:r>
            <w:r>
              <w:t>项</w:t>
            </w:r>
            <w:r>
              <w:rPr>
                <w:spacing w:val="-3"/>
              </w:rPr>
              <w:t>目</w:t>
            </w:r>
            <w:r>
              <w:t>上</w:t>
            </w:r>
            <w:r>
              <w:rPr>
                <w:spacing w:val="-3"/>
              </w:rPr>
              <w:t>任</w:t>
            </w:r>
            <w:r>
              <w:t>职，</w:t>
            </w:r>
            <w:r>
              <w:rPr>
                <w:spacing w:val="-3"/>
              </w:rPr>
              <w:t>现</w:t>
            </w:r>
            <w:r>
              <w:t>从</w:t>
            </w:r>
            <w:r>
              <w:rPr>
                <w:spacing w:val="-3"/>
              </w:rPr>
              <w:t>事</w:t>
            </w:r>
            <w:r>
              <w:t>工</w:t>
            </w:r>
            <w:r>
              <w:rPr>
                <w:spacing w:val="-3"/>
              </w:rPr>
              <w:t>作</w:t>
            </w:r>
            <w:r>
              <w:t>为</w:t>
            </w:r>
            <w:r>
              <w:rPr>
                <w:spacing w:val="-3"/>
              </w:rPr>
              <w:t>：</w:t>
            </w:r>
            <w:r>
              <w:rPr>
                <w:spacing w:val="-3"/>
                <w:u w:val="single"/>
              </w:rPr>
              <w:t xml:space="preserve"> </w:t>
            </w:r>
            <w:r>
              <w:rPr>
                <w:spacing w:val="-3"/>
                <w:u w:val="single"/>
              </w:rPr>
              <w:tab/>
            </w:r>
            <w:r>
              <w:t>。</w:t>
            </w:r>
          </w:p>
          <w:p>
            <w:pPr>
              <w:pStyle w:val="33"/>
              <w:tabs>
                <w:tab w:val="left" w:pos="3626"/>
                <w:tab w:val="left" w:pos="5883"/>
              </w:tabs>
              <w:spacing w:before="16" w:line="400" w:lineRule="exact"/>
              <w:ind w:left="107" w:right="-15"/>
            </w:pPr>
            <w:r>
              <w:rPr>
                <w:spacing w:val="7"/>
              </w:rPr>
              <w:t>□目前虽在其他项</w:t>
            </w:r>
            <w:r>
              <w:rPr>
                <w:spacing w:val="4"/>
              </w:rPr>
              <w:t>目</w:t>
            </w:r>
            <w:r>
              <w:rPr>
                <w:spacing w:val="7"/>
              </w:rPr>
              <w:t>上</w:t>
            </w:r>
            <w:r>
              <w:rPr>
                <w:spacing w:val="4"/>
              </w:rPr>
              <w:t>任</w:t>
            </w:r>
            <w:r>
              <w:rPr>
                <w:spacing w:val="6"/>
              </w:rPr>
              <w:t>职，但本项目中标</w:t>
            </w:r>
            <w:r>
              <w:rPr>
                <w:spacing w:val="4"/>
              </w:rPr>
              <w:t>后</w:t>
            </w:r>
            <w:r>
              <w:rPr>
                <w:spacing w:val="6"/>
              </w:rPr>
              <w:t>能</w:t>
            </w:r>
            <w:r>
              <w:rPr>
                <w:spacing w:val="4"/>
              </w:rPr>
              <w:t>够</w:t>
            </w:r>
            <w:r>
              <w:rPr>
                <w:spacing w:val="6"/>
              </w:rPr>
              <w:t>从该</w:t>
            </w:r>
            <w:r>
              <w:rPr>
                <w:spacing w:val="10"/>
              </w:rPr>
              <w:t>项</w:t>
            </w:r>
            <w:r>
              <w:rPr>
                <w:spacing w:val="7"/>
              </w:rPr>
              <w:t>目撤</w:t>
            </w:r>
            <w:r>
              <w:t>离</w:t>
            </w:r>
            <w:r>
              <w:rPr>
                <w:spacing w:val="-82"/>
              </w:rPr>
              <w:t>，</w:t>
            </w:r>
            <w:r>
              <w:t>目前</w:t>
            </w:r>
            <w:r>
              <w:rPr>
                <w:spacing w:val="-3"/>
              </w:rPr>
              <w:t>任</w:t>
            </w:r>
            <w:r>
              <w:t>职</w:t>
            </w:r>
            <w:r>
              <w:rPr>
                <w:spacing w:val="-3"/>
              </w:rPr>
              <w:t>项</w:t>
            </w:r>
            <w:r>
              <w:t>目</w:t>
            </w:r>
            <w:r>
              <w:rPr>
                <w:u w:val="single"/>
              </w:rPr>
              <w:t>：</w:t>
            </w:r>
            <w:r>
              <w:rPr>
                <w:u w:val="single"/>
              </w:rPr>
              <w:tab/>
            </w:r>
            <w:r>
              <w:rPr>
                <w:spacing w:val="-82"/>
              </w:rPr>
              <w:t>，</w:t>
            </w:r>
            <w:r>
              <w:t>担</w:t>
            </w:r>
            <w:r>
              <w:rPr>
                <w:spacing w:val="-3"/>
              </w:rPr>
              <w:t>任</w:t>
            </w:r>
            <w:r>
              <w:t>职</w:t>
            </w:r>
            <w:r>
              <w:rPr>
                <w:spacing w:val="-3"/>
              </w:rPr>
              <w:t>位</w:t>
            </w:r>
            <w:r>
              <w:t>：</w:t>
            </w:r>
            <w:r>
              <w:tab/>
            </w:r>
            <w:r>
              <w:rPr>
                <w:spacing w:val="-1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2638" w:type="dxa"/>
            <w:gridSpan w:val="2"/>
          </w:tcPr>
          <w:p>
            <w:pPr>
              <w:pStyle w:val="33"/>
              <w:rPr>
                <w:rFonts w:ascii="黑体"/>
                <w:sz w:val="20"/>
              </w:rPr>
            </w:pPr>
          </w:p>
          <w:p>
            <w:pPr>
              <w:pStyle w:val="33"/>
              <w:spacing w:before="5"/>
              <w:rPr>
                <w:rFonts w:ascii="黑体"/>
                <w:sz w:val="17"/>
              </w:rPr>
            </w:pPr>
          </w:p>
          <w:p>
            <w:pPr>
              <w:pStyle w:val="33"/>
              <w:tabs>
                <w:tab w:val="left" w:pos="1581"/>
              </w:tabs>
              <w:ind w:left="844"/>
            </w:pPr>
            <w:r>
              <w:t>备</w:t>
            </w:r>
            <w:r>
              <w:tab/>
            </w:r>
            <w:r>
              <w:t>注</w:t>
            </w:r>
          </w:p>
        </w:tc>
        <w:tc>
          <w:tcPr>
            <w:tcW w:w="6099" w:type="dxa"/>
            <w:gridSpan w:val="7"/>
          </w:tcPr>
          <w:p>
            <w:pPr>
              <w:pStyle w:val="33"/>
              <w:rPr>
                <w:rFonts w:ascii="Times New Roman"/>
                <w:sz w:val="20"/>
              </w:rPr>
            </w:pPr>
          </w:p>
        </w:tc>
      </w:tr>
    </w:tbl>
    <w:p>
      <w:pPr>
        <w:spacing w:before="128"/>
        <w:ind w:left="264"/>
        <w:jc w:val="left"/>
      </w:pPr>
      <w:r>
        <w:t>注：</w:t>
      </w:r>
      <w:r>
        <w:rPr>
          <w:rFonts w:eastAsia="Times New Roman"/>
        </w:rPr>
        <w:t>1.</w:t>
      </w:r>
      <w:r>
        <w:t>本表应填写项目经理和</w:t>
      </w:r>
      <w:r>
        <w:rPr>
          <w:rFonts w:hint="eastAsia"/>
          <w:lang w:eastAsia="zh-CN"/>
        </w:rPr>
        <w:t>项目总工程师</w:t>
      </w:r>
      <w:r>
        <w:t>相关情况。</w:t>
      </w:r>
    </w:p>
    <w:p>
      <w:pPr>
        <w:spacing w:before="129"/>
        <w:ind w:left="684"/>
        <w:jc w:val="left"/>
      </w:pPr>
      <w:r>
        <w:rPr>
          <w:rFonts w:eastAsia="Times New Roman"/>
        </w:rPr>
        <w:t>2.</w:t>
      </w:r>
      <w:r>
        <w:rPr>
          <w:rFonts w:hint="eastAsia"/>
          <w:lang w:eastAsia="zh-CN"/>
        </w:rPr>
        <w:t>交易响应单位</w:t>
      </w:r>
      <w:r>
        <w:t>应根据</w:t>
      </w:r>
      <w:r>
        <w:rPr>
          <w:rFonts w:hint="eastAsia"/>
          <w:lang w:eastAsia="zh-CN"/>
        </w:rPr>
        <w:t>交易文件</w:t>
      </w:r>
      <w:r>
        <w:t>第二章“</w:t>
      </w:r>
      <w:r>
        <w:rPr>
          <w:rFonts w:hint="eastAsia"/>
          <w:lang w:eastAsia="zh-CN"/>
        </w:rPr>
        <w:t>交易须知</w:t>
      </w:r>
      <w:r>
        <w:t xml:space="preserve">”第 </w:t>
      </w:r>
      <w:r>
        <w:rPr>
          <w:rFonts w:eastAsia="Times New Roman"/>
        </w:rPr>
        <w:t xml:space="preserve">3.5.5 </w:t>
      </w:r>
      <w:r>
        <w:t>项的要求在本表后附相关证明材料。</w:t>
      </w:r>
    </w:p>
    <w:p>
      <w:pPr>
        <w:jc w:val="left"/>
        <w:sectPr>
          <w:pgSz w:w="11911" w:h="16849"/>
          <w:pgMar w:top="1480" w:right="1202" w:bottom="1480" w:left="1219" w:header="879" w:footer="850" w:gutter="0"/>
          <w:pgBorders>
            <w:top w:val="none" w:sz="0" w:space="0"/>
            <w:left w:val="none" w:sz="0" w:space="0"/>
            <w:bottom w:val="none" w:sz="0" w:space="0"/>
            <w:right w:val="none" w:sz="0" w:space="0"/>
          </w:pgBorders>
          <w:cols w:space="425" w:num="1"/>
        </w:sectPr>
      </w:pPr>
    </w:p>
    <w:p>
      <w:pPr>
        <w:pStyle w:val="10"/>
        <w:spacing w:before="108"/>
        <w:ind w:left="2261"/>
        <w:rPr>
          <w:rFonts w:ascii="黑体" w:hAnsi="黑体" w:eastAsia="黑体"/>
          <w:sz w:val="12"/>
        </w:rPr>
      </w:pPr>
      <w:bookmarkStart w:id="221" w:name="_bookmark317"/>
      <w:bookmarkEnd w:id="221"/>
      <w:r>
        <w:rPr>
          <w:rFonts w:hint="eastAsia" w:ascii="黑体" w:hAnsi="黑体" w:eastAsia="黑体"/>
        </w:rPr>
        <w:t>（七）拟委任的其他管理和技术人员汇总表</w:t>
      </w:r>
    </w:p>
    <w:p>
      <w:pPr>
        <w:pStyle w:val="10"/>
        <w:rPr>
          <w:rFonts w:ascii="黑体"/>
          <w:sz w:val="20"/>
        </w:rPr>
      </w:pPr>
    </w:p>
    <w:p>
      <w:pPr>
        <w:pStyle w:val="10"/>
        <w:spacing w:before="5"/>
        <w:rPr>
          <w:rFonts w:ascii="黑体"/>
          <w:sz w:val="11"/>
        </w:rPr>
      </w:pPr>
    </w:p>
    <w:tbl>
      <w:tblPr>
        <w:tblStyle w:val="16"/>
        <w:tblW w:w="8899"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927"/>
        <w:gridCol w:w="2682"/>
        <w:gridCol w:w="1103"/>
        <w:gridCol w:w="1307"/>
        <w:gridCol w:w="1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934" w:type="dxa"/>
          </w:tcPr>
          <w:p>
            <w:pPr>
              <w:pStyle w:val="33"/>
              <w:spacing w:before="12"/>
              <w:rPr>
                <w:rFonts w:ascii="黑体"/>
                <w:sz w:val="27"/>
              </w:rPr>
            </w:pPr>
          </w:p>
          <w:p>
            <w:pPr>
              <w:pStyle w:val="33"/>
              <w:ind w:left="256"/>
            </w:pPr>
            <w:r>
              <w:t>姓名</w:t>
            </w:r>
          </w:p>
        </w:tc>
        <w:tc>
          <w:tcPr>
            <w:tcW w:w="927" w:type="dxa"/>
          </w:tcPr>
          <w:p>
            <w:pPr>
              <w:pStyle w:val="33"/>
              <w:spacing w:before="12"/>
              <w:rPr>
                <w:rFonts w:ascii="黑体"/>
                <w:sz w:val="27"/>
              </w:rPr>
            </w:pPr>
          </w:p>
          <w:p>
            <w:pPr>
              <w:pStyle w:val="33"/>
              <w:ind w:left="251"/>
            </w:pPr>
            <w:r>
              <w:t>年龄</w:t>
            </w:r>
          </w:p>
        </w:tc>
        <w:tc>
          <w:tcPr>
            <w:tcW w:w="2682" w:type="dxa"/>
          </w:tcPr>
          <w:p>
            <w:pPr>
              <w:pStyle w:val="33"/>
              <w:spacing w:before="12"/>
              <w:rPr>
                <w:rFonts w:ascii="黑体"/>
                <w:sz w:val="27"/>
              </w:rPr>
            </w:pPr>
          </w:p>
          <w:p>
            <w:pPr>
              <w:pStyle w:val="33"/>
              <w:ind w:left="394"/>
            </w:pPr>
            <w:r>
              <w:t>拟在本标段工程任职</w:t>
            </w:r>
          </w:p>
        </w:tc>
        <w:tc>
          <w:tcPr>
            <w:tcW w:w="1103" w:type="dxa"/>
          </w:tcPr>
          <w:p>
            <w:pPr>
              <w:pStyle w:val="33"/>
              <w:spacing w:before="12"/>
              <w:rPr>
                <w:rFonts w:ascii="黑体"/>
                <w:sz w:val="27"/>
              </w:rPr>
            </w:pPr>
          </w:p>
          <w:p>
            <w:pPr>
              <w:pStyle w:val="33"/>
              <w:ind w:left="127"/>
            </w:pPr>
            <w:r>
              <w:t>技术职称</w:t>
            </w:r>
          </w:p>
        </w:tc>
        <w:tc>
          <w:tcPr>
            <w:tcW w:w="1307" w:type="dxa"/>
          </w:tcPr>
          <w:p>
            <w:pPr>
              <w:pStyle w:val="33"/>
              <w:spacing w:before="12"/>
              <w:rPr>
                <w:rFonts w:ascii="黑体"/>
                <w:sz w:val="27"/>
              </w:rPr>
            </w:pPr>
          </w:p>
          <w:p>
            <w:pPr>
              <w:pStyle w:val="33"/>
              <w:ind w:left="229"/>
            </w:pPr>
            <w:r>
              <w:t>工作年限</w:t>
            </w:r>
          </w:p>
        </w:tc>
        <w:tc>
          <w:tcPr>
            <w:tcW w:w="1946" w:type="dxa"/>
          </w:tcPr>
          <w:p>
            <w:pPr>
              <w:pStyle w:val="33"/>
              <w:spacing w:before="12"/>
              <w:rPr>
                <w:rFonts w:ascii="黑体"/>
                <w:sz w:val="27"/>
              </w:rPr>
            </w:pPr>
          </w:p>
          <w:p>
            <w:pPr>
              <w:pStyle w:val="33"/>
              <w:ind w:left="125"/>
            </w:pPr>
            <w:r>
              <w:t>类似施工经验年限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934" w:type="dxa"/>
          </w:tcPr>
          <w:p>
            <w:pPr>
              <w:pStyle w:val="33"/>
              <w:rPr>
                <w:rFonts w:ascii="Times New Roman"/>
                <w:sz w:val="20"/>
              </w:rPr>
            </w:pPr>
          </w:p>
        </w:tc>
        <w:tc>
          <w:tcPr>
            <w:tcW w:w="927" w:type="dxa"/>
          </w:tcPr>
          <w:p>
            <w:pPr>
              <w:pStyle w:val="33"/>
              <w:rPr>
                <w:rFonts w:ascii="Times New Roman"/>
                <w:sz w:val="20"/>
              </w:rPr>
            </w:pPr>
          </w:p>
        </w:tc>
        <w:tc>
          <w:tcPr>
            <w:tcW w:w="2682" w:type="dxa"/>
          </w:tcPr>
          <w:p>
            <w:pPr>
              <w:pStyle w:val="33"/>
              <w:rPr>
                <w:rFonts w:ascii="Times New Roman"/>
                <w:sz w:val="20"/>
              </w:rPr>
            </w:pPr>
          </w:p>
        </w:tc>
        <w:tc>
          <w:tcPr>
            <w:tcW w:w="1103" w:type="dxa"/>
          </w:tcPr>
          <w:p>
            <w:pPr>
              <w:pStyle w:val="33"/>
              <w:rPr>
                <w:rFonts w:ascii="Times New Roman"/>
                <w:sz w:val="20"/>
              </w:rPr>
            </w:pPr>
          </w:p>
        </w:tc>
        <w:tc>
          <w:tcPr>
            <w:tcW w:w="1307" w:type="dxa"/>
          </w:tcPr>
          <w:p>
            <w:pPr>
              <w:pStyle w:val="33"/>
              <w:rPr>
                <w:rFonts w:ascii="Times New Roman"/>
                <w:sz w:val="20"/>
              </w:rPr>
            </w:pPr>
          </w:p>
        </w:tc>
        <w:tc>
          <w:tcPr>
            <w:tcW w:w="1946"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934" w:type="dxa"/>
          </w:tcPr>
          <w:p>
            <w:pPr>
              <w:pStyle w:val="33"/>
              <w:rPr>
                <w:rFonts w:ascii="Times New Roman"/>
                <w:sz w:val="20"/>
              </w:rPr>
            </w:pPr>
          </w:p>
        </w:tc>
        <w:tc>
          <w:tcPr>
            <w:tcW w:w="927" w:type="dxa"/>
          </w:tcPr>
          <w:p>
            <w:pPr>
              <w:pStyle w:val="33"/>
              <w:rPr>
                <w:rFonts w:ascii="Times New Roman"/>
                <w:sz w:val="20"/>
              </w:rPr>
            </w:pPr>
          </w:p>
        </w:tc>
        <w:tc>
          <w:tcPr>
            <w:tcW w:w="2682" w:type="dxa"/>
          </w:tcPr>
          <w:p>
            <w:pPr>
              <w:pStyle w:val="33"/>
              <w:rPr>
                <w:rFonts w:ascii="Times New Roman"/>
                <w:sz w:val="20"/>
              </w:rPr>
            </w:pPr>
          </w:p>
        </w:tc>
        <w:tc>
          <w:tcPr>
            <w:tcW w:w="1103" w:type="dxa"/>
          </w:tcPr>
          <w:p>
            <w:pPr>
              <w:pStyle w:val="33"/>
              <w:rPr>
                <w:rFonts w:ascii="Times New Roman"/>
                <w:sz w:val="20"/>
              </w:rPr>
            </w:pPr>
          </w:p>
        </w:tc>
        <w:tc>
          <w:tcPr>
            <w:tcW w:w="1307" w:type="dxa"/>
          </w:tcPr>
          <w:p>
            <w:pPr>
              <w:pStyle w:val="33"/>
              <w:rPr>
                <w:rFonts w:ascii="Times New Roman"/>
                <w:sz w:val="20"/>
              </w:rPr>
            </w:pPr>
          </w:p>
        </w:tc>
        <w:tc>
          <w:tcPr>
            <w:tcW w:w="1946"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34" w:type="dxa"/>
          </w:tcPr>
          <w:p>
            <w:pPr>
              <w:pStyle w:val="33"/>
              <w:rPr>
                <w:rFonts w:ascii="Times New Roman"/>
                <w:sz w:val="20"/>
              </w:rPr>
            </w:pPr>
          </w:p>
        </w:tc>
        <w:tc>
          <w:tcPr>
            <w:tcW w:w="927" w:type="dxa"/>
          </w:tcPr>
          <w:p>
            <w:pPr>
              <w:pStyle w:val="33"/>
              <w:rPr>
                <w:rFonts w:ascii="Times New Roman"/>
                <w:sz w:val="20"/>
              </w:rPr>
            </w:pPr>
          </w:p>
        </w:tc>
        <w:tc>
          <w:tcPr>
            <w:tcW w:w="2682" w:type="dxa"/>
          </w:tcPr>
          <w:p>
            <w:pPr>
              <w:pStyle w:val="33"/>
              <w:rPr>
                <w:rFonts w:ascii="Times New Roman"/>
                <w:sz w:val="20"/>
              </w:rPr>
            </w:pPr>
          </w:p>
        </w:tc>
        <w:tc>
          <w:tcPr>
            <w:tcW w:w="1103" w:type="dxa"/>
          </w:tcPr>
          <w:p>
            <w:pPr>
              <w:pStyle w:val="33"/>
              <w:rPr>
                <w:rFonts w:ascii="Times New Roman"/>
                <w:sz w:val="20"/>
              </w:rPr>
            </w:pPr>
          </w:p>
        </w:tc>
        <w:tc>
          <w:tcPr>
            <w:tcW w:w="1307" w:type="dxa"/>
          </w:tcPr>
          <w:p>
            <w:pPr>
              <w:pStyle w:val="33"/>
              <w:rPr>
                <w:rFonts w:ascii="Times New Roman"/>
                <w:sz w:val="20"/>
              </w:rPr>
            </w:pPr>
          </w:p>
        </w:tc>
        <w:tc>
          <w:tcPr>
            <w:tcW w:w="1946"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934" w:type="dxa"/>
          </w:tcPr>
          <w:p>
            <w:pPr>
              <w:pStyle w:val="33"/>
              <w:rPr>
                <w:rFonts w:ascii="Times New Roman"/>
                <w:sz w:val="20"/>
              </w:rPr>
            </w:pPr>
          </w:p>
        </w:tc>
        <w:tc>
          <w:tcPr>
            <w:tcW w:w="927" w:type="dxa"/>
          </w:tcPr>
          <w:p>
            <w:pPr>
              <w:pStyle w:val="33"/>
              <w:rPr>
                <w:rFonts w:ascii="Times New Roman"/>
                <w:sz w:val="20"/>
              </w:rPr>
            </w:pPr>
          </w:p>
        </w:tc>
        <w:tc>
          <w:tcPr>
            <w:tcW w:w="2682" w:type="dxa"/>
          </w:tcPr>
          <w:p>
            <w:pPr>
              <w:pStyle w:val="33"/>
              <w:rPr>
                <w:rFonts w:ascii="Times New Roman"/>
                <w:sz w:val="20"/>
              </w:rPr>
            </w:pPr>
          </w:p>
        </w:tc>
        <w:tc>
          <w:tcPr>
            <w:tcW w:w="1103" w:type="dxa"/>
          </w:tcPr>
          <w:p>
            <w:pPr>
              <w:pStyle w:val="33"/>
              <w:rPr>
                <w:rFonts w:ascii="Times New Roman"/>
                <w:sz w:val="20"/>
              </w:rPr>
            </w:pPr>
          </w:p>
        </w:tc>
        <w:tc>
          <w:tcPr>
            <w:tcW w:w="1307" w:type="dxa"/>
          </w:tcPr>
          <w:p>
            <w:pPr>
              <w:pStyle w:val="33"/>
              <w:rPr>
                <w:rFonts w:ascii="Times New Roman"/>
                <w:sz w:val="20"/>
              </w:rPr>
            </w:pPr>
          </w:p>
        </w:tc>
        <w:tc>
          <w:tcPr>
            <w:tcW w:w="1946"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934" w:type="dxa"/>
          </w:tcPr>
          <w:p>
            <w:pPr>
              <w:pStyle w:val="33"/>
              <w:rPr>
                <w:rFonts w:ascii="Times New Roman"/>
                <w:sz w:val="20"/>
              </w:rPr>
            </w:pPr>
          </w:p>
        </w:tc>
        <w:tc>
          <w:tcPr>
            <w:tcW w:w="927" w:type="dxa"/>
          </w:tcPr>
          <w:p>
            <w:pPr>
              <w:pStyle w:val="33"/>
              <w:rPr>
                <w:rFonts w:ascii="Times New Roman"/>
                <w:sz w:val="20"/>
              </w:rPr>
            </w:pPr>
          </w:p>
        </w:tc>
        <w:tc>
          <w:tcPr>
            <w:tcW w:w="2682" w:type="dxa"/>
          </w:tcPr>
          <w:p>
            <w:pPr>
              <w:pStyle w:val="33"/>
              <w:rPr>
                <w:rFonts w:ascii="Times New Roman"/>
                <w:sz w:val="20"/>
              </w:rPr>
            </w:pPr>
          </w:p>
        </w:tc>
        <w:tc>
          <w:tcPr>
            <w:tcW w:w="1103" w:type="dxa"/>
          </w:tcPr>
          <w:p>
            <w:pPr>
              <w:pStyle w:val="33"/>
              <w:rPr>
                <w:rFonts w:ascii="Times New Roman"/>
                <w:sz w:val="20"/>
              </w:rPr>
            </w:pPr>
          </w:p>
        </w:tc>
        <w:tc>
          <w:tcPr>
            <w:tcW w:w="1307" w:type="dxa"/>
          </w:tcPr>
          <w:p>
            <w:pPr>
              <w:pStyle w:val="33"/>
              <w:rPr>
                <w:rFonts w:ascii="Times New Roman"/>
                <w:sz w:val="20"/>
              </w:rPr>
            </w:pPr>
          </w:p>
        </w:tc>
        <w:tc>
          <w:tcPr>
            <w:tcW w:w="1946"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934" w:type="dxa"/>
          </w:tcPr>
          <w:p>
            <w:pPr>
              <w:pStyle w:val="33"/>
              <w:rPr>
                <w:rFonts w:ascii="Times New Roman"/>
                <w:sz w:val="20"/>
              </w:rPr>
            </w:pPr>
          </w:p>
        </w:tc>
        <w:tc>
          <w:tcPr>
            <w:tcW w:w="927" w:type="dxa"/>
          </w:tcPr>
          <w:p>
            <w:pPr>
              <w:pStyle w:val="33"/>
              <w:rPr>
                <w:rFonts w:ascii="Times New Roman"/>
                <w:sz w:val="20"/>
              </w:rPr>
            </w:pPr>
          </w:p>
        </w:tc>
        <w:tc>
          <w:tcPr>
            <w:tcW w:w="2682" w:type="dxa"/>
          </w:tcPr>
          <w:p>
            <w:pPr>
              <w:pStyle w:val="33"/>
              <w:rPr>
                <w:rFonts w:ascii="Times New Roman"/>
                <w:sz w:val="20"/>
              </w:rPr>
            </w:pPr>
          </w:p>
        </w:tc>
        <w:tc>
          <w:tcPr>
            <w:tcW w:w="1103" w:type="dxa"/>
          </w:tcPr>
          <w:p>
            <w:pPr>
              <w:pStyle w:val="33"/>
              <w:rPr>
                <w:rFonts w:ascii="Times New Roman"/>
                <w:sz w:val="20"/>
              </w:rPr>
            </w:pPr>
          </w:p>
        </w:tc>
        <w:tc>
          <w:tcPr>
            <w:tcW w:w="1307" w:type="dxa"/>
          </w:tcPr>
          <w:p>
            <w:pPr>
              <w:pStyle w:val="33"/>
              <w:rPr>
                <w:rFonts w:ascii="Times New Roman"/>
                <w:sz w:val="20"/>
              </w:rPr>
            </w:pPr>
          </w:p>
        </w:tc>
        <w:tc>
          <w:tcPr>
            <w:tcW w:w="1946"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934" w:type="dxa"/>
          </w:tcPr>
          <w:p>
            <w:pPr>
              <w:pStyle w:val="33"/>
              <w:rPr>
                <w:rFonts w:ascii="Times New Roman"/>
                <w:sz w:val="20"/>
              </w:rPr>
            </w:pPr>
          </w:p>
        </w:tc>
        <w:tc>
          <w:tcPr>
            <w:tcW w:w="927" w:type="dxa"/>
          </w:tcPr>
          <w:p>
            <w:pPr>
              <w:pStyle w:val="33"/>
              <w:rPr>
                <w:rFonts w:ascii="Times New Roman"/>
                <w:sz w:val="20"/>
              </w:rPr>
            </w:pPr>
          </w:p>
        </w:tc>
        <w:tc>
          <w:tcPr>
            <w:tcW w:w="2682" w:type="dxa"/>
          </w:tcPr>
          <w:p>
            <w:pPr>
              <w:pStyle w:val="33"/>
              <w:rPr>
                <w:rFonts w:ascii="Times New Roman"/>
                <w:sz w:val="20"/>
              </w:rPr>
            </w:pPr>
          </w:p>
        </w:tc>
        <w:tc>
          <w:tcPr>
            <w:tcW w:w="1103" w:type="dxa"/>
          </w:tcPr>
          <w:p>
            <w:pPr>
              <w:pStyle w:val="33"/>
              <w:rPr>
                <w:rFonts w:ascii="Times New Roman"/>
                <w:sz w:val="20"/>
              </w:rPr>
            </w:pPr>
          </w:p>
        </w:tc>
        <w:tc>
          <w:tcPr>
            <w:tcW w:w="1307" w:type="dxa"/>
          </w:tcPr>
          <w:p>
            <w:pPr>
              <w:pStyle w:val="33"/>
              <w:rPr>
                <w:rFonts w:ascii="Times New Roman"/>
                <w:sz w:val="20"/>
              </w:rPr>
            </w:pPr>
          </w:p>
        </w:tc>
        <w:tc>
          <w:tcPr>
            <w:tcW w:w="1946"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934" w:type="dxa"/>
          </w:tcPr>
          <w:p>
            <w:pPr>
              <w:pStyle w:val="33"/>
              <w:rPr>
                <w:rFonts w:ascii="Times New Roman"/>
                <w:sz w:val="20"/>
              </w:rPr>
            </w:pPr>
          </w:p>
        </w:tc>
        <w:tc>
          <w:tcPr>
            <w:tcW w:w="927" w:type="dxa"/>
          </w:tcPr>
          <w:p>
            <w:pPr>
              <w:pStyle w:val="33"/>
              <w:rPr>
                <w:rFonts w:ascii="Times New Roman"/>
                <w:sz w:val="20"/>
              </w:rPr>
            </w:pPr>
          </w:p>
        </w:tc>
        <w:tc>
          <w:tcPr>
            <w:tcW w:w="2682" w:type="dxa"/>
          </w:tcPr>
          <w:p>
            <w:pPr>
              <w:pStyle w:val="33"/>
              <w:rPr>
                <w:rFonts w:ascii="Times New Roman"/>
                <w:sz w:val="20"/>
              </w:rPr>
            </w:pPr>
          </w:p>
        </w:tc>
        <w:tc>
          <w:tcPr>
            <w:tcW w:w="1103" w:type="dxa"/>
          </w:tcPr>
          <w:p>
            <w:pPr>
              <w:pStyle w:val="33"/>
              <w:rPr>
                <w:rFonts w:ascii="Times New Roman"/>
                <w:sz w:val="20"/>
              </w:rPr>
            </w:pPr>
          </w:p>
        </w:tc>
        <w:tc>
          <w:tcPr>
            <w:tcW w:w="1307" w:type="dxa"/>
          </w:tcPr>
          <w:p>
            <w:pPr>
              <w:pStyle w:val="33"/>
              <w:rPr>
                <w:rFonts w:ascii="Times New Roman"/>
                <w:sz w:val="20"/>
              </w:rPr>
            </w:pPr>
          </w:p>
        </w:tc>
        <w:tc>
          <w:tcPr>
            <w:tcW w:w="1946"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934" w:type="dxa"/>
          </w:tcPr>
          <w:p>
            <w:pPr>
              <w:pStyle w:val="33"/>
              <w:rPr>
                <w:rFonts w:ascii="Times New Roman"/>
                <w:sz w:val="20"/>
              </w:rPr>
            </w:pPr>
          </w:p>
        </w:tc>
        <w:tc>
          <w:tcPr>
            <w:tcW w:w="927" w:type="dxa"/>
          </w:tcPr>
          <w:p>
            <w:pPr>
              <w:pStyle w:val="33"/>
              <w:rPr>
                <w:rFonts w:ascii="Times New Roman"/>
                <w:sz w:val="20"/>
              </w:rPr>
            </w:pPr>
          </w:p>
        </w:tc>
        <w:tc>
          <w:tcPr>
            <w:tcW w:w="2682" w:type="dxa"/>
          </w:tcPr>
          <w:p>
            <w:pPr>
              <w:pStyle w:val="33"/>
              <w:rPr>
                <w:rFonts w:ascii="Times New Roman"/>
                <w:sz w:val="20"/>
              </w:rPr>
            </w:pPr>
          </w:p>
        </w:tc>
        <w:tc>
          <w:tcPr>
            <w:tcW w:w="1103" w:type="dxa"/>
          </w:tcPr>
          <w:p>
            <w:pPr>
              <w:pStyle w:val="33"/>
              <w:rPr>
                <w:rFonts w:ascii="Times New Roman"/>
                <w:sz w:val="20"/>
              </w:rPr>
            </w:pPr>
          </w:p>
        </w:tc>
        <w:tc>
          <w:tcPr>
            <w:tcW w:w="1307" w:type="dxa"/>
          </w:tcPr>
          <w:p>
            <w:pPr>
              <w:pStyle w:val="33"/>
              <w:rPr>
                <w:rFonts w:ascii="Times New Roman"/>
                <w:sz w:val="20"/>
              </w:rPr>
            </w:pPr>
          </w:p>
        </w:tc>
        <w:tc>
          <w:tcPr>
            <w:tcW w:w="1946"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934" w:type="dxa"/>
          </w:tcPr>
          <w:p>
            <w:pPr>
              <w:pStyle w:val="33"/>
              <w:rPr>
                <w:rFonts w:ascii="Times New Roman"/>
                <w:sz w:val="20"/>
              </w:rPr>
            </w:pPr>
          </w:p>
        </w:tc>
        <w:tc>
          <w:tcPr>
            <w:tcW w:w="927" w:type="dxa"/>
          </w:tcPr>
          <w:p>
            <w:pPr>
              <w:pStyle w:val="33"/>
              <w:rPr>
                <w:rFonts w:ascii="Times New Roman"/>
                <w:sz w:val="20"/>
              </w:rPr>
            </w:pPr>
          </w:p>
        </w:tc>
        <w:tc>
          <w:tcPr>
            <w:tcW w:w="2682" w:type="dxa"/>
          </w:tcPr>
          <w:p>
            <w:pPr>
              <w:pStyle w:val="33"/>
              <w:rPr>
                <w:rFonts w:ascii="Times New Roman"/>
                <w:sz w:val="20"/>
              </w:rPr>
            </w:pPr>
          </w:p>
        </w:tc>
        <w:tc>
          <w:tcPr>
            <w:tcW w:w="1103" w:type="dxa"/>
          </w:tcPr>
          <w:p>
            <w:pPr>
              <w:pStyle w:val="33"/>
              <w:rPr>
                <w:rFonts w:ascii="Times New Roman"/>
                <w:sz w:val="20"/>
              </w:rPr>
            </w:pPr>
          </w:p>
        </w:tc>
        <w:tc>
          <w:tcPr>
            <w:tcW w:w="1307" w:type="dxa"/>
          </w:tcPr>
          <w:p>
            <w:pPr>
              <w:pStyle w:val="33"/>
              <w:rPr>
                <w:rFonts w:ascii="Times New Roman"/>
                <w:sz w:val="20"/>
              </w:rPr>
            </w:pPr>
          </w:p>
        </w:tc>
        <w:tc>
          <w:tcPr>
            <w:tcW w:w="1946"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934" w:type="dxa"/>
          </w:tcPr>
          <w:p>
            <w:pPr>
              <w:pStyle w:val="33"/>
              <w:rPr>
                <w:rFonts w:ascii="Times New Roman"/>
                <w:sz w:val="20"/>
              </w:rPr>
            </w:pPr>
          </w:p>
        </w:tc>
        <w:tc>
          <w:tcPr>
            <w:tcW w:w="927" w:type="dxa"/>
          </w:tcPr>
          <w:p>
            <w:pPr>
              <w:pStyle w:val="33"/>
              <w:rPr>
                <w:rFonts w:ascii="Times New Roman"/>
                <w:sz w:val="20"/>
              </w:rPr>
            </w:pPr>
          </w:p>
        </w:tc>
        <w:tc>
          <w:tcPr>
            <w:tcW w:w="2682" w:type="dxa"/>
          </w:tcPr>
          <w:p>
            <w:pPr>
              <w:pStyle w:val="33"/>
              <w:rPr>
                <w:rFonts w:ascii="Times New Roman"/>
                <w:sz w:val="20"/>
              </w:rPr>
            </w:pPr>
          </w:p>
        </w:tc>
        <w:tc>
          <w:tcPr>
            <w:tcW w:w="1103" w:type="dxa"/>
          </w:tcPr>
          <w:p>
            <w:pPr>
              <w:pStyle w:val="33"/>
              <w:rPr>
                <w:rFonts w:ascii="Times New Roman"/>
                <w:sz w:val="20"/>
              </w:rPr>
            </w:pPr>
          </w:p>
        </w:tc>
        <w:tc>
          <w:tcPr>
            <w:tcW w:w="1307" w:type="dxa"/>
          </w:tcPr>
          <w:p>
            <w:pPr>
              <w:pStyle w:val="33"/>
              <w:rPr>
                <w:rFonts w:ascii="Times New Roman"/>
                <w:sz w:val="20"/>
              </w:rPr>
            </w:pPr>
          </w:p>
        </w:tc>
        <w:tc>
          <w:tcPr>
            <w:tcW w:w="1946" w:type="dxa"/>
          </w:tcPr>
          <w:p>
            <w:pPr>
              <w:pStyle w:val="33"/>
              <w:rPr>
                <w:rFonts w:ascii="Times New Roman"/>
                <w:sz w:val="20"/>
              </w:rPr>
            </w:pPr>
          </w:p>
        </w:tc>
      </w:tr>
    </w:tbl>
    <w:p>
      <w:pPr>
        <w:spacing w:before="128"/>
        <w:ind w:left="264"/>
        <w:jc w:val="left"/>
      </w:pPr>
      <w:r>
        <w:t>注：本表填报的人员应满足</w:t>
      </w:r>
      <w:r>
        <w:rPr>
          <w:rFonts w:hint="eastAsia"/>
          <w:lang w:eastAsia="zh-CN"/>
        </w:rPr>
        <w:t>交易文件</w:t>
      </w:r>
      <w:r>
        <w:t>第二章“</w:t>
      </w:r>
      <w:r>
        <w:rPr>
          <w:rFonts w:hint="eastAsia"/>
          <w:lang w:eastAsia="zh-CN"/>
        </w:rPr>
        <w:t>交易须知</w:t>
      </w:r>
      <w:r>
        <w:t xml:space="preserve">”前附表附录 </w:t>
      </w:r>
      <w:r>
        <w:rPr>
          <w:rFonts w:eastAsia="Times New Roman"/>
        </w:rPr>
        <w:t xml:space="preserve">6 </w:t>
      </w:r>
      <w:r>
        <w:t>的要求。</w:t>
      </w:r>
    </w:p>
    <w:p>
      <w:pPr>
        <w:jc w:val="left"/>
        <w:sectPr>
          <w:footerReference r:id="rId17" w:type="default"/>
          <w:footerReference r:id="rId18" w:type="even"/>
          <w:pgSz w:w="11911" w:h="16849"/>
          <w:pgMar w:top="1480" w:right="1202" w:bottom="1480" w:left="1219" w:header="879" w:footer="850" w:gutter="0"/>
          <w:pgBorders>
            <w:top w:val="none" w:sz="0" w:space="0"/>
            <w:left w:val="none" w:sz="0" w:space="0"/>
            <w:bottom w:val="none" w:sz="0" w:space="0"/>
            <w:right w:val="none" w:sz="0" w:space="0"/>
          </w:pgBorders>
          <w:cols w:space="425" w:num="1"/>
        </w:sectPr>
      </w:pPr>
    </w:p>
    <w:p>
      <w:pPr>
        <w:pStyle w:val="10"/>
        <w:rPr>
          <w:sz w:val="20"/>
        </w:rPr>
      </w:pPr>
    </w:p>
    <w:p>
      <w:pPr>
        <w:pStyle w:val="10"/>
        <w:spacing w:before="6"/>
        <w:rPr>
          <w:sz w:val="19"/>
        </w:rPr>
      </w:pPr>
    </w:p>
    <w:p>
      <w:pPr>
        <w:pStyle w:val="10"/>
        <w:ind w:left="2261"/>
        <w:rPr>
          <w:rFonts w:ascii="黑体"/>
          <w:sz w:val="11"/>
        </w:rPr>
      </w:pPr>
      <w:bookmarkStart w:id="222" w:name="_bookmark318"/>
      <w:bookmarkEnd w:id="222"/>
      <w:r>
        <w:rPr>
          <w:rFonts w:hint="eastAsia" w:ascii="黑体" w:hAnsi="黑体" w:eastAsia="黑体"/>
        </w:rPr>
        <w:t>（八）拟委任的其他管理和技术人员资历表</w:t>
      </w:r>
    </w:p>
    <w:tbl>
      <w:tblPr>
        <w:tblStyle w:val="16"/>
        <w:tblW w:w="8737" w:type="dxa"/>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1377"/>
        <w:gridCol w:w="103"/>
        <w:gridCol w:w="1061"/>
        <w:gridCol w:w="1381"/>
        <w:gridCol w:w="339"/>
        <w:gridCol w:w="1544"/>
        <w:gridCol w:w="388"/>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33"/>
              <w:spacing w:before="6"/>
              <w:rPr>
                <w:rFonts w:ascii="黑体"/>
                <w:sz w:val="14"/>
              </w:rPr>
            </w:pPr>
          </w:p>
          <w:p>
            <w:pPr>
              <w:pStyle w:val="33"/>
              <w:tabs>
                <w:tab w:val="left" w:pos="631"/>
              </w:tabs>
              <w:ind w:right="13"/>
              <w:jc w:val="center"/>
            </w:pPr>
            <w:r>
              <w:t>姓</w:t>
            </w:r>
            <w:r>
              <w:tab/>
            </w:r>
            <w:r>
              <w:t>名</w:t>
            </w:r>
          </w:p>
        </w:tc>
        <w:tc>
          <w:tcPr>
            <w:tcW w:w="1480" w:type="dxa"/>
            <w:gridSpan w:val="2"/>
          </w:tcPr>
          <w:p>
            <w:pPr>
              <w:pStyle w:val="33"/>
              <w:rPr>
                <w:rFonts w:ascii="Times New Roman"/>
                <w:sz w:val="20"/>
              </w:rPr>
            </w:pPr>
          </w:p>
        </w:tc>
        <w:tc>
          <w:tcPr>
            <w:tcW w:w="1061" w:type="dxa"/>
          </w:tcPr>
          <w:p>
            <w:pPr>
              <w:pStyle w:val="33"/>
              <w:spacing w:before="6"/>
              <w:rPr>
                <w:rFonts w:ascii="黑体"/>
                <w:sz w:val="14"/>
              </w:rPr>
            </w:pPr>
          </w:p>
          <w:p>
            <w:pPr>
              <w:pStyle w:val="33"/>
              <w:tabs>
                <w:tab w:val="left" w:pos="643"/>
              </w:tabs>
              <w:ind w:left="12"/>
              <w:jc w:val="center"/>
            </w:pPr>
            <w:r>
              <w:t>年</w:t>
            </w:r>
            <w:r>
              <w:tab/>
            </w:r>
            <w:r>
              <w:t>龄</w:t>
            </w:r>
          </w:p>
        </w:tc>
        <w:tc>
          <w:tcPr>
            <w:tcW w:w="1381" w:type="dxa"/>
          </w:tcPr>
          <w:p>
            <w:pPr>
              <w:pStyle w:val="33"/>
              <w:rPr>
                <w:rFonts w:ascii="Times New Roman"/>
                <w:sz w:val="20"/>
              </w:rPr>
            </w:pPr>
          </w:p>
        </w:tc>
        <w:tc>
          <w:tcPr>
            <w:tcW w:w="1883" w:type="dxa"/>
            <w:gridSpan w:val="2"/>
          </w:tcPr>
          <w:p>
            <w:pPr>
              <w:pStyle w:val="33"/>
              <w:spacing w:before="6"/>
              <w:rPr>
                <w:rFonts w:ascii="黑体"/>
                <w:sz w:val="14"/>
              </w:rPr>
            </w:pPr>
          </w:p>
          <w:p>
            <w:pPr>
              <w:pStyle w:val="33"/>
              <w:tabs>
                <w:tab w:val="left" w:pos="1151"/>
              </w:tabs>
              <w:ind w:left="520"/>
            </w:pPr>
            <w:r>
              <w:t>专</w:t>
            </w:r>
            <w:r>
              <w:tab/>
            </w:r>
            <w:r>
              <w:t>业</w:t>
            </w:r>
          </w:p>
        </w:tc>
        <w:tc>
          <w:tcPr>
            <w:tcW w:w="1671" w:type="dxa"/>
            <w:gridSpan w:val="2"/>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1261" w:type="dxa"/>
          </w:tcPr>
          <w:p>
            <w:pPr>
              <w:pStyle w:val="33"/>
              <w:rPr>
                <w:rFonts w:ascii="黑体"/>
                <w:sz w:val="20"/>
              </w:rPr>
            </w:pPr>
          </w:p>
          <w:p>
            <w:pPr>
              <w:pStyle w:val="33"/>
              <w:spacing w:before="160"/>
              <w:ind w:right="15"/>
              <w:jc w:val="center"/>
            </w:pPr>
            <w:r>
              <w:t>技术职称</w:t>
            </w:r>
          </w:p>
        </w:tc>
        <w:tc>
          <w:tcPr>
            <w:tcW w:w="1480" w:type="dxa"/>
            <w:gridSpan w:val="2"/>
          </w:tcPr>
          <w:p>
            <w:pPr>
              <w:pStyle w:val="33"/>
              <w:rPr>
                <w:rFonts w:ascii="Times New Roman"/>
                <w:sz w:val="20"/>
              </w:rPr>
            </w:pPr>
          </w:p>
        </w:tc>
        <w:tc>
          <w:tcPr>
            <w:tcW w:w="1061" w:type="dxa"/>
          </w:tcPr>
          <w:p>
            <w:pPr>
              <w:pStyle w:val="33"/>
              <w:rPr>
                <w:rFonts w:ascii="黑体"/>
                <w:sz w:val="20"/>
              </w:rPr>
            </w:pPr>
          </w:p>
          <w:p>
            <w:pPr>
              <w:pStyle w:val="33"/>
              <w:tabs>
                <w:tab w:val="left" w:pos="643"/>
              </w:tabs>
              <w:spacing w:before="160"/>
              <w:ind w:left="12"/>
              <w:jc w:val="center"/>
            </w:pPr>
            <w:r>
              <w:t>学</w:t>
            </w:r>
            <w:r>
              <w:tab/>
            </w:r>
            <w:r>
              <w:t>历</w:t>
            </w:r>
          </w:p>
        </w:tc>
        <w:tc>
          <w:tcPr>
            <w:tcW w:w="1381" w:type="dxa"/>
          </w:tcPr>
          <w:p>
            <w:pPr>
              <w:pStyle w:val="33"/>
              <w:rPr>
                <w:rFonts w:ascii="Times New Roman"/>
                <w:sz w:val="20"/>
              </w:rPr>
            </w:pPr>
          </w:p>
        </w:tc>
        <w:tc>
          <w:tcPr>
            <w:tcW w:w="1883" w:type="dxa"/>
            <w:gridSpan w:val="2"/>
          </w:tcPr>
          <w:p>
            <w:pPr>
              <w:pStyle w:val="33"/>
              <w:spacing w:before="28" w:line="460" w:lineRule="exact"/>
              <w:ind w:left="520" w:right="402" w:hanging="106"/>
            </w:pPr>
            <w:r>
              <w:t>拟在本标段工程任职</w:t>
            </w:r>
          </w:p>
        </w:tc>
        <w:tc>
          <w:tcPr>
            <w:tcW w:w="1671" w:type="dxa"/>
            <w:gridSpan w:val="2"/>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261" w:type="dxa"/>
          </w:tcPr>
          <w:p>
            <w:pPr>
              <w:pStyle w:val="33"/>
              <w:spacing w:before="7"/>
              <w:rPr>
                <w:rFonts w:ascii="黑体"/>
                <w:sz w:val="14"/>
              </w:rPr>
            </w:pPr>
          </w:p>
          <w:p>
            <w:pPr>
              <w:pStyle w:val="33"/>
              <w:ind w:right="15"/>
              <w:jc w:val="center"/>
            </w:pPr>
            <w:r>
              <w:t>工作年限</w:t>
            </w:r>
          </w:p>
        </w:tc>
        <w:tc>
          <w:tcPr>
            <w:tcW w:w="3922" w:type="dxa"/>
            <w:gridSpan w:val="4"/>
          </w:tcPr>
          <w:p>
            <w:pPr>
              <w:pStyle w:val="33"/>
              <w:rPr>
                <w:rFonts w:ascii="Times New Roman"/>
                <w:sz w:val="20"/>
              </w:rPr>
            </w:pPr>
          </w:p>
        </w:tc>
        <w:tc>
          <w:tcPr>
            <w:tcW w:w="1883" w:type="dxa"/>
            <w:gridSpan w:val="2"/>
          </w:tcPr>
          <w:p>
            <w:pPr>
              <w:pStyle w:val="33"/>
              <w:spacing w:before="7"/>
              <w:rPr>
                <w:rFonts w:ascii="黑体"/>
                <w:sz w:val="14"/>
              </w:rPr>
            </w:pPr>
          </w:p>
          <w:p>
            <w:pPr>
              <w:pStyle w:val="33"/>
              <w:ind w:left="100"/>
            </w:pPr>
            <w:r>
              <w:t>类似施工经验年限</w:t>
            </w:r>
          </w:p>
        </w:tc>
        <w:tc>
          <w:tcPr>
            <w:tcW w:w="1671" w:type="dxa"/>
            <w:gridSpan w:val="2"/>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33"/>
              <w:spacing w:before="8"/>
              <w:rPr>
                <w:rFonts w:ascii="黑体"/>
                <w:sz w:val="14"/>
              </w:rPr>
            </w:pPr>
          </w:p>
          <w:p>
            <w:pPr>
              <w:pStyle w:val="33"/>
              <w:spacing w:before="1"/>
              <w:ind w:right="13"/>
              <w:jc w:val="center"/>
            </w:pPr>
            <w:r>
              <w:t>毕业学校</w:t>
            </w:r>
          </w:p>
        </w:tc>
        <w:tc>
          <w:tcPr>
            <w:tcW w:w="7476" w:type="dxa"/>
            <w:gridSpan w:val="8"/>
          </w:tcPr>
          <w:p>
            <w:pPr>
              <w:pStyle w:val="33"/>
              <w:tabs>
                <w:tab w:val="left" w:pos="531"/>
                <w:tab w:val="left" w:pos="1057"/>
                <w:tab w:val="left" w:pos="3892"/>
                <w:tab w:val="left" w:pos="5466"/>
                <w:tab w:val="left" w:pos="7145"/>
              </w:tabs>
              <w:spacing w:before="188"/>
              <w:ind w:left="5"/>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rPr>
                <w:spacing w:val="-3"/>
              </w:rPr>
              <w:t>月</w:t>
            </w:r>
            <w:r>
              <w:t>毕</w:t>
            </w:r>
            <w:r>
              <w:rPr>
                <w:spacing w:val="-3"/>
              </w:rPr>
              <w:t>业</w:t>
            </w:r>
            <w:r>
              <w:t>于</w:t>
            </w:r>
            <w:r>
              <w:rPr>
                <w:u w:val="single"/>
              </w:rPr>
              <w:t xml:space="preserve"> </w:t>
            </w:r>
            <w:r>
              <w:rPr>
                <w:u w:val="single"/>
              </w:rPr>
              <w:tab/>
            </w:r>
            <w:r>
              <w:rPr>
                <w:spacing w:val="-3"/>
              </w:rPr>
              <w:t>学</w:t>
            </w:r>
            <w:r>
              <w:t>校</w:t>
            </w:r>
            <w:r>
              <w:rPr>
                <w:u w:val="single"/>
              </w:rPr>
              <w:t xml:space="preserve"> </w:t>
            </w:r>
            <w:r>
              <w:rPr>
                <w:u w:val="single"/>
              </w:rPr>
              <w:tab/>
            </w:r>
            <w:r>
              <w:rPr>
                <w:spacing w:val="-3"/>
              </w:rPr>
              <w:t>专</w:t>
            </w:r>
            <w:r>
              <w:t>业</w:t>
            </w:r>
            <w:r>
              <w:rPr>
                <w:spacing w:val="-3"/>
              </w:rPr>
              <w:t>，</w:t>
            </w:r>
            <w:r>
              <w:t>学制</w:t>
            </w:r>
            <w:r>
              <w:rPr>
                <w:u w:val="single"/>
              </w:rPr>
              <w:t xml:space="preserve"> </w:t>
            </w:r>
            <w:r>
              <w:rPr>
                <w:u w:val="single"/>
              </w:rPr>
              <w:tab/>
            </w:r>
            <w: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737" w:type="dxa"/>
            <w:gridSpan w:val="9"/>
          </w:tcPr>
          <w:p>
            <w:pPr>
              <w:pStyle w:val="33"/>
              <w:spacing w:before="6"/>
              <w:rPr>
                <w:rFonts w:ascii="黑体"/>
                <w:sz w:val="14"/>
              </w:rPr>
            </w:pPr>
          </w:p>
          <w:p>
            <w:pPr>
              <w:pStyle w:val="33"/>
              <w:tabs>
                <w:tab w:val="left" w:pos="1167"/>
              </w:tabs>
              <w:ind w:left="10"/>
              <w:jc w:val="center"/>
            </w:pPr>
            <w:r>
              <w:t>经</w:t>
            </w:r>
            <w:r>
              <w:tab/>
            </w:r>
            <w: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1261" w:type="dxa"/>
          </w:tcPr>
          <w:p>
            <w:pPr>
              <w:pStyle w:val="33"/>
              <w:rPr>
                <w:rFonts w:ascii="黑体"/>
                <w:sz w:val="20"/>
              </w:rPr>
            </w:pPr>
          </w:p>
          <w:p>
            <w:pPr>
              <w:pStyle w:val="33"/>
              <w:tabs>
                <w:tab w:val="left" w:pos="457"/>
              </w:tabs>
              <w:spacing w:before="131"/>
              <w:ind w:left="34"/>
              <w:jc w:val="center"/>
            </w:pPr>
            <w:r>
              <w:t>时</w:t>
            </w:r>
            <w:r>
              <w:tab/>
            </w:r>
            <w:r>
              <w:t>间</w:t>
            </w:r>
          </w:p>
        </w:tc>
        <w:tc>
          <w:tcPr>
            <w:tcW w:w="4261" w:type="dxa"/>
            <w:gridSpan w:val="5"/>
          </w:tcPr>
          <w:p>
            <w:pPr>
              <w:pStyle w:val="33"/>
              <w:rPr>
                <w:rFonts w:ascii="黑体"/>
                <w:sz w:val="20"/>
              </w:rPr>
            </w:pPr>
          </w:p>
          <w:p>
            <w:pPr>
              <w:pStyle w:val="33"/>
              <w:spacing w:before="131"/>
              <w:ind w:left="877"/>
            </w:pPr>
            <w:r>
              <w:t>参加过的类似工程项目名称</w:t>
            </w:r>
          </w:p>
        </w:tc>
        <w:tc>
          <w:tcPr>
            <w:tcW w:w="1932" w:type="dxa"/>
            <w:gridSpan w:val="2"/>
          </w:tcPr>
          <w:p>
            <w:pPr>
              <w:pStyle w:val="33"/>
              <w:rPr>
                <w:rFonts w:ascii="黑体"/>
                <w:sz w:val="20"/>
              </w:rPr>
            </w:pPr>
          </w:p>
          <w:p>
            <w:pPr>
              <w:pStyle w:val="33"/>
              <w:spacing w:before="131"/>
              <w:ind w:left="541"/>
            </w:pPr>
            <w:r>
              <w:t>担任职务</w:t>
            </w:r>
          </w:p>
        </w:tc>
        <w:tc>
          <w:tcPr>
            <w:tcW w:w="1283" w:type="dxa"/>
          </w:tcPr>
          <w:p>
            <w:pPr>
              <w:pStyle w:val="33"/>
              <w:spacing w:before="55" w:line="400" w:lineRule="atLeast"/>
              <w:ind w:left="320" w:right="107" w:hanging="212"/>
            </w:pPr>
            <w: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61" w:type="dxa"/>
          </w:tcPr>
          <w:p>
            <w:pPr>
              <w:pStyle w:val="33"/>
              <w:rPr>
                <w:rFonts w:ascii="Times New Roman"/>
                <w:sz w:val="20"/>
              </w:rPr>
            </w:pPr>
          </w:p>
        </w:tc>
        <w:tc>
          <w:tcPr>
            <w:tcW w:w="4261" w:type="dxa"/>
            <w:gridSpan w:val="5"/>
          </w:tcPr>
          <w:p>
            <w:pPr>
              <w:pStyle w:val="33"/>
              <w:rPr>
                <w:rFonts w:ascii="Times New Roman"/>
                <w:sz w:val="20"/>
              </w:rPr>
            </w:pPr>
          </w:p>
        </w:tc>
        <w:tc>
          <w:tcPr>
            <w:tcW w:w="1932" w:type="dxa"/>
            <w:gridSpan w:val="2"/>
          </w:tcPr>
          <w:p>
            <w:pPr>
              <w:pStyle w:val="33"/>
              <w:rPr>
                <w:rFonts w:ascii="Times New Roman"/>
                <w:sz w:val="20"/>
              </w:rPr>
            </w:pPr>
          </w:p>
        </w:tc>
        <w:tc>
          <w:tcPr>
            <w:tcW w:w="1283"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33"/>
              <w:rPr>
                <w:rFonts w:ascii="Times New Roman"/>
                <w:sz w:val="20"/>
              </w:rPr>
            </w:pPr>
          </w:p>
        </w:tc>
        <w:tc>
          <w:tcPr>
            <w:tcW w:w="4261" w:type="dxa"/>
            <w:gridSpan w:val="5"/>
          </w:tcPr>
          <w:p>
            <w:pPr>
              <w:pStyle w:val="33"/>
              <w:rPr>
                <w:rFonts w:ascii="Times New Roman"/>
                <w:sz w:val="20"/>
              </w:rPr>
            </w:pPr>
          </w:p>
        </w:tc>
        <w:tc>
          <w:tcPr>
            <w:tcW w:w="1932" w:type="dxa"/>
            <w:gridSpan w:val="2"/>
          </w:tcPr>
          <w:p>
            <w:pPr>
              <w:pStyle w:val="33"/>
              <w:rPr>
                <w:rFonts w:ascii="Times New Roman"/>
                <w:sz w:val="20"/>
              </w:rPr>
            </w:pPr>
          </w:p>
        </w:tc>
        <w:tc>
          <w:tcPr>
            <w:tcW w:w="1283"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33"/>
              <w:rPr>
                <w:rFonts w:ascii="Times New Roman"/>
                <w:sz w:val="20"/>
              </w:rPr>
            </w:pPr>
          </w:p>
        </w:tc>
        <w:tc>
          <w:tcPr>
            <w:tcW w:w="4261" w:type="dxa"/>
            <w:gridSpan w:val="5"/>
          </w:tcPr>
          <w:p>
            <w:pPr>
              <w:pStyle w:val="33"/>
              <w:rPr>
                <w:rFonts w:ascii="Times New Roman"/>
                <w:sz w:val="20"/>
              </w:rPr>
            </w:pPr>
          </w:p>
        </w:tc>
        <w:tc>
          <w:tcPr>
            <w:tcW w:w="1932" w:type="dxa"/>
            <w:gridSpan w:val="2"/>
          </w:tcPr>
          <w:p>
            <w:pPr>
              <w:pStyle w:val="33"/>
              <w:rPr>
                <w:rFonts w:ascii="Times New Roman"/>
                <w:sz w:val="20"/>
              </w:rPr>
            </w:pPr>
          </w:p>
        </w:tc>
        <w:tc>
          <w:tcPr>
            <w:tcW w:w="1283"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33"/>
              <w:rPr>
                <w:rFonts w:ascii="Times New Roman"/>
                <w:sz w:val="20"/>
              </w:rPr>
            </w:pPr>
          </w:p>
        </w:tc>
        <w:tc>
          <w:tcPr>
            <w:tcW w:w="4261" w:type="dxa"/>
            <w:gridSpan w:val="5"/>
          </w:tcPr>
          <w:p>
            <w:pPr>
              <w:pStyle w:val="33"/>
              <w:rPr>
                <w:rFonts w:ascii="Times New Roman"/>
                <w:sz w:val="20"/>
              </w:rPr>
            </w:pPr>
          </w:p>
        </w:tc>
        <w:tc>
          <w:tcPr>
            <w:tcW w:w="1932" w:type="dxa"/>
            <w:gridSpan w:val="2"/>
          </w:tcPr>
          <w:p>
            <w:pPr>
              <w:pStyle w:val="33"/>
              <w:rPr>
                <w:rFonts w:ascii="Times New Roman"/>
                <w:sz w:val="20"/>
              </w:rPr>
            </w:pPr>
          </w:p>
        </w:tc>
        <w:tc>
          <w:tcPr>
            <w:tcW w:w="1283"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61" w:type="dxa"/>
          </w:tcPr>
          <w:p>
            <w:pPr>
              <w:pStyle w:val="33"/>
              <w:rPr>
                <w:rFonts w:ascii="Times New Roman"/>
                <w:sz w:val="20"/>
              </w:rPr>
            </w:pPr>
          </w:p>
        </w:tc>
        <w:tc>
          <w:tcPr>
            <w:tcW w:w="4261" w:type="dxa"/>
            <w:gridSpan w:val="5"/>
          </w:tcPr>
          <w:p>
            <w:pPr>
              <w:pStyle w:val="33"/>
              <w:rPr>
                <w:rFonts w:ascii="Times New Roman"/>
                <w:sz w:val="20"/>
              </w:rPr>
            </w:pPr>
          </w:p>
        </w:tc>
        <w:tc>
          <w:tcPr>
            <w:tcW w:w="1932" w:type="dxa"/>
            <w:gridSpan w:val="2"/>
          </w:tcPr>
          <w:p>
            <w:pPr>
              <w:pStyle w:val="33"/>
              <w:rPr>
                <w:rFonts w:ascii="Times New Roman"/>
                <w:sz w:val="20"/>
              </w:rPr>
            </w:pPr>
          </w:p>
        </w:tc>
        <w:tc>
          <w:tcPr>
            <w:tcW w:w="1283"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638" w:type="dxa"/>
            <w:gridSpan w:val="2"/>
          </w:tcPr>
          <w:p>
            <w:pPr>
              <w:pStyle w:val="33"/>
              <w:spacing w:before="9"/>
              <w:rPr>
                <w:rFonts w:ascii="黑体"/>
                <w:sz w:val="14"/>
              </w:rPr>
            </w:pPr>
          </w:p>
          <w:p>
            <w:pPr>
              <w:pStyle w:val="33"/>
              <w:ind w:left="878" w:right="869"/>
              <w:jc w:val="center"/>
            </w:pPr>
            <w:r>
              <w:t>获奖情况</w:t>
            </w:r>
          </w:p>
        </w:tc>
        <w:tc>
          <w:tcPr>
            <w:tcW w:w="6099" w:type="dxa"/>
            <w:gridSpan w:val="7"/>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2638" w:type="dxa"/>
            <w:gridSpan w:val="2"/>
          </w:tcPr>
          <w:p>
            <w:pPr>
              <w:pStyle w:val="33"/>
              <w:rPr>
                <w:rFonts w:ascii="黑体"/>
                <w:sz w:val="20"/>
              </w:rPr>
            </w:pPr>
          </w:p>
          <w:p>
            <w:pPr>
              <w:pStyle w:val="33"/>
              <w:spacing w:before="7"/>
              <w:rPr>
                <w:rFonts w:ascii="黑体"/>
                <w:sz w:val="19"/>
              </w:rPr>
            </w:pPr>
          </w:p>
          <w:p>
            <w:pPr>
              <w:pStyle w:val="33"/>
              <w:ind w:left="688"/>
            </w:pPr>
            <w:r>
              <w:t>说明在岗情况</w:t>
            </w:r>
          </w:p>
        </w:tc>
        <w:tc>
          <w:tcPr>
            <w:tcW w:w="6099" w:type="dxa"/>
            <w:gridSpan w:val="7"/>
          </w:tcPr>
          <w:p>
            <w:pPr>
              <w:pStyle w:val="33"/>
              <w:tabs>
                <w:tab w:val="left" w:pos="5780"/>
              </w:tabs>
              <w:spacing w:before="90"/>
              <w:ind w:left="107"/>
            </w:pPr>
            <w:r>
              <w:t>□目</w:t>
            </w:r>
            <w:r>
              <w:rPr>
                <w:spacing w:val="-3"/>
              </w:rPr>
              <w:t>前</w:t>
            </w:r>
            <w:r>
              <w:t>未</w:t>
            </w:r>
            <w:r>
              <w:rPr>
                <w:spacing w:val="-3"/>
              </w:rPr>
              <w:t>在</w:t>
            </w:r>
            <w:r>
              <w:t>其</w:t>
            </w:r>
            <w:r>
              <w:rPr>
                <w:spacing w:val="-3"/>
              </w:rPr>
              <w:t>他</w:t>
            </w:r>
            <w:r>
              <w:t>项</w:t>
            </w:r>
            <w:r>
              <w:rPr>
                <w:spacing w:val="-3"/>
              </w:rPr>
              <w:t>目</w:t>
            </w:r>
            <w:r>
              <w:t>上</w:t>
            </w:r>
            <w:r>
              <w:rPr>
                <w:spacing w:val="-3"/>
              </w:rPr>
              <w:t>任</w:t>
            </w:r>
            <w:r>
              <w:t>职，</w:t>
            </w:r>
            <w:r>
              <w:rPr>
                <w:spacing w:val="-3"/>
              </w:rPr>
              <w:t>现</w:t>
            </w:r>
            <w:r>
              <w:t>从</w:t>
            </w:r>
            <w:r>
              <w:rPr>
                <w:spacing w:val="-3"/>
              </w:rPr>
              <w:t>事</w:t>
            </w:r>
            <w:r>
              <w:t>工</w:t>
            </w:r>
            <w:r>
              <w:rPr>
                <w:spacing w:val="-3"/>
              </w:rPr>
              <w:t>作</w:t>
            </w:r>
            <w:r>
              <w:t>为</w:t>
            </w:r>
            <w:r>
              <w:rPr>
                <w:spacing w:val="-3"/>
              </w:rPr>
              <w:t>：</w:t>
            </w:r>
            <w:r>
              <w:rPr>
                <w:spacing w:val="-3"/>
                <w:u w:val="single"/>
              </w:rPr>
              <w:t xml:space="preserve"> </w:t>
            </w:r>
            <w:r>
              <w:rPr>
                <w:spacing w:val="-3"/>
                <w:u w:val="single"/>
              </w:rPr>
              <w:tab/>
            </w:r>
            <w:r>
              <w:t>。</w:t>
            </w:r>
          </w:p>
          <w:p>
            <w:pPr>
              <w:pStyle w:val="33"/>
              <w:tabs>
                <w:tab w:val="left" w:pos="3626"/>
                <w:tab w:val="left" w:pos="5883"/>
              </w:tabs>
              <w:spacing w:before="16" w:line="400" w:lineRule="exact"/>
              <w:ind w:left="107" w:right="-15"/>
            </w:pPr>
            <w:r>
              <w:rPr>
                <w:spacing w:val="7"/>
              </w:rPr>
              <w:t>□目前虽在其他项</w:t>
            </w:r>
            <w:r>
              <w:rPr>
                <w:spacing w:val="4"/>
              </w:rPr>
              <w:t>目</w:t>
            </w:r>
            <w:r>
              <w:rPr>
                <w:spacing w:val="7"/>
              </w:rPr>
              <w:t>上</w:t>
            </w:r>
            <w:r>
              <w:rPr>
                <w:spacing w:val="4"/>
              </w:rPr>
              <w:t>任</w:t>
            </w:r>
            <w:r>
              <w:rPr>
                <w:spacing w:val="6"/>
              </w:rPr>
              <w:t>职，但本项目中标</w:t>
            </w:r>
            <w:r>
              <w:rPr>
                <w:spacing w:val="4"/>
              </w:rPr>
              <w:t>后</w:t>
            </w:r>
            <w:r>
              <w:rPr>
                <w:spacing w:val="6"/>
              </w:rPr>
              <w:t>能</w:t>
            </w:r>
            <w:r>
              <w:rPr>
                <w:spacing w:val="4"/>
              </w:rPr>
              <w:t>够</w:t>
            </w:r>
            <w:r>
              <w:rPr>
                <w:spacing w:val="6"/>
              </w:rPr>
              <w:t>从该项目</w:t>
            </w:r>
            <w:r>
              <w:t>撤离</w:t>
            </w:r>
            <w:r>
              <w:rPr>
                <w:spacing w:val="-82"/>
              </w:rPr>
              <w:t>，</w:t>
            </w:r>
            <w:r>
              <w:t>目前</w:t>
            </w:r>
            <w:r>
              <w:rPr>
                <w:spacing w:val="-3"/>
              </w:rPr>
              <w:t>任</w:t>
            </w:r>
            <w:r>
              <w:t>职</w:t>
            </w:r>
            <w:r>
              <w:rPr>
                <w:spacing w:val="-3"/>
              </w:rPr>
              <w:t>项</w:t>
            </w:r>
            <w:r>
              <w:t>目</w:t>
            </w:r>
            <w:r>
              <w:rPr>
                <w:u w:val="single"/>
              </w:rPr>
              <w:t>：</w:t>
            </w:r>
            <w:r>
              <w:rPr>
                <w:u w:val="single"/>
              </w:rPr>
              <w:tab/>
            </w:r>
            <w:r>
              <w:rPr>
                <w:spacing w:val="-82"/>
              </w:rPr>
              <w:t>，</w:t>
            </w:r>
            <w:r>
              <w:t>担</w:t>
            </w:r>
            <w:r>
              <w:rPr>
                <w:spacing w:val="-3"/>
              </w:rPr>
              <w:t>任</w:t>
            </w:r>
            <w:r>
              <w:t>职</w:t>
            </w:r>
            <w:r>
              <w:rPr>
                <w:spacing w:val="-3"/>
              </w:rPr>
              <w:t>位</w:t>
            </w:r>
            <w:r>
              <w:t>：</w:t>
            </w:r>
            <w:r>
              <w:tab/>
            </w:r>
            <w:r>
              <w:rPr>
                <w:spacing w:val="-1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638" w:type="dxa"/>
            <w:gridSpan w:val="2"/>
          </w:tcPr>
          <w:p>
            <w:pPr>
              <w:pStyle w:val="33"/>
              <w:rPr>
                <w:rFonts w:ascii="黑体"/>
                <w:sz w:val="20"/>
              </w:rPr>
            </w:pPr>
          </w:p>
          <w:p>
            <w:pPr>
              <w:pStyle w:val="33"/>
              <w:spacing w:before="5"/>
              <w:rPr>
                <w:rFonts w:ascii="黑体"/>
                <w:sz w:val="17"/>
              </w:rPr>
            </w:pPr>
          </w:p>
          <w:p>
            <w:pPr>
              <w:pStyle w:val="33"/>
              <w:tabs>
                <w:tab w:val="left" w:pos="1581"/>
              </w:tabs>
              <w:ind w:left="844"/>
            </w:pPr>
            <w:r>
              <w:t>备</w:t>
            </w:r>
            <w:r>
              <w:tab/>
            </w:r>
            <w:r>
              <w:t>注</w:t>
            </w:r>
          </w:p>
        </w:tc>
        <w:tc>
          <w:tcPr>
            <w:tcW w:w="6099" w:type="dxa"/>
            <w:gridSpan w:val="7"/>
          </w:tcPr>
          <w:p>
            <w:pPr>
              <w:pStyle w:val="33"/>
              <w:rPr>
                <w:rFonts w:ascii="Times New Roman"/>
                <w:sz w:val="20"/>
              </w:rPr>
            </w:pPr>
          </w:p>
        </w:tc>
      </w:tr>
    </w:tbl>
    <w:p>
      <w:pPr>
        <w:spacing w:before="128"/>
        <w:ind w:left="264"/>
        <w:jc w:val="left"/>
      </w:pPr>
      <w:r>
        <w:t>注：</w:t>
      </w:r>
      <w:r>
        <w:rPr>
          <w:rFonts w:eastAsia="Times New Roman"/>
        </w:rPr>
        <w:t>1.</w:t>
      </w:r>
      <w:r>
        <w:t>本表人员应与表（七）中所列人员相一致。</w:t>
      </w:r>
    </w:p>
    <w:p>
      <w:pPr>
        <w:spacing w:before="130"/>
        <w:ind w:left="684"/>
        <w:jc w:val="center"/>
        <w:sectPr>
          <w:pgSz w:w="11911" w:h="16849"/>
          <w:pgMar w:top="1480" w:right="1202" w:bottom="1480" w:left="1219" w:header="879" w:footer="850" w:gutter="0"/>
          <w:pgBorders>
            <w:top w:val="none" w:sz="0" w:space="0"/>
            <w:left w:val="none" w:sz="0" w:space="0"/>
            <w:bottom w:val="none" w:sz="0" w:space="0"/>
            <w:right w:val="none" w:sz="0" w:space="0"/>
          </w:pgBorders>
          <w:cols w:space="425" w:num="1"/>
        </w:sectPr>
      </w:pPr>
      <w:r>
        <w:rPr>
          <w:rFonts w:eastAsia="Times New Roman"/>
        </w:rPr>
        <w:t>2.</w:t>
      </w:r>
      <w:r>
        <w:rPr>
          <w:rFonts w:hint="eastAsia"/>
          <w:lang w:eastAsia="zh-CN"/>
        </w:rPr>
        <w:t>交易响应单位</w:t>
      </w:r>
      <w:r>
        <w:t>应根据</w:t>
      </w:r>
      <w:r>
        <w:rPr>
          <w:rFonts w:hint="eastAsia"/>
          <w:lang w:eastAsia="zh-CN"/>
        </w:rPr>
        <w:t>交易文件</w:t>
      </w:r>
      <w:r>
        <w:t>第二章“</w:t>
      </w:r>
      <w:r>
        <w:rPr>
          <w:rFonts w:hint="eastAsia"/>
          <w:lang w:eastAsia="zh-CN"/>
        </w:rPr>
        <w:t>交易须知</w:t>
      </w:r>
      <w:r>
        <w:t xml:space="preserve">”第 </w:t>
      </w:r>
      <w:r>
        <w:rPr>
          <w:rFonts w:eastAsia="Times New Roman"/>
        </w:rPr>
        <w:t xml:space="preserve">3.5.6 </w:t>
      </w:r>
      <w:r>
        <w:t>项的要求在本表后附相关证明材</w:t>
      </w:r>
    </w:p>
    <w:p>
      <w:pPr>
        <w:pStyle w:val="10"/>
        <w:spacing w:before="127"/>
        <w:rPr>
          <w:rFonts w:ascii="黑体"/>
          <w:sz w:val="20"/>
        </w:rPr>
      </w:pPr>
      <w:bookmarkStart w:id="223" w:name="_bookmark319"/>
      <w:bookmarkEnd w:id="223"/>
      <w:r>
        <w:rPr>
          <w:rFonts w:hint="eastAsia" w:ascii="黑体" w:hAnsi="黑体" w:eastAsia="黑体"/>
        </w:rPr>
        <w:t>（九） 拟投入本标段的主要施工机械表</w:t>
      </w:r>
    </w:p>
    <w:p>
      <w:pPr>
        <w:pStyle w:val="10"/>
        <w:spacing w:before="5"/>
        <w:rPr>
          <w:rFonts w:ascii="黑体"/>
          <w:sz w:val="11"/>
        </w:rPr>
      </w:pPr>
    </w:p>
    <w:tbl>
      <w:tblPr>
        <w:tblStyle w:val="16"/>
        <w:tblW w:w="8632" w:type="dxa"/>
        <w:tblInd w:w="2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085"/>
        <w:gridCol w:w="759"/>
        <w:gridCol w:w="670"/>
        <w:gridCol w:w="660"/>
        <w:gridCol w:w="941"/>
        <w:gridCol w:w="648"/>
        <w:gridCol w:w="430"/>
        <w:gridCol w:w="557"/>
        <w:gridCol w:w="559"/>
        <w:gridCol w:w="558"/>
        <w:gridCol w:w="9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4" w:type="dxa"/>
            <w:vMerge w:val="restart"/>
          </w:tcPr>
          <w:p>
            <w:pPr>
              <w:pStyle w:val="33"/>
              <w:rPr>
                <w:rFonts w:ascii="黑体"/>
                <w:sz w:val="20"/>
              </w:rPr>
            </w:pPr>
          </w:p>
          <w:p>
            <w:pPr>
              <w:pStyle w:val="33"/>
              <w:rPr>
                <w:rFonts w:ascii="黑体"/>
                <w:sz w:val="20"/>
              </w:rPr>
            </w:pPr>
          </w:p>
          <w:p>
            <w:pPr>
              <w:pStyle w:val="33"/>
              <w:spacing w:before="175"/>
              <w:ind w:left="196"/>
            </w:pPr>
            <w:r>
              <w:t>序号</w:t>
            </w:r>
          </w:p>
        </w:tc>
        <w:tc>
          <w:tcPr>
            <w:tcW w:w="1085" w:type="dxa"/>
            <w:vMerge w:val="restart"/>
          </w:tcPr>
          <w:p>
            <w:pPr>
              <w:pStyle w:val="33"/>
              <w:rPr>
                <w:rFonts w:ascii="黑体"/>
                <w:sz w:val="20"/>
              </w:rPr>
            </w:pPr>
          </w:p>
          <w:p>
            <w:pPr>
              <w:pStyle w:val="33"/>
              <w:rPr>
                <w:rFonts w:ascii="黑体"/>
                <w:sz w:val="20"/>
              </w:rPr>
            </w:pPr>
          </w:p>
          <w:p>
            <w:pPr>
              <w:pStyle w:val="33"/>
              <w:spacing w:before="175"/>
              <w:ind w:left="121"/>
            </w:pPr>
            <w:r>
              <w:t>设备名称</w:t>
            </w:r>
          </w:p>
        </w:tc>
        <w:tc>
          <w:tcPr>
            <w:tcW w:w="759" w:type="dxa"/>
            <w:vMerge w:val="restart"/>
          </w:tcPr>
          <w:p>
            <w:pPr>
              <w:pStyle w:val="33"/>
              <w:rPr>
                <w:rFonts w:ascii="黑体"/>
                <w:sz w:val="20"/>
              </w:rPr>
            </w:pPr>
          </w:p>
          <w:p>
            <w:pPr>
              <w:pStyle w:val="33"/>
              <w:spacing w:before="1"/>
              <w:rPr>
                <w:rFonts w:ascii="黑体"/>
                <w:sz w:val="18"/>
              </w:rPr>
            </w:pPr>
          </w:p>
          <w:p>
            <w:pPr>
              <w:pStyle w:val="33"/>
              <w:spacing w:line="357" w:lineRule="auto"/>
              <w:ind w:left="167" w:right="157"/>
            </w:pPr>
            <w:r>
              <w:t>型号规格</w:t>
            </w:r>
          </w:p>
        </w:tc>
        <w:tc>
          <w:tcPr>
            <w:tcW w:w="670" w:type="dxa"/>
            <w:vMerge w:val="restart"/>
          </w:tcPr>
          <w:p>
            <w:pPr>
              <w:pStyle w:val="33"/>
              <w:rPr>
                <w:rFonts w:ascii="黑体"/>
                <w:sz w:val="20"/>
              </w:rPr>
            </w:pPr>
          </w:p>
          <w:p>
            <w:pPr>
              <w:pStyle w:val="33"/>
              <w:spacing w:before="1"/>
              <w:rPr>
                <w:rFonts w:ascii="黑体"/>
                <w:sz w:val="18"/>
              </w:rPr>
            </w:pPr>
          </w:p>
          <w:p>
            <w:pPr>
              <w:pStyle w:val="33"/>
              <w:spacing w:line="357" w:lineRule="auto"/>
              <w:ind w:left="123" w:right="111"/>
            </w:pPr>
            <w:r>
              <w:t>国别产地</w:t>
            </w:r>
          </w:p>
        </w:tc>
        <w:tc>
          <w:tcPr>
            <w:tcW w:w="660" w:type="dxa"/>
            <w:vMerge w:val="restart"/>
          </w:tcPr>
          <w:p>
            <w:pPr>
              <w:pStyle w:val="33"/>
              <w:rPr>
                <w:rFonts w:ascii="黑体"/>
                <w:sz w:val="20"/>
              </w:rPr>
            </w:pPr>
          </w:p>
          <w:p>
            <w:pPr>
              <w:pStyle w:val="33"/>
              <w:spacing w:before="1"/>
              <w:rPr>
                <w:rFonts w:ascii="黑体"/>
                <w:sz w:val="18"/>
              </w:rPr>
            </w:pPr>
          </w:p>
          <w:p>
            <w:pPr>
              <w:pStyle w:val="33"/>
              <w:spacing w:line="357" w:lineRule="auto"/>
              <w:ind w:left="118" w:right="106"/>
            </w:pPr>
            <w:r>
              <w:t>制造年份</w:t>
            </w:r>
          </w:p>
        </w:tc>
        <w:tc>
          <w:tcPr>
            <w:tcW w:w="941" w:type="dxa"/>
            <w:vMerge w:val="restart"/>
          </w:tcPr>
          <w:p>
            <w:pPr>
              <w:pStyle w:val="33"/>
              <w:rPr>
                <w:rFonts w:ascii="黑体"/>
                <w:sz w:val="22"/>
              </w:rPr>
            </w:pPr>
          </w:p>
          <w:p>
            <w:pPr>
              <w:pStyle w:val="33"/>
              <w:spacing w:before="1"/>
              <w:rPr>
                <w:rFonts w:ascii="黑体"/>
                <w:sz w:val="16"/>
              </w:rPr>
            </w:pPr>
          </w:p>
          <w:p>
            <w:pPr>
              <w:pStyle w:val="33"/>
              <w:spacing w:line="357" w:lineRule="auto"/>
              <w:ind w:left="106" w:right="-15" w:firstLine="45"/>
            </w:pPr>
            <w:r>
              <w:t xml:space="preserve">额定功 </w:t>
            </w:r>
            <w:r>
              <w:rPr>
                <w:spacing w:val="-104"/>
              </w:rPr>
              <w:t>率</w:t>
            </w:r>
            <w:r>
              <w:rPr>
                <w:spacing w:val="-5"/>
              </w:rPr>
              <w:t>（</w:t>
            </w:r>
            <w:r>
              <w:rPr>
                <w:rFonts w:ascii="Times New Roman" w:eastAsia="Times New Roman"/>
                <w:spacing w:val="-5"/>
              </w:rPr>
              <w:t>kW</w:t>
            </w:r>
            <w:r>
              <w:rPr>
                <w:spacing w:val="-5"/>
              </w:rPr>
              <w:t>）</w:t>
            </w:r>
          </w:p>
        </w:tc>
        <w:tc>
          <w:tcPr>
            <w:tcW w:w="648" w:type="dxa"/>
            <w:vMerge w:val="restart"/>
          </w:tcPr>
          <w:p>
            <w:pPr>
              <w:pStyle w:val="33"/>
              <w:rPr>
                <w:rFonts w:ascii="黑体"/>
                <w:sz w:val="20"/>
              </w:rPr>
            </w:pPr>
          </w:p>
          <w:p>
            <w:pPr>
              <w:pStyle w:val="33"/>
              <w:spacing w:before="1"/>
              <w:rPr>
                <w:rFonts w:ascii="黑体"/>
                <w:sz w:val="18"/>
              </w:rPr>
            </w:pPr>
          </w:p>
          <w:p>
            <w:pPr>
              <w:pStyle w:val="33"/>
              <w:spacing w:line="357" w:lineRule="auto"/>
              <w:ind w:left="111" w:right="101"/>
            </w:pPr>
            <w:r>
              <w:t>生产能力</w:t>
            </w:r>
          </w:p>
        </w:tc>
        <w:tc>
          <w:tcPr>
            <w:tcW w:w="2104" w:type="dxa"/>
            <w:gridSpan w:val="4"/>
          </w:tcPr>
          <w:p>
            <w:pPr>
              <w:pStyle w:val="33"/>
              <w:spacing w:before="147"/>
              <w:ind w:left="524"/>
            </w:pPr>
            <w:r>
              <w:t>数量（台）</w:t>
            </w:r>
          </w:p>
        </w:tc>
        <w:tc>
          <w:tcPr>
            <w:tcW w:w="951" w:type="dxa"/>
            <w:vMerge w:val="restart"/>
          </w:tcPr>
          <w:p>
            <w:pPr>
              <w:pStyle w:val="33"/>
              <w:rPr>
                <w:rFonts w:ascii="黑体"/>
                <w:sz w:val="20"/>
              </w:rPr>
            </w:pPr>
          </w:p>
          <w:p>
            <w:pPr>
              <w:pStyle w:val="33"/>
              <w:spacing w:before="1"/>
              <w:rPr>
                <w:rFonts w:ascii="黑体"/>
                <w:sz w:val="18"/>
              </w:rPr>
            </w:pPr>
          </w:p>
          <w:p>
            <w:pPr>
              <w:pStyle w:val="33"/>
              <w:spacing w:line="357" w:lineRule="auto"/>
              <w:ind w:left="161" w:right="144"/>
            </w:pPr>
            <w:r>
              <w:t>预计进场时间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vMerge w:val="continue"/>
            <w:tcBorders>
              <w:top w:val="nil"/>
            </w:tcBorders>
          </w:tcPr>
          <w:p>
            <w:pPr>
              <w:rPr>
                <w:sz w:val="2"/>
                <w:szCs w:val="2"/>
              </w:rPr>
            </w:pPr>
          </w:p>
        </w:tc>
        <w:tc>
          <w:tcPr>
            <w:tcW w:w="1085" w:type="dxa"/>
            <w:vMerge w:val="continue"/>
            <w:tcBorders>
              <w:top w:val="nil"/>
            </w:tcBorders>
          </w:tcPr>
          <w:p>
            <w:pPr>
              <w:rPr>
                <w:sz w:val="2"/>
                <w:szCs w:val="2"/>
              </w:rPr>
            </w:pPr>
          </w:p>
        </w:tc>
        <w:tc>
          <w:tcPr>
            <w:tcW w:w="759"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60" w:type="dxa"/>
            <w:vMerge w:val="continue"/>
            <w:tcBorders>
              <w:top w:val="nil"/>
            </w:tcBorders>
          </w:tcPr>
          <w:p>
            <w:pPr>
              <w:rPr>
                <w:sz w:val="2"/>
                <w:szCs w:val="2"/>
              </w:rPr>
            </w:pPr>
          </w:p>
        </w:tc>
        <w:tc>
          <w:tcPr>
            <w:tcW w:w="941"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430" w:type="dxa"/>
            <w:vMerge w:val="restart"/>
          </w:tcPr>
          <w:p>
            <w:pPr>
              <w:pStyle w:val="33"/>
              <w:spacing w:before="134" w:line="400" w:lineRule="atLeast"/>
              <w:ind w:left="104" w:right="102"/>
            </w:pPr>
            <w:r>
              <w:t>小计</w:t>
            </w:r>
          </w:p>
        </w:tc>
        <w:tc>
          <w:tcPr>
            <w:tcW w:w="1674" w:type="dxa"/>
            <w:gridSpan w:val="3"/>
          </w:tcPr>
          <w:p>
            <w:pPr>
              <w:pStyle w:val="33"/>
              <w:spacing w:before="130" w:line="250" w:lineRule="exact"/>
              <w:ind w:left="553" w:right="545"/>
              <w:jc w:val="center"/>
            </w:pPr>
            <w:r>
              <w:t>其 中</w:t>
            </w:r>
          </w:p>
        </w:tc>
        <w:tc>
          <w:tcPr>
            <w:tcW w:w="95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14" w:type="dxa"/>
            <w:vMerge w:val="continue"/>
            <w:tcBorders>
              <w:top w:val="nil"/>
            </w:tcBorders>
          </w:tcPr>
          <w:p>
            <w:pPr>
              <w:rPr>
                <w:sz w:val="2"/>
                <w:szCs w:val="2"/>
              </w:rPr>
            </w:pPr>
          </w:p>
        </w:tc>
        <w:tc>
          <w:tcPr>
            <w:tcW w:w="1085" w:type="dxa"/>
            <w:vMerge w:val="continue"/>
            <w:tcBorders>
              <w:top w:val="nil"/>
            </w:tcBorders>
          </w:tcPr>
          <w:p>
            <w:pPr>
              <w:rPr>
                <w:sz w:val="2"/>
                <w:szCs w:val="2"/>
              </w:rPr>
            </w:pPr>
          </w:p>
        </w:tc>
        <w:tc>
          <w:tcPr>
            <w:tcW w:w="759"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60" w:type="dxa"/>
            <w:vMerge w:val="continue"/>
            <w:tcBorders>
              <w:top w:val="nil"/>
            </w:tcBorders>
          </w:tcPr>
          <w:p>
            <w:pPr>
              <w:rPr>
                <w:sz w:val="2"/>
                <w:szCs w:val="2"/>
              </w:rPr>
            </w:pPr>
          </w:p>
        </w:tc>
        <w:tc>
          <w:tcPr>
            <w:tcW w:w="941" w:type="dxa"/>
            <w:vMerge w:val="continue"/>
            <w:tcBorders>
              <w:top w:val="nil"/>
            </w:tcBorders>
          </w:tcPr>
          <w:p>
            <w:pPr>
              <w:rPr>
                <w:sz w:val="2"/>
                <w:szCs w:val="2"/>
              </w:rPr>
            </w:pPr>
          </w:p>
        </w:tc>
        <w:tc>
          <w:tcPr>
            <w:tcW w:w="648" w:type="dxa"/>
            <w:vMerge w:val="continue"/>
            <w:tcBorders>
              <w:top w:val="nil"/>
            </w:tcBorders>
          </w:tcPr>
          <w:p>
            <w:pPr>
              <w:rPr>
                <w:sz w:val="2"/>
                <w:szCs w:val="2"/>
              </w:rPr>
            </w:pPr>
          </w:p>
        </w:tc>
        <w:tc>
          <w:tcPr>
            <w:tcW w:w="430" w:type="dxa"/>
            <w:vMerge w:val="continue"/>
            <w:tcBorders>
              <w:top w:val="nil"/>
            </w:tcBorders>
          </w:tcPr>
          <w:p>
            <w:pPr>
              <w:rPr>
                <w:sz w:val="2"/>
                <w:szCs w:val="2"/>
              </w:rPr>
            </w:pPr>
          </w:p>
        </w:tc>
        <w:tc>
          <w:tcPr>
            <w:tcW w:w="557" w:type="dxa"/>
          </w:tcPr>
          <w:p>
            <w:pPr>
              <w:pStyle w:val="33"/>
              <w:spacing w:before="3"/>
              <w:rPr>
                <w:rFonts w:ascii="黑体"/>
                <w:sz w:val="20"/>
              </w:rPr>
            </w:pPr>
          </w:p>
          <w:p>
            <w:pPr>
              <w:pStyle w:val="33"/>
              <w:spacing w:before="1"/>
              <w:ind w:left="65"/>
            </w:pPr>
            <w:r>
              <w:t>自有</w:t>
            </w:r>
          </w:p>
        </w:tc>
        <w:tc>
          <w:tcPr>
            <w:tcW w:w="559" w:type="dxa"/>
          </w:tcPr>
          <w:p>
            <w:pPr>
              <w:pStyle w:val="33"/>
              <w:spacing w:before="3"/>
              <w:rPr>
                <w:rFonts w:ascii="黑体"/>
                <w:sz w:val="20"/>
              </w:rPr>
            </w:pPr>
          </w:p>
          <w:p>
            <w:pPr>
              <w:pStyle w:val="33"/>
              <w:spacing w:before="1"/>
              <w:ind w:left="67"/>
            </w:pPr>
            <w:r>
              <w:t>新购</w:t>
            </w:r>
          </w:p>
        </w:tc>
        <w:tc>
          <w:tcPr>
            <w:tcW w:w="558" w:type="dxa"/>
          </w:tcPr>
          <w:p>
            <w:pPr>
              <w:pStyle w:val="33"/>
              <w:spacing w:before="3"/>
              <w:rPr>
                <w:rFonts w:ascii="黑体"/>
                <w:sz w:val="20"/>
              </w:rPr>
            </w:pPr>
          </w:p>
          <w:p>
            <w:pPr>
              <w:pStyle w:val="33"/>
              <w:spacing w:before="1"/>
              <w:ind w:left="68"/>
            </w:pPr>
            <w:r>
              <w:t>租赁</w:t>
            </w:r>
          </w:p>
        </w:tc>
        <w:tc>
          <w:tcPr>
            <w:tcW w:w="95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pPr>
              <w:pStyle w:val="33"/>
              <w:rPr>
                <w:rFonts w:ascii="Times New Roman"/>
                <w:sz w:val="20"/>
              </w:rPr>
            </w:pPr>
          </w:p>
        </w:tc>
        <w:tc>
          <w:tcPr>
            <w:tcW w:w="1085" w:type="dxa"/>
          </w:tcPr>
          <w:p>
            <w:pPr>
              <w:pStyle w:val="33"/>
              <w:rPr>
                <w:rFonts w:ascii="Times New Roman"/>
                <w:sz w:val="20"/>
              </w:rPr>
            </w:pPr>
          </w:p>
        </w:tc>
        <w:tc>
          <w:tcPr>
            <w:tcW w:w="759" w:type="dxa"/>
          </w:tcPr>
          <w:p>
            <w:pPr>
              <w:pStyle w:val="33"/>
              <w:rPr>
                <w:rFonts w:ascii="Times New Roman"/>
                <w:sz w:val="20"/>
              </w:rPr>
            </w:pPr>
          </w:p>
        </w:tc>
        <w:tc>
          <w:tcPr>
            <w:tcW w:w="670" w:type="dxa"/>
          </w:tcPr>
          <w:p>
            <w:pPr>
              <w:pStyle w:val="33"/>
              <w:rPr>
                <w:rFonts w:ascii="Times New Roman"/>
                <w:sz w:val="20"/>
              </w:rPr>
            </w:pPr>
          </w:p>
        </w:tc>
        <w:tc>
          <w:tcPr>
            <w:tcW w:w="660" w:type="dxa"/>
          </w:tcPr>
          <w:p>
            <w:pPr>
              <w:pStyle w:val="33"/>
              <w:rPr>
                <w:rFonts w:ascii="Times New Roman"/>
                <w:sz w:val="20"/>
              </w:rPr>
            </w:pPr>
          </w:p>
        </w:tc>
        <w:tc>
          <w:tcPr>
            <w:tcW w:w="941" w:type="dxa"/>
          </w:tcPr>
          <w:p>
            <w:pPr>
              <w:pStyle w:val="33"/>
              <w:rPr>
                <w:rFonts w:ascii="Times New Roman"/>
                <w:sz w:val="20"/>
              </w:rPr>
            </w:pPr>
          </w:p>
        </w:tc>
        <w:tc>
          <w:tcPr>
            <w:tcW w:w="648" w:type="dxa"/>
          </w:tcPr>
          <w:p>
            <w:pPr>
              <w:pStyle w:val="33"/>
              <w:rPr>
                <w:rFonts w:ascii="Times New Roman"/>
                <w:sz w:val="20"/>
              </w:rPr>
            </w:pPr>
          </w:p>
        </w:tc>
        <w:tc>
          <w:tcPr>
            <w:tcW w:w="430" w:type="dxa"/>
          </w:tcPr>
          <w:p>
            <w:pPr>
              <w:pStyle w:val="33"/>
              <w:rPr>
                <w:rFonts w:ascii="Times New Roman"/>
                <w:sz w:val="20"/>
              </w:rPr>
            </w:pPr>
          </w:p>
        </w:tc>
        <w:tc>
          <w:tcPr>
            <w:tcW w:w="557" w:type="dxa"/>
          </w:tcPr>
          <w:p>
            <w:pPr>
              <w:pStyle w:val="33"/>
              <w:rPr>
                <w:rFonts w:ascii="Times New Roman"/>
                <w:sz w:val="20"/>
              </w:rPr>
            </w:pPr>
          </w:p>
        </w:tc>
        <w:tc>
          <w:tcPr>
            <w:tcW w:w="559" w:type="dxa"/>
          </w:tcPr>
          <w:p>
            <w:pPr>
              <w:pStyle w:val="33"/>
              <w:rPr>
                <w:rFonts w:ascii="Times New Roman"/>
                <w:sz w:val="20"/>
              </w:rPr>
            </w:pPr>
          </w:p>
        </w:tc>
        <w:tc>
          <w:tcPr>
            <w:tcW w:w="558" w:type="dxa"/>
          </w:tcPr>
          <w:p>
            <w:pPr>
              <w:pStyle w:val="33"/>
              <w:rPr>
                <w:rFonts w:ascii="Times New Roman"/>
                <w:sz w:val="20"/>
              </w:rPr>
            </w:pPr>
          </w:p>
        </w:tc>
        <w:tc>
          <w:tcPr>
            <w:tcW w:w="951"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pPr>
              <w:pStyle w:val="33"/>
              <w:rPr>
                <w:rFonts w:ascii="Times New Roman"/>
                <w:sz w:val="20"/>
              </w:rPr>
            </w:pPr>
          </w:p>
        </w:tc>
        <w:tc>
          <w:tcPr>
            <w:tcW w:w="1085" w:type="dxa"/>
          </w:tcPr>
          <w:p>
            <w:pPr>
              <w:pStyle w:val="33"/>
              <w:rPr>
                <w:rFonts w:ascii="Times New Roman"/>
                <w:sz w:val="20"/>
              </w:rPr>
            </w:pPr>
          </w:p>
        </w:tc>
        <w:tc>
          <w:tcPr>
            <w:tcW w:w="759" w:type="dxa"/>
          </w:tcPr>
          <w:p>
            <w:pPr>
              <w:pStyle w:val="33"/>
              <w:rPr>
                <w:rFonts w:ascii="Times New Roman"/>
                <w:sz w:val="20"/>
              </w:rPr>
            </w:pPr>
          </w:p>
        </w:tc>
        <w:tc>
          <w:tcPr>
            <w:tcW w:w="670" w:type="dxa"/>
          </w:tcPr>
          <w:p>
            <w:pPr>
              <w:pStyle w:val="33"/>
              <w:rPr>
                <w:rFonts w:ascii="Times New Roman"/>
                <w:sz w:val="20"/>
              </w:rPr>
            </w:pPr>
          </w:p>
        </w:tc>
        <w:tc>
          <w:tcPr>
            <w:tcW w:w="660" w:type="dxa"/>
          </w:tcPr>
          <w:p>
            <w:pPr>
              <w:pStyle w:val="33"/>
              <w:rPr>
                <w:rFonts w:ascii="Times New Roman"/>
                <w:sz w:val="20"/>
              </w:rPr>
            </w:pPr>
          </w:p>
        </w:tc>
        <w:tc>
          <w:tcPr>
            <w:tcW w:w="941" w:type="dxa"/>
          </w:tcPr>
          <w:p>
            <w:pPr>
              <w:pStyle w:val="33"/>
              <w:rPr>
                <w:rFonts w:ascii="Times New Roman"/>
                <w:sz w:val="20"/>
              </w:rPr>
            </w:pPr>
          </w:p>
        </w:tc>
        <w:tc>
          <w:tcPr>
            <w:tcW w:w="648" w:type="dxa"/>
          </w:tcPr>
          <w:p>
            <w:pPr>
              <w:pStyle w:val="33"/>
              <w:rPr>
                <w:rFonts w:ascii="Times New Roman"/>
                <w:sz w:val="20"/>
              </w:rPr>
            </w:pPr>
          </w:p>
        </w:tc>
        <w:tc>
          <w:tcPr>
            <w:tcW w:w="430" w:type="dxa"/>
          </w:tcPr>
          <w:p>
            <w:pPr>
              <w:pStyle w:val="33"/>
              <w:rPr>
                <w:rFonts w:ascii="Times New Roman"/>
                <w:sz w:val="20"/>
              </w:rPr>
            </w:pPr>
          </w:p>
        </w:tc>
        <w:tc>
          <w:tcPr>
            <w:tcW w:w="557" w:type="dxa"/>
          </w:tcPr>
          <w:p>
            <w:pPr>
              <w:pStyle w:val="33"/>
              <w:rPr>
                <w:rFonts w:ascii="Times New Roman"/>
                <w:sz w:val="20"/>
              </w:rPr>
            </w:pPr>
          </w:p>
        </w:tc>
        <w:tc>
          <w:tcPr>
            <w:tcW w:w="559" w:type="dxa"/>
          </w:tcPr>
          <w:p>
            <w:pPr>
              <w:pStyle w:val="33"/>
              <w:rPr>
                <w:rFonts w:ascii="Times New Roman"/>
                <w:sz w:val="20"/>
              </w:rPr>
            </w:pPr>
          </w:p>
        </w:tc>
        <w:tc>
          <w:tcPr>
            <w:tcW w:w="558" w:type="dxa"/>
          </w:tcPr>
          <w:p>
            <w:pPr>
              <w:pStyle w:val="33"/>
              <w:rPr>
                <w:rFonts w:ascii="Times New Roman"/>
                <w:sz w:val="20"/>
              </w:rPr>
            </w:pPr>
          </w:p>
        </w:tc>
        <w:tc>
          <w:tcPr>
            <w:tcW w:w="951"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pPr>
              <w:pStyle w:val="33"/>
              <w:rPr>
                <w:rFonts w:ascii="Times New Roman"/>
                <w:sz w:val="20"/>
              </w:rPr>
            </w:pPr>
          </w:p>
        </w:tc>
        <w:tc>
          <w:tcPr>
            <w:tcW w:w="1085" w:type="dxa"/>
          </w:tcPr>
          <w:p>
            <w:pPr>
              <w:pStyle w:val="33"/>
              <w:rPr>
                <w:rFonts w:ascii="Times New Roman"/>
                <w:sz w:val="20"/>
              </w:rPr>
            </w:pPr>
          </w:p>
        </w:tc>
        <w:tc>
          <w:tcPr>
            <w:tcW w:w="759" w:type="dxa"/>
          </w:tcPr>
          <w:p>
            <w:pPr>
              <w:pStyle w:val="33"/>
              <w:rPr>
                <w:rFonts w:ascii="Times New Roman"/>
                <w:sz w:val="20"/>
              </w:rPr>
            </w:pPr>
          </w:p>
        </w:tc>
        <w:tc>
          <w:tcPr>
            <w:tcW w:w="670" w:type="dxa"/>
          </w:tcPr>
          <w:p>
            <w:pPr>
              <w:pStyle w:val="33"/>
              <w:rPr>
                <w:rFonts w:ascii="Times New Roman"/>
                <w:sz w:val="20"/>
              </w:rPr>
            </w:pPr>
          </w:p>
        </w:tc>
        <w:tc>
          <w:tcPr>
            <w:tcW w:w="660" w:type="dxa"/>
          </w:tcPr>
          <w:p>
            <w:pPr>
              <w:pStyle w:val="33"/>
              <w:rPr>
                <w:rFonts w:ascii="Times New Roman"/>
                <w:sz w:val="20"/>
              </w:rPr>
            </w:pPr>
          </w:p>
        </w:tc>
        <w:tc>
          <w:tcPr>
            <w:tcW w:w="941" w:type="dxa"/>
          </w:tcPr>
          <w:p>
            <w:pPr>
              <w:pStyle w:val="33"/>
              <w:rPr>
                <w:rFonts w:ascii="Times New Roman"/>
                <w:sz w:val="20"/>
              </w:rPr>
            </w:pPr>
          </w:p>
        </w:tc>
        <w:tc>
          <w:tcPr>
            <w:tcW w:w="648" w:type="dxa"/>
          </w:tcPr>
          <w:p>
            <w:pPr>
              <w:pStyle w:val="33"/>
              <w:rPr>
                <w:rFonts w:ascii="Times New Roman"/>
                <w:sz w:val="20"/>
              </w:rPr>
            </w:pPr>
          </w:p>
        </w:tc>
        <w:tc>
          <w:tcPr>
            <w:tcW w:w="430" w:type="dxa"/>
          </w:tcPr>
          <w:p>
            <w:pPr>
              <w:pStyle w:val="33"/>
              <w:rPr>
                <w:rFonts w:ascii="Times New Roman"/>
                <w:sz w:val="20"/>
              </w:rPr>
            </w:pPr>
          </w:p>
        </w:tc>
        <w:tc>
          <w:tcPr>
            <w:tcW w:w="557" w:type="dxa"/>
          </w:tcPr>
          <w:p>
            <w:pPr>
              <w:pStyle w:val="33"/>
              <w:rPr>
                <w:rFonts w:ascii="Times New Roman"/>
                <w:sz w:val="20"/>
              </w:rPr>
            </w:pPr>
          </w:p>
        </w:tc>
        <w:tc>
          <w:tcPr>
            <w:tcW w:w="559" w:type="dxa"/>
          </w:tcPr>
          <w:p>
            <w:pPr>
              <w:pStyle w:val="33"/>
              <w:rPr>
                <w:rFonts w:ascii="Times New Roman"/>
                <w:sz w:val="20"/>
              </w:rPr>
            </w:pPr>
          </w:p>
        </w:tc>
        <w:tc>
          <w:tcPr>
            <w:tcW w:w="558" w:type="dxa"/>
          </w:tcPr>
          <w:p>
            <w:pPr>
              <w:pStyle w:val="33"/>
              <w:rPr>
                <w:rFonts w:ascii="Times New Roman"/>
                <w:sz w:val="20"/>
              </w:rPr>
            </w:pPr>
          </w:p>
        </w:tc>
        <w:tc>
          <w:tcPr>
            <w:tcW w:w="951"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pPr>
              <w:pStyle w:val="33"/>
              <w:rPr>
                <w:rFonts w:ascii="Times New Roman"/>
                <w:sz w:val="20"/>
              </w:rPr>
            </w:pPr>
          </w:p>
        </w:tc>
        <w:tc>
          <w:tcPr>
            <w:tcW w:w="1085" w:type="dxa"/>
          </w:tcPr>
          <w:p>
            <w:pPr>
              <w:pStyle w:val="33"/>
              <w:rPr>
                <w:rFonts w:ascii="Times New Roman"/>
                <w:sz w:val="20"/>
              </w:rPr>
            </w:pPr>
          </w:p>
        </w:tc>
        <w:tc>
          <w:tcPr>
            <w:tcW w:w="759" w:type="dxa"/>
          </w:tcPr>
          <w:p>
            <w:pPr>
              <w:pStyle w:val="33"/>
              <w:rPr>
                <w:rFonts w:ascii="Times New Roman"/>
                <w:sz w:val="20"/>
              </w:rPr>
            </w:pPr>
          </w:p>
        </w:tc>
        <w:tc>
          <w:tcPr>
            <w:tcW w:w="670" w:type="dxa"/>
          </w:tcPr>
          <w:p>
            <w:pPr>
              <w:pStyle w:val="33"/>
              <w:rPr>
                <w:rFonts w:ascii="Times New Roman"/>
                <w:sz w:val="20"/>
              </w:rPr>
            </w:pPr>
          </w:p>
        </w:tc>
        <w:tc>
          <w:tcPr>
            <w:tcW w:w="660" w:type="dxa"/>
          </w:tcPr>
          <w:p>
            <w:pPr>
              <w:pStyle w:val="33"/>
              <w:rPr>
                <w:rFonts w:ascii="Times New Roman"/>
                <w:sz w:val="20"/>
              </w:rPr>
            </w:pPr>
          </w:p>
        </w:tc>
        <w:tc>
          <w:tcPr>
            <w:tcW w:w="941" w:type="dxa"/>
          </w:tcPr>
          <w:p>
            <w:pPr>
              <w:pStyle w:val="33"/>
              <w:rPr>
                <w:rFonts w:ascii="Times New Roman"/>
                <w:sz w:val="20"/>
              </w:rPr>
            </w:pPr>
          </w:p>
        </w:tc>
        <w:tc>
          <w:tcPr>
            <w:tcW w:w="648" w:type="dxa"/>
          </w:tcPr>
          <w:p>
            <w:pPr>
              <w:pStyle w:val="33"/>
              <w:rPr>
                <w:rFonts w:ascii="Times New Roman"/>
                <w:sz w:val="20"/>
              </w:rPr>
            </w:pPr>
          </w:p>
        </w:tc>
        <w:tc>
          <w:tcPr>
            <w:tcW w:w="430" w:type="dxa"/>
          </w:tcPr>
          <w:p>
            <w:pPr>
              <w:pStyle w:val="33"/>
              <w:rPr>
                <w:rFonts w:ascii="Times New Roman"/>
                <w:sz w:val="20"/>
              </w:rPr>
            </w:pPr>
          </w:p>
        </w:tc>
        <w:tc>
          <w:tcPr>
            <w:tcW w:w="557" w:type="dxa"/>
          </w:tcPr>
          <w:p>
            <w:pPr>
              <w:pStyle w:val="33"/>
              <w:rPr>
                <w:rFonts w:ascii="Times New Roman"/>
                <w:sz w:val="20"/>
              </w:rPr>
            </w:pPr>
          </w:p>
        </w:tc>
        <w:tc>
          <w:tcPr>
            <w:tcW w:w="559" w:type="dxa"/>
          </w:tcPr>
          <w:p>
            <w:pPr>
              <w:pStyle w:val="33"/>
              <w:rPr>
                <w:rFonts w:ascii="Times New Roman"/>
                <w:sz w:val="20"/>
              </w:rPr>
            </w:pPr>
          </w:p>
        </w:tc>
        <w:tc>
          <w:tcPr>
            <w:tcW w:w="558" w:type="dxa"/>
          </w:tcPr>
          <w:p>
            <w:pPr>
              <w:pStyle w:val="33"/>
              <w:rPr>
                <w:rFonts w:ascii="Times New Roman"/>
                <w:sz w:val="20"/>
              </w:rPr>
            </w:pPr>
          </w:p>
        </w:tc>
        <w:tc>
          <w:tcPr>
            <w:tcW w:w="951"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pPr>
              <w:pStyle w:val="33"/>
              <w:rPr>
                <w:rFonts w:ascii="Times New Roman"/>
                <w:sz w:val="20"/>
              </w:rPr>
            </w:pPr>
          </w:p>
        </w:tc>
        <w:tc>
          <w:tcPr>
            <w:tcW w:w="1085" w:type="dxa"/>
          </w:tcPr>
          <w:p>
            <w:pPr>
              <w:pStyle w:val="33"/>
              <w:rPr>
                <w:rFonts w:ascii="Times New Roman"/>
                <w:sz w:val="20"/>
              </w:rPr>
            </w:pPr>
          </w:p>
        </w:tc>
        <w:tc>
          <w:tcPr>
            <w:tcW w:w="759" w:type="dxa"/>
          </w:tcPr>
          <w:p>
            <w:pPr>
              <w:pStyle w:val="33"/>
              <w:rPr>
                <w:rFonts w:ascii="Times New Roman"/>
                <w:sz w:val="20"/>
              </w:rPr>
            </w:pPr>
          </w:p>
        </w:tc>
        <w:tc>
          <w:tcPr>
            <w:tcW w:w="670" w:type="dxa"/>
          </w:tcPr>
          <w:p>
            <w:pPr>
              <w:pStyle w:val="33"/>
              <w:rPr>
                <w:rFonts w:ascii="Times New Roman"/>
                <w:sz w:val="20"/>
              </w:rPr>
            </w:pPr>
          </w:p>
        </w:tc>
        <w:tc>
          <w:tcPr>
            <w:tcW w:w="660" w:type="dxa"/>
          </w:tcPr>
          <w:p>
            <w:pPr>
              <w:pStyle w:val="33"/>
              <w:rPr>
                <w:rFonts w:ascii="Times New Roman"/>
                <w:sz w:val="20"/>
              </w:rPr>
            </w:pPr>
          </w:p>
        </w:tc>
        <w:tc>
          <w:tcPr>
            <w:tcW w:w="941" w:type="dxa"/>
          </w:tcPr>
          <w:p>
            <w:pPr>
              <w:pStyle w:val="33"/>
              <w:rPr>
                <w:rFonts w:ascii="Times New Roman"/>
                <w:sz w:val="20"/>
              </w:rPr>
            </w:pPr>
          </w:p>
        </w:tc>
        <w:tc>
          <w:tcPr>
            <w:tcW w:w="648" w:type="dxa"/>
          </w:tcPr>
          <w:p>
            <w:pPr>
              <w:pStyle w:val="33"/>
              <w:rPr>
                <w:rFonts w:ascii="Times New Roman"/>
                <w:sz w:val="20"/>
              </w:rPr>
            </w:pPr>
          </w:p>
        </w:tc>
        <w:tc>
          <w:tcPr>
            <w:tcW w:w="430" w:type="dxa"/>
          </w:tcPr>
          <w:p>
            <w:pPr>
              <w:pStyle w:val="33"/>
              <w:rPr>
                <w:rFonts w:ascii="Times New Roman"/>
                <w:sz w:val="20"/>
              </w:rPr>
            </w:pPr>
          </w:p>
        </w:tc>
        <w:tc>
          <w:tcPr>
            <w:tcW w:w="557" w:type="dxa"/>
          </w:tcPr>
          <w:p>
            <w:pPr>
              <w:pStyle w:val="33"/>
              <w:rPr>
                <w:rFonts w:ascii="Times New Roman"/>
                <w:sz w:val="20"/>
              </w:rPr>
            </w:pPr>
          </w:p>
        </w:tc>
        <w:tc>
          <w:tcPr>
            <w:tcW w:w="559" w:type="dxa"/>
          </w:tcPr>
          <w:p>
            <w:pPr>
              <w:pStyle w:val="33"/>
              <w:rPr>
                <w:rFonts w:ascii="Times New Roman"/>
                <w:sz w:val="20"/>
              </w:rPr>
            </w:pPr>
          </w:p>
        </w:tc>
        <w:tc>
          <w:tcPr>
            <w:tcW w:w="558" w:type="dxa"/>
          </w:tcPr>
          <w:p>
            <w:pPr>
              <w:pStyle w:val="33"/>
              <w:rPr>
                <w:rFonts w:ascii="Times New Roman"/>
                <w:sz w:val="20"/>
              </w:rPr>
            </w:pPr>
          </w:p>
        </w:tc>
        <w:tc>
          <w:tcPr>
            <w:tcW w:w="951"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14" w:type="dxa"/>
          </w:tcPr>
          <w:p>
            <w:pPr>
              <w:pStyle w:val="33"/>
              <w:rPr>
                <w:rFonts w:ascii="Times New Roman"/>
                <w:sz w:val="20"/>
              </w:rPr>
            </w:pPr>
          </w:p>
        </w:tc>
        <w:tc>
          <w:tcPr>
            <w:tcW w:w="1085" w:type="dxa"/>
          </w:tcPr>
          <w:p>
            <w:pPr>
              <w:pStyle w:val="33"/>
              <w:rPr>
                <w:rFonts w:ascii="Times New Roman"/>
                <w:sz w:val="20"/>
              </w:rPr>
            </w:pPr>
          </w:p>
        </w:tc>
        <w:tc>
          <w:tcPr>
            <w:tcW w:w="759" w:type="dxa"/>
          </w:tcPr>
          <w:p>
            <w:pPr>
              <w:pStyle w:val="33"/>
              <w:rPr>
                <w:rFonts w:ascii="Times New Roman"/>
                <w:sz w:val="20"/>
              </w:rPr>
            </w:pPr>
          </w:p>
        </w:tc>
        <w:tc>
          <w:tcPr>
            <w:tcW w:w="670" w:type="dxa"/>
          </w:tcPr>
          <w:p>
            <w:pPr>
              <w:pStyle w:val="33"/>
              <w:rPr>
                <w:rFonts w:ascii="Times New Roman"/>
                <w:sz w:val="20"/>
              </w:rPr>
            </w:pPr>
          </w:p>
        </w:tc>
        <w:tc>
          <w:tcPr>
            <w:tcW w:w="660" w:type="dxa"/>
          </w:tcPr>
          <w:p>
            <w:pPr>
              <w:pStyle w:val="33"/>
              <w:rPr>
                <w:rFonts w:ascii="Times New Roman"/>
                <w:sz w:val="20"/>
              </w:rPr>
            </w:pPr>
          </w:p>
        </w:tc>
        <w:tc>
          <w:tcPr>
            <w:tcW w:w="941" w:type="dxa"/>
          </w:tcPr>
          <w:p>
            <w:pPr>
              <w:pStyle w:val="33"/>
              <w:rPr>
                <w:rFonts w:ascii="Times New Roman"/>
                <w:sz w:val="20"/>
              </w:rPr>
            </w:pPr>
          </w:p>
        </w:tc>
        <w:tc>
          <w:tcPr>
            <w:tcW w:w="648" w:type="dxa"/>
          </w:tcPr>
          <w:p>
            <w:pPr>
              <w:pStyle w:val="33"/>
              <w:rPr>
                <w:rFonts w:ascii="Times New Roman"/>
                <w:sz w:val="20"/>
              </w:rPr>
            </w:pPr>
          </w:p>
        </w:tc>
        <w:tc>
          <w:tcPr>
            <w:tcW w:w="430" w:type="dxa"/>
          </w:tcPr>
          <w:p>
            <w:pPr>
              <w:pStyle w:val="33"/>
              <w:rPr>
                <w:rFonts w:ascii="Times New Roman"/>
                <w:sz w:val="20"/>
              </w:rPr>
            </w:pPr>
          </w:p>
        </w:tc>
        <w:tc>
          <w:tcPr>
            <w:tcW w:w="557" w:type="dxa"/>
          </w:tcPr>
          <w:p>
            <w:pPr>
              <w:pStyle w:val="33"/>
              <w:rPr>
                <w:rFonts w:ascii="Times New Roman"/>
                <w:sz w:val="20"/>
              </w:rPr>
            </w:pPr>
          </w:p>
        </w:tc>
        <w:tc>
          <w:tcPr>
            <w:tcW w:w="559" w:type="dxa"/>
          </w:tcPr>
          <w:p>
            <w:pPr>
              <w:pStyle w:val="33"/>
              <w:rPr>
                <w:rFonts w:ascii="Times New Roman"/>
                <w:sz w:val="20"/>
              </w:rPr>
            </w:pPr>
          </w:p>
        </w:tc>
        <w:tc>
          <w:tcPr>
            <w:tcW w:w="558" w:type="dxa"/>
          </w:tcPr>
          <w:p>
            <w:pPr>
              <w:pStyle w:val="33"/>
              <w:rPr>
                <w:rFonts w:ascii="Times New Roman"/>
                <w:sz w:val="20"/>
              </w:rPr>
            </w:pPr>
          </w:p>
        </w:tc>
        <w:tc>
          <w:tcPr>
            <w:tcW w:w="951"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pPr>
              <w:pStyle w:val="33"/>
              <w:rPr>
                <w:rFonts w:ascii="Times New Roman"/>
                <w:sz w:val="20"/>
              </w:rPr>
            </w:pPr>
          </w:p>
        </w:tc>
        <w:tc>
          <w:tcPr>
            <w:tcW w:w="1085" w:type="dxa"/>
          </w:tcPr>
          <w:p>
            <w:pPr>
              <w:pStyle w:val="33"/>
              <w:rPr>
                <w:rFonts w:ascii="Times New Roman"/>
                <w:sz w:val="20"/>
              </w:rPr>
            </w:pPr>
          </w:p>
        </w:tc>
        <w:tc>
          <w:tcPr>
            <w:tcW w:w="759" w:type="dxa"/>
          </w:tcPr>
          <w:p>
            <w:pPr>
              <w:pStyle w:val="33"/>
              <w:rPr>
                <w:rFonts w:ascii="Times New Roman"/>
                <w:sz w:val="20"/>
              </w:rPr>
            </w:pPr>
          </w:p>
        </w:tc>
        <w:tc>
          <w:tcPr>
            <w:tcW w:w="670" w:type="dxa"/>
          </w:tcPr>
          <w:p>
            <w:pPr>
              <w:pStyle w:val="33"/>
              <w:rPr>
                <w:rFonts w:ascii="Times New Roman"/>
                <w:sz w:val="20"/>
              </w:rPr>
            </w:pPr>
          </w:p>
        </w:tc>
        <w:tc>
          <w:tcPr>
            <w:tcW w:w="660" w:type="dxa"/>
          </w:tcPr>
          <w:p>
            <w:pPr>
              <w:pStyle w:val="33"/>
              <w:rPr>
                <w:rFonts w:ascii="Times New Roman"/>
                <w:sz w:val="20"/>
              </w:rPr>
            </w:pPr>
          </w:p>
        </w:tc>
        <w:tc>
          <w:tcPr>
            <w:tcW w:w="941" w:type="dxa"/>
          </w:tcPr>
          <w:p>
            <w:pPr>
              <w:pStyle w:val="33"/>
              <w:rPr>
                <w:rFonts w:ascii="Times New Roman"/>
                <w:sz w:val="20"/>
              </w:rPr>
            </w:pPr>
          </w:p>
        </w:tc>
        <w:tc>
          <w:tcPr>
            <w:tcW w:w="648" w:type="dxa"/>
          </w:tcPr>
          <w:p>
            <w:pPr>
              <w:pStyle w:val="33"/>
              <w:rPr>
                <w:rFonts w:ascii="Times New Roman"/>
                <w:sz w:val="20"/>
              </w:rPr>
            </w:pPr>
          </w:p>
        </w:tc>
        <w:tc>
          <w:tcPr>
            <w:tcW w:w="430" w:type="dxa"/>
          </w:tcPr>
          <w:p>
            <w:pPr>
              <w:pStyle w:val="33"/>
              <w:rPr>
                <w:rFonts w:ascii="Times New Roman"/>
                <w:sz w:val="20"/>
              </w:rPr>
            </w:pPr>
          </w:p>
        </w:tc>
        <w:tc>
          <w:tcPr>
            <w:tcW w:w="557" w:type="dxa"/>
          </w:tcPr>
          <w:p>
            <w:pPr>
              <w:pStyle w:val="33"/>
              <w:rPr>
                <w:rFonts w:ascii="Times New Roman"/>
                <w:sz w:val="20"/>
              </w:rPr>
            </w:pPr>
          </w:p>
        </w:tc>
        <w:tc>
          <w:tcPr>
            <w:tcW w:w="559" w:type="dxa"/>
          </w:tcPr>
          <w:p>
            <w:pPr>
              <w:pStyle w:val="33"/>
              <w:rPr>
                <w:rFonts w:ascii="Times New Roman"/>
                <w:sz w:val="20"/>
              </w:rPr>
            </w:pPr>
          </w:p>
        </w:tc>
        <w:tc>
          <w:tcPr>
            <w:tcW w:w="558" w:type="dxa"/>
          </w:tcPr>
          <w:p>
            <w:pPr>
              <w:pStyle w:val="33"/>
              <w:rPr>
                <w:rFonts w:ascii="Times New Roman"/>
                <w:sz w:val="20"/>
              </w:rPr>
            </w:pPr>
          </w:p>
        </w:tc>
        <w:tc>
          <w:tcPr>
            <w:tcW w:w="951"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pPr>
              <w:pStyle w:val="33"/>
              <w:rPr>
                <w:rFonts w:ascii="Times New Roman"/>
                <w:sz w:val="20"/>
              </w:rPr>
            </w:pPr>
          </w:p>
        </w:tc>
        <w:tc>
          <w:tcPr>
            <w:tcW w:w="1085" w:type="dxa"/>
          </w:tcPr>
          <w:p>
            <w:pPr>
              <w:pStyle w:val="33"/>
              <w:rPr>
                <w:rFonts w:ascii="Times New Roman"/>
                <w:sz w:val="20"/>
              </w:rPr>
            </w:pPr>
          </w:p>
        </w:tc>
        <w:tc>
          <w:tcPr>
            <w:tcW w:w="759" w:type="dxa"/>
          </w:tcPr>
          <w:p>
            <w:pPr>
              <w:pStyle w:val="33"/>
              <w:rPr>
                <w:rFonts w:ascii="Times New Roman"/>
                <w:sz w:val="20"/>
              </w:rPr>
            </w:pPr>
          </w:p>
        </w:tc>
        <w:tc>
          <w:tcPr>
            <w:tcW w:w="670" w:type="dxa"/>
          </w:tcPr>
          <w:p>
            <w:pPr>
              <w:pStyle w:val="33"/>
              <w:rPr>
                <w:rFonts w:ascii="Times New Roman"/>
                <w:sz w:val="20"/>
              </w:rPr>
            </w:pPr>
          </w:p>
        </w:tc>
        <w:tc>
          <w:tcPr>
            <w:tcW w:w="660" w:type="dxa"/>
          </w:tcPr>
          <w:p>
            <w:pPr>
              <w:pStyle w:val="33"/>
              <w:rPr>
                <w:rFonts w:ascii="Times New Roman"/>
                <w:sz w:val="20"/>
              </w:rPr>
            </w:pPr>
          </w:p>
        </w:tc>
        <w:tc>
          <w:tcPr>
            <w:tcW w:w="941" w:type="dxa"/>
          </w:tcPr>
          <w:p>
            <w:pPr>
              <w:pStyle w:val="33"/>
              <w:rPr>
                <w:rFonts w:ascii="Times New Roman"/>
                <w:sz w:val="20"/>
              </w:rPr>
            </w:pPr>
          </w:p>
        </w:tc>
        <w:tc>
          <w:tcPr>
            <w:tcW w:w="648" w:type="dxa"/>
          </w:tcPr>
          <w:p>
            <w:pPr>
              <w:pStyle w:val="33"/>
              <w:rPr>
                <w:rFonts w:ascii="Times New Roman"/>
                <w:sz w:val="20"/>
              </w:rPr>
            </w:pPr>
          </w:p>
        </w:tc>
        <w:tc>
          <w:tcPr>
            <w:tcW w:w="430" w:type="dxa"/>
          </w:tcPr>
          <w:p>
            <w:pPr>
              <w:pStyle w:val="33"/>
              <w:rPr>
                <w:rFonts w:ascii="Times New Roman"/>
                <w:sz w:val="20"/>
              </w:rPr>
            </w:pPr>
          </w:p>
        </w:tc>
        <w:tc>
          <w:tcPr>
            <w:tcW w:w="557" w:type="dxa"/>
          </w:tcPr>
          <w:p>
            <w:pPr>
              <w:pStyle w:val="33"/>
              <w:rPr>
                <w:rFonts w:ascii="Times New Roman"/>
                <w:sz w:val="20"/>
              </w:rPr>
            </w:pPr>
          </w:p>
        </w:tc>
        <w:tc>
          <w:tcPr>
            <w:tcW w:w="559" w:type="dxa"/>
          </w:tcPr>
          <w:p>
            <w:pPr>
              <w:pStyle w:val="33"/>
              <w:rPr>
                <w:rFonts w:ascii="Times New Roman"/>
                <w:sz w:val="20"/>
              </w:rPr>
            </w:pPr>
          </w:p>
        </w:tc>
        <w:tc>
          <w:tcPr>
            <w:tcW w:w="558" w:type="dxa"/>
          </w:tcPr>
          <w:p>
            <w:pPr>
              <w:pStyle w:val="33"/>
              <w:rPr>
                <w:rFonts w:ascii="Times New Roman"/>
                <w:sz w:val="20"/>
              </w:rPr>
            </w:pPr>
          </w:p>
        </w:tc>
        <w:tc>
          <w:tcPr>
            <w:tcW w:w="951"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pPr>
              <w:pStyle w:val="33"/>
              <w:rPr>
                <w:rFonts w:ascii="Times New Roman"/>
                <w:sz w:val="20"/>
              </w:rPr>
            </w:pPr>
          </w:p>
        </w:tc>
        <w:tc>
          <w:tcPr>
            <w:tcW w:w="1085" w:type="dxa"/>
          </w:tcPr>
          <w:p>
            <w:pPr>
              <w:pStyle w:val="33"/>
              <w:rPr>
                <w:rFonts w:ascii="Times New Roman"/>
                <w:sz w:val="20"/>
              </w:rPr>
            </w:pPr>
          </w:p>
        </w:tc>
        <w:tc>
          <w:tcPr>
            <w:tcW w:w="759" w:type="dxa"/>
          </w:tcPr>
          <w:p>
            <w:pPr>
              <w:pStyle w:val="33"/>
              <w:rPr>
                <w:rFonts w:ascii="Times New Roman"/>
                <w:sz w:val="20"/>
              </w:rPr>
            </w:pPr>
          </w:p>
        </w:tc>
        <w:tc>
          <w:tcPr>
            <w:tcW w:w="670" w:type="dxa"/>
          </w:tcPr>
          <w:p>
            <w:pPr>
              <w:pStyle w:val="33"/>
              <w:rPr>
                <w:rFonts w:ascii="Times New Roman"/>
                <w:sz w:val="20"/>
              </w:rPr>
            </w:pPr>
          </w:p>
        </w:tc>
        <w:tc>
          <w:tcPr>
            <w:tcW w:w="660" w:type="dxa"/>
          </w:tcPr>
          <w:p>
            <w:pPr>
              <w:pStyle w:val="33"/>
              <w:rPr>
                <w:rFonts w:ascii="Times New Roman"/>
                <w:sz w:val="20"/>
              </w:rPr>
            </w:pPr>
          </w:p>
        </w:tc>
        <w:tc>
          <w:tcPr>
            <w:tcW w:w="941" w:type="dxa"/>
          </w:tcPr>
          <w:p>
            <w:pPr>
              <w:pStyle w:val="33"/>
              <w:rPr>
                <w:rFonts w:ascii="Times New Roman"/>
                <w:sz w:val="20"/>
              </w:rPr>
            </w:pPr>
          </w:p>
        </w:tc>
        <w:tc>
          <w:tcPr>
            <w:tcW w:w="648" w:type="dxa"/>
          </w:tcPr>
          <w:p>
            <w:pPr>
              <w:pStyle w:val="33"/>
              <w:rPr>
                <w:rFonts w:ascii="Times New Roman"/>
                <w:sz w:val="20"/>
              </w:rPr>
            </w:pPr>
          </w:p>
        </w:tc>
        <w:tc>
          <w:tcPr>
            <w:tcW w:w="430" w:type="dxa"/>
          </w:tcPr>
          <w:p>
            <w:pPr>
              <w:pStyle w:val="33"/>
              <w:rPr>
                <w:rFonts w:ascii="Times New Roman"/>
                <w:sz w:val="20"/>
              </w:rPr>
            </w:pPr>
          </w:p>
        </w:tc>
        <w:tc>
          <w:tcPr>
            <w:tcW w:w="557" w:type="dxa"/>
          </w:tcPr>
          <w:p>
            <w:pPr>
              <w:pStyle w:val="33"/>
              <w:rPr>
                <w:rFonts w:ascii="Times New Roman"/>
                <w:sz w:val="20"/>
              </w:rPr>
            </w:pPr>
          </w:p>
        </w:tc>
        <w:tc>
          <w:tcPr>
            <w:tcW w:w="559" w:type="dxa"/>
          </w:tcPr>
          <w:p>
            <w:pPr>
              <w:pStyle w:val="33"/>
              <w:rPr>
                <w:rFonts w:ascii="Times New Roman"/>
                <w:sz w:val="20"/>
              </w:rPr>
            </w:pPr>
          </w:p>
        </w:tc>
        <w:tc>
          <w:tcPr>
            <w:tcW w:w="558" w:type="dxa"/>
          </w:tcPr>
          <w:p>
            <w:pPr>
              <w:pStyle w:val="33"/>
              <w:rPr>
                <w:rFonts w:ascii="Times New Roman"/>
                <w:sz w:val="20"/>
              </w:rPr>
            </w:pPr>
          </w:p>
        </w:tc>
        <w:tc>
          <w:tcPr>
            <w:tcW w:w="951"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pPr>
              <w:pStyle w:val="33"/>
              <w:rPr>
                <w:rFonts w:ascii="Times New Roman"/>
                <w:sz w:val="20"/>
              </w:rPr>
            </w:pPr>
          </w:p>
        </w:tc>
        <w:tc>
          <w:tcPr>
            <w:tcW w:w="1085" w:type="dxa"/>
          </w:tcPr>
          <w:p>
            <w:pPr>
              <w:pStyle w:val="33"/>
              <w:rPr>
                <w:rFonts w:ascii="Times New Roman"/>
                <w:sz w:val="20"/>
              </w:rPr>
            </w:pPr>
          </w:p>
        </w:tc>
        <w:tc>
          <w:tcPr>
            <w:tcW w:w="759" w:type="dxa"/>
          </w:tcPr>
          <w:p>
            <w:pPr>
              <w:pStyle w:val="33"/>
              <w:rPr>
                <w:rFonts w:ascii="Times New Roman"/>
                <w:sz w:val="20"/>
              </w:rPr>
            </w:pPr>
          </w:p>
        </w:tc>
        <w:tc>
          <w:tcPr>
            <w:tcW w:w="670" w:type="dxa"/>
          </w:tcPr>
          <w:p>
            <w:pPr>
              <w:pStyle w:val="33"/>
              <w:rPr>
                <w:rFonts w:ascii="Times New Roman"/>
                <w:sz w:val="20"/>
              </w:rPr>
            </w:pPr>
          </w:p>
        </w:tc>
        <w:tc>
          <w:tcPr>
            <w:tcW w:w="660" w:type="dxa"/>
          </w:tcPr>
          <w:p>
            <w:pPr>
              <w:pStyle w:val="33"/>
              <w:rPr>
                <w:rFonts w:ascii="Times New Roman"/>
                <w:sz w:val="20"/>
              </w:rPr>
            </w:pPr>
          </w:p>
        </w:tc>
        <w:tc>
          <w:tcPr>
            <w:tcW w:w="941" w:type="dxa"/>
          </w:tcPr>
          <w:p>
            <w:pPr>
              <w:pStyle w:val="33"/>
              <w:rPr>
                <w:rFonts w:ascii="Times New Roman"/>
                <w:sz w:val="20"/>
              </w:rPr>
            </w:pPr>
          </w:p>
        </w:tc>
        <w:tc>
          <w:tcPr>
            <w:tcW w:w="648" w:type="dxa"/>
          </w:tcPr>
          <w:p>
            <w:pPr>
              <w:pStyle w:val="33"/>
              <w:rPr>
                <w:rFonts w:ascii="Times New Roman"/>
                <w:sz w:val="20"/>
              </w:rPr>
            </w:pPr>
          </w:p>
        </w:tc>
        <w:tc>
          <w:tcPr>
            <w:tcW w:w="430" w:type="dxa"/>
          </w:tcPr>
          <w:p>
            <w:pPr>
              <w:pStyle w:val="33"/>
              <w:rPr>
                <w:rFonts w:ascii="Times New Roman"/>
                <w:sz w:val="20"/>
              </w:rPr>
            </w:pPr>
          </w:p>
        </w:tc>
        <w:tc>
          <w:tcPr>
            <w:tcW w:w="557" w:type="dxa"/>
          </w:tcPr>
          <w:p>
            <w:pPr>
              <w:pStyle w:val="33"/>
              <w:rPr>
                <w:rFonts w:ascii="Times New Roman"/>
                <w:sz w:val="20"/>
              </w:rPr>
            </w:pPr>
          </w:p>
        </w:tc>
        <w:tc>
          <w:tcPr>
            <w:tcW w:w="559" w:type="dxa"/>
          </w:tcPr>
          <w:p>
            <w:pPr>
              <w:pStyle w:val="33"/>
              <w:rPr>
                <w:rFonts w:ascii="Times New Roman"/>
                <w:sz w:val="20"/>
              </w:rPr>
            </w:pPr>
          </w:p>
        </w:tc>
        <w:tc>
          <w:tcPr>
            <w:tcW w:w="558" w:type="dxa"/>
          </w:tcPr>
          <w:p>
            <w:pPr>
              <w:pStyle w:val="33"/>
              <w:rPr>
                <w:rFonts w:ascii="Times New Roman"/>
                <w:sz w:val="20"/>
              </w:rPr>
            </w:pPr>
          </w:p>
        </w:tc>
        <w:tc>
          <w:tcPr>
            <w:tcW w:w="951"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pPr>
              <w:pStyle w:val="33"/>
              <w:rPr>
                <w:rFonts w:ascii="Times New Roman"/>
                <w:sz w:val="20"/>
              </w:rPr>
            </w:pPr>
          </w:p>
        </w:tc>
        <w:tc>
          <w:tcPr>
            <w:tcW w:w="1085" w:type="dxa"/>
          </w:tcPr>
          <w:p>
            <w:pPr>
              <w:pStyle w:val="33"/>
              <w:rPr>
                <w:rFonts w:ascii="Times New Roman"/>
                <w:sz w:val="20"/>
              </w:rPr>
            </w:pPr>
          </w:p>
        </w:tc>
        <w:tc>
          <w:tcPr>
            <w:tcW w:w="759" w:type="dxa"/>
          </w:tcPr>
          <w:p>
            <w:pPr>
              <w:pStyle w:val="33"/>
              <w:rPr>
                <w:rFonts w:ascii="Times New Roman"/>
                <w:sz w:val="20"/>
              </w:rPr>
            </w:pPr>
          </w:p>
        </w:tc>
        <w:tc>
          <w:tcPr>
            <w:tcW w:w="670" w:type="dxa"/>
          </w:tcPr>
          <w:p>
            <w:pPr>
              <w:pStyle w:val="33"/>
              <w:rPr>
                <w:rFonts w:ascii="Times New Roman"/>
                <w:sz w:val="20"/>
              </w:rPr>
            </w:pPr>
          </w:p>
        </w:tc>
        <w:tc>
          <w:tcPr>
            <w:tcW w:w="660" w:type="dxa"/>
          </w:tcPr>
          <w:p>
            <w:pPr>
              <w:pStyle w:val="33"/>
              <w:rPr>
                <w:rFonts w:ascii="Times New Roman"/>
                <w:sz w:val="20"/>
              </w:rPr>
            </w:pPr>
          </w:p>
        </w:tc>
        <w:tc>
          <w:tcPr>
            <w:tcW w:w="941" w:type="dxa"/>
          </w:tcPr>
          <w:p>
            <w:pPr>
              <w:pStyle w:val="33"/>
              <w:rPr>
                <w:rFonts w:ascii="Times New Roman"/>
                <w:sz w:val="20"/>
              </w:rPr>
            </w:pPr>
          </w:p>
        </w:tc>
        <w:tc>
          <w:tcPr>
            <w:tcW w:w="648" w:type="dxa"/>
          </w:tcPr>
          <w:p>
            <w:pPr>
              <w:pStyle w:val="33"/>
              <w:rPr>
                <w:rFonts w:ascii="Times New Roman"/>
                <w:sz w:val="20"/>
              </w:rPr>
            </w:pPr>
          </w:p>
        </w:tc>
        <w:tc>
          <w:tcPr>
            <w:tcW w:w="430" w:type="dxa"/>
          </w:tcPr>
          <w:p>
            <w:pPr>
              <w:pStyle w:val="33"/>
              <w:rPr>
                <w:rFonts w:ascii="Times New Roman"/>
                <w:sz w:val="20"/>
              </w:rPr>
            </w:pPr>
          </w:p>
        </w:tc>
        <w:tc>
          <w:tcPr>
            <w:tcW w:w="557" w:type="dxa"/>
          </w:tcPr>
          <w:p>
            <w:pPr>
              <w:pStyle w:val="33"/>
              <w:rPr>
                <w:rFonts w:ascii="Times New Roman"/>
                <w:sz w:val="20"/>
              </w:rPr>
            </w:pPr>
          </w:p>
        </w:tc>
        <w:tc>
          <w:tcPr>
            <w:tcW w:w="559" w:type="dxa"/>
          </w:tcPr>
          <w:p>
            <w:pPr>
              <w:pStyle w:val="33"/>
              <w:rPr>
                <w:rFonts w:ascii="Times New Roman"/>
                <w:sz w:val="20"/>
              </w:rPr>
            </w:pPr>
          </w:p>
        </w:tc>
        <w:tc>
          <w:tcPr>
            <w:tcW w:w="558" w:type="dxa"/>
          </w:tcPr>
          <w:p>
            <w:pPr>
              <w:pStyle w:val="33"/>
              <w:rPr>
                <w:rFonts w:ascii="Times New Roman"/>
                <w:sz w:val="20"/>
              </w:rPr>
            </w:pPr>
          </w:p>
        </w:tc>
        <w:tc>
          <w:tcPr>
            <w:tcW w:w="951"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pPr>
              <w:pStyle w:val="33"/>
              <w:rPr>
                <w:rFonts w:ascii="Times New Roman"/>
                <w:sz w:val="20"/>
              </w:rPr>
            </w:pPr>
          </w:p>
        </w:tc>
        <w:tc>
          <w:tcPr>
            <w:tcW w:w="1085" w:type="dxa"/>
          </w:tcPr>
          <w:p>
            <w:pPr>
              <w:pStyle w:val="33"/>
              <w:rPr>
                <w:rFonts w:ascii="Times New Roman"/>
                <w:sz w:val="20"/>
              </w:rPr>
            </w:pPr>
          </w:p>
        </w:tc>
        <w:tc>
          <w:tcPr>
            <w:tcW w:w="759" w:type="dxa"/>
          </w:tcPr>
          <w:p>
            <w:pPr>
              <w:pStyle w:val="33"/>
              <w:rPr>
                <w:rFonts w:ascii="Times New Roman"/>
                <w:sz w:val="20"/>
              </w:rPr>
            </w:pPr>
          </w:p>
        </w:tc>
        <w:tc>
          <w:tcPr>
            <w:tcW w:w="670" w:type="dxa"/>
          </w:tcPr>
          <w:p>
            <w:pPr>
              <w:pStyle w:val="33"/>
              <w:rPr>
                <w:rFonts w:ascii="Times New Roman"/>
                <w:sz w:val="20"/>
              </w:rPr>
            </w:pPr>
          </w:p>
        </w:tc>
        <w:tc>
          <w:tcPr>
            <w:tcW w:w="660" w:type="dxa"/>
          </w:tcPr>
          <w:p>
            <w:pPr>
              <w:pStyle w:val="33"/>
              <w:rPr>
                <w:rFonts w:ascii="Times New Roman"/>
                <w:sz w:val="20"/>
              </w:rPr>
            </w:pPr>
          </w:p>
        </w:tc>
        <w:tc>
          <w:tcPr>
            <w:tcW w:w="941" w:type="dxa"/>
          </w:tcPr>
          <w:p>
            <w:pPr>
              <w:pStyle w:val="33"/>
              <w:rPr>
                <w:rFonts w:ascii="Times New Roman"/>
                <w:sz w:val="20"/>
              </w:rPr>
            </w:pPr>
          </w:p>
        </w:tc>
        <w:tc>
          <w:tcPr>
            <w:tcW w:w="648" w:type="dxa"/>
          </w:tcPr>
          <w:p>
            <w:pPr>
              <w:pStyle w:val="33"/>
              <w:rPr>
                <w:rFonts w:ascii="Times New Roman"/>
                <w:sz w:val="20"/>
              </w:rPr>
            </w:pPr>
          </w:p>
        </w:tc>
        <w:tc>
          <w:tcPr>
            <w:tcW w:w="430" w:type="dxa"/>
          </w:tcPr>
          <w:p>
            <w:pPr>
              <w:pStyle w:val="33"/>
              <w:rPr>
                <w:rFonts w:ascii="Times New Roman"/>
                <w:sz w:val="20"/>
              </w:rPr>
            </w:pPr>
          </w:p>
        </w:tc>
        <w:tc>
          <w:tcPr>
            <w:tcW w:w="557" w:type="dxa"/>
          </w:tcPr>
          <w:p>
            <w:pPr>
              <w:pStyle w:val="33"/>
              <w:rPr>
                <w:rFonts w:ascii="Times New Roman"/>
                <w:sz w:val="20"/>
              </w:rPr>
            </w:pPr>
          </w:p>
        </w:tc>
        <w:tc>
          <w:tcPr>
            <w:tcW w:w="559" w:type="dxa"/>
          </w:tcPr>
          <w:p>
            <w:pPr>
              <w:pStyle w:val="33"/>
              <w:rPr>
                <w:rFonts w:ascii="Times New Roman"/>
                <w:sz w:val="20"/>
              </w:rPr>
            </w:pPr>
          </w:p>
        </w:tc>
        <w:tc>
          <w:tcPr>
            <w:tcW w:w="558" w:type="dxa"/>
          </w:tcPr>
          <w:p>
            <w:pPr>
              <w:pStyle w:val="33"/>
              <w:rPr>
                <w:rFonts w:ascii="Times New Roman"/>
                <w:sz w:val="20"/>
              </w:rPr>
            </w:pPr>
          </w:p>
        </w:tc>
        <w:tc>
          <w:tcPr>
            <w:tcW w:w="951"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pPr>
              <w:pStyle w:val="33"/>
              <w:rPr>
                <w:rFonts w:ascii="Times New Roman"/>
                <w:sz w:val="20"/>
              </w:rPr>
            </w:pPr>
          </w:p>
        </w:tc>
        <w:tc>
          <w:tcPr>
            <w:tcW w:w="1085" w:type="dxa"/>
          </w:tcPr>
          <w:p>
            <w:pPr>
              <w:pStyle w:val="33"/>
              <w:rPr>
                <w:rFonts w:ascii="Times New Roman"/>
                <w:sz w:val="20"/>
              </w:rPr>
            </w:pPr>
          </w:p>
        </w:tc>
        <w:tc>
          <w:tcPr>
            <w:tcW w:w="759" w:type="dxa"/>
          </w:tcPr>
          <w:p>
            <w:pPr>
              <w:pStyle w:val="33"/>
              <w:rPr>
                <w:rFonts w:ascii="Times New Roman"/>
                <w:sz w:val="20"/>
              </w:rPr>
            </w:pPr>
          </w:p>
        </w:tc>
        <w:tc>
          <w:tcPr>
            <w:tcW w:w="670" w:type="dxa"/>
          </w:tcPr>
          <w:p>
            <w:pPr>
              <w:pStyle w:val="33"/>
              <w:rPr>
                <w:rFonts w:ascii="Times New Roman"/>
                <w:sz w:val="20"/>
              </w:rPr>
            </w:pPr>
          </w:p>
        </w:tc>
        <w:tc>
          <w:tcPr>
            <w:tcW w:w="660" w:type="dxa"/>
          </w:tcPr>
          <w:p>
            <w:pPr>
              <w:pStyle w:val="33"/>
              <w:rPr>
                <w:rFonts w:ascii="Times New Roman"/>
                <w:sz w:val="20"/>
              </w:rPr>
            </w:pPr>
          </w:p>
        </w:tc>
        <w:tc>
          <w:tcPr>
            <w:tcW w:w="941" w:type="dxa"/>
          </w:tcPr>
          <w:p>
            <w:pPr>
              <w:pStyle w:val="33"/>
              <w:rPr>
                <w:rFonts w:ascii="Times New Roman"/>
                <w:sz w:val="20"/>
              </w:rPr>
            </w:pPr>
          </w:p>
        </w:tc>
        <w:tc>
          <w:tcPr>
            <w:tcW w:w="648" w:type="dxa"/>
          </w:tcPr>
          <w:p>
            <w:pPr>
              <w:pStyle w:val="33"/>
              <w:rPr>
                <w:rFonts w:ascii="Times New Roman"/>
                <w:sz w:val="20"/>
              </w:rPr>
            </w:pPr>
          </w:p>
        </w:tc>
        <w:tc>
          <w:tcPr>
            <w:tcW w:w="430" w:type="dxa"/>
          </w:tcPr>
          <w:p>
            <w:pPr>
              <w:pStyle w:val="33"/>
              <w:rPr>
                <w:rFonts w:ascii="Times New Roman"/>
                <w:sz w:val="20"/>
              </w:rPr>
            </w:pPr>
          </w:p>
        </w:tc>
        <w:tc>
          <w:tcPr>
            <w:tcW w:w="557" w:type="dxa"/>
          </w:tcPr>
          <w:p>
            <w:pPr>
              <w:pStyle w:val="33"/>
              <w:rPr>
                <w:rFonts w:ascii="Times New Roman"/>
                <w:sz w:val="20"/>
              </w:rPr>
            </w:pPr>
          </w:p>
        </w:tc>
        <w:tc>
          <w:tcPr>
            <w:tcW w:w="559" w:type="dxa"/>
          </w:tcPr>
          <w:p>
            <w:pPr>
              <w:pStyle w:val="33"/>
              <w:rPr>
                <w:rFonts w:ascii="Times New Roman"/>
                <w:sz w:val="20"/>
              </w:rPr>
            </w:pPr>
          </w:p>
        </w:tc>
        <w:tc>
          <w:tcPr>
            <w:tcW w:w="558" w:type="dxa"/>
          </w:tcPr>
          <w:p>
            <w:pPr>
              <w:pStyle w:val="33"/>
              <w:rPr>
                <w:rFonts w:ascii="Times New Roman"/>
                <w:sz w:val="20"/>
              </w:rPr>
            </w:pPr>
          </w:p>
        </w:tc>
        <w:tc>
          <w:tcPr>
            <w:tcW w:w="951"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pPr>
              <w:pStyle w:val="33"/>
              <w:rPr>
                <w:rFonts w:ascii="Times New Roman"/>
                <w:sz w:val="20"/>
              </w:rPr>
            </w:pPr>
          </w:p>
        </w:tc>
        <w:tc>
          <w:tcPr>
            <w:tcW w:w="1085" w:type="dxa"/>
          </w:tcPr>
          <w:p>
            <w:pPr>
              <w:pStyle w:val="33"/>
              <w:rPr>
                <w:rFonts w:ascii="Times New Roman"/>
                <w:sz w:val="20"/>
              </w:rPr>
            </w:pPr>
          </w:p>
        </w:tc>
        <w:tc>
          <w:tcPr>
            <w:tcW w:w="759" w:type="dxa"/>
          </w:tcPr>
          <w:p>
            <w:pPr>
              <w:pStyle w:val="33"/>
              <w:rPr>
                <w:rFonts w:ascii="Times New Roman"/>
                <w:sz w:val="20"/>
              </w:rPr>
            </w:pPr>
          </w:p>
        </w:tc>
        <w:tc>
          <w:tcPr>
            <w:tcW w:w="670" w:type="dxa"/>
          </w:tcPr>
          <w:p>
            <w:pPr>
              <w:pStyle w:val="33"/>
              <w:rPr>
                <w:rFonts w:ascii="Times New Roman"/>
                <w:sz w:val="20"/>
              </w:rPr>
            </w:pPr>
          </w:p>
        </w:tc>
        <w:tc>
          <w:tcPr>
            <w:tcW w:w="660" w:type="dxa"/>
          </w:tcPr>
          <w:p>
            <w:pPr>
              <w:pStyle w:val="33"/>
              <w:rPr>
                <w:rFonts w:ascii="Times New Roman"/>
                <w:sz w:val="20"/>
              </w:rPr>
            </w:pPr>
          </w:p>
        </w:tc>
        <w:tc>
          <w:tcPr>
            <w:tcW w:w="941" w:type="dxa"/>
          </w:tcPr>
          <w:p>
            <w:pPr>
              <w:pStyle w:val="33"/>
              <w:rPr>
                <w:rFonts w:ascii="Times New Roman"/>
                <w:sz w:val="20"/>
              </w:rPr>
            </w:pPr>
          </w:p>
        </w:tc>
        <w:tc>
          <w:tcPr>
            <w:tcW w:w="648" w:type="dxa"/>
          </w:tcPr>
          <w:p>
            <w:pPr>
              <w:pStyle w:val="33"/>
              <w:rPr>
                <w:rFonts w:ascii="Times New Roman"/>
                <w:sz w:val="20"/>
              </w:rPr>
            </w:pPr>
          </w:p>
        </w:tc>
        <w:tc>
          <w:tcPr>
            <w:tcW w:w="430" w:type="dxa"/>
          </w:tcPr>
          <w:p>
            <w:pPr>
              <w:pStyle w:val="33"/>
              <w:rPr>
                <w:rFonts w:ascii="Times New Roman"/>
                <w:sz w:val="20"/>
              </w:rPr>
            </w:pPr>
          </w:p>
        </w:tc>
        <w:tc>
          <w:tcPr>
            <w:tcW w:w="557" w:type="dxa"/>
          </w:tcPr>
          <w:p>
            <w:pPr>
              <w:pStyle w:val="33"/>
              <w:rPr>
                <w:rFonts w:ascii="Times New Roman"/>
                <w:sz w:val="20"/>
              </w:rPr>
            </w:pPr>
          </w:p>
        </w:tc>
        <w:tc>
          <w:tcPr>
            <w:tcW w:w="559" w:type="dxa"/>
          </w:tcPr>
          <w:p>
            <w:pPr>
              <w:pStyle w:val="33"/>
              <w:rPr>
                <w:rFonts w:ascii="Times New Roman"/>
                <w:sz w:val="20"/>
              </w:rPr>
            </w:pPr>
          </w:p>
        </w:tc>
        <w:tc>
          <w:tcPr>
            <w:tcW w:w="558" w:type="dxa"/>
          </w:tcPr>
          <w:p>
            <w:pPr>
              <w:pStyle w:val="33"/>
              <w:rPr>
                <w:rFonts w:ascii="Times New Roman"/>
                <w:sz w:val="20"/>
              </w:rPr>
            </w:pPr>
          </w:p>
        </w:tc>
        <w:tc>
          <w:tcPr>
            <w:tcW w:w="951"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14" w:type="dxa"/>
          </w:tcPr>
          <w:p>
            <w:pPr>
              <w:pStyle w:val="33"/>
              <w:rPr>
                <w:rFonts w:ascii="Times New Roman"/>
                <w:sz w:val="20"/>
              </w:rPr>
            </w:pPr>
          </w:p>
        </w:tc>
        <w:tc>
          <w:tcPr>
            <w:tcW w:w="1085" w:type="dxa"/>
          </w:tcPr>
          <w:p>
            <w:pPr>
              <w:pStyle w:val="33"/>
              <w:rPr>
                <w:rFonts w:ascii="Times New Roman"/>
                <w:sz w:val="20"/>
              </w:rPr>
            </w:pPr>
          </w:p>
        </w:tc>
        <w:tc>
          <w:tcPr>
            <w:tcW w:w="759" w:type="dxa"/>
          </w:tcPr>
          <w:p>
            <w:pPr>
              <w:pStyle w:val="33"/>
              <w:rPr>
                <w:rFonts w:ascii="Times New Roman"/>
                <w:sz w:val="20"/>
              </w:rPr>
            </w:pPr>
          </w:p>
        </w:tc>
        <w:tc>
          <w:tcPr>
            <w:tcW w:w="670" w:type="dxa"/>
          </w:tcPr>
          <w:p>
            <w:pPr>
              <w:pStyle w:val="33"/>
              <w:rPr>
                <w:rFonts w:ascii="Times New Roman"/>
                <w:sz w:val="20"/>
              </w:rPr>
            </w:pPr>
          </w:p>
        </w:tc>
        <w:tc>
          <w:tcPr>
            <w:tcW w:w="660" w:type="dxa"/>
          </w:tcPr>
          <w:p>
            <w:pPr>
              <w:pStyle w:val="33"/>
              <w:rPr>
                <w:rFonts w:ascii="Times New Roman"/>
                <w:sz w:val="20"/>
              </w:rPr>
            </w:pPr>
          </w:p>
        </w:tc>
        <w:tc>
          <w:tcPr>
            <w:tcW w:w="941" w:type="dxa"/>
          </w:tcPr>
          <w:p>
            <w:pPr>
              <w:pStyle w:val="33"/>
              <w:rPr>
                <w:rFonts w:ascii="Times New Roman"/>
                <w:sz w:val="20"/>
              </w:rPr>
            </w:pPr>
          </w:p>
        </w:tc>
        <w:tc>
          <w:tcPr>
            <w:tcW w:w="648" w:type="dxa"/>
          </w:tcPr>
          <w:p>
            <w:pPr>
              <w:pStyle w:val="33"/>
              <w:rPr>
                <w:rFonts w:ascii="Times New Roman"/>
                <w:sz w:val="20"/>
              </w:rPr>
            </w:pPr>
          </w:p>
        </w:tc>
        <w:tc>
          <w:tcPr>
            <w:tcW w:w="430" w:type="dxa"/>
          </w:tcPr>
          <w:p>
            <w:pPr>
              <w:pStyle w:val="33"/>
              <w:rPr>
                <w:rFonts w:ascii="Times New Roman"/>
                <w:sz w:val="20"/>
              </w:rPr>
            </w:pPr>
          </w:p>
        </w:tc>
        <w:tc>
          <w:tcPr>
            <w:tcW w:w="557" w:type="dxa"/>
          </w:tcPr>
          <w:p>
            <w:pPr>
              <w:pStyle w:val="33"/>
              <w:rPr>
                <w:rFonts w:ascii="Times New Roman"/>
                <w:sz w:val="20"/>
              </w:rPr>
            </w:pPr>
          </w:p>
        </w:tc>
        <w:tc>
          <w:tcPr>
            <w:tcW w:w="559" w:type="dxa"/>
          </w:tcPr>
          <w:p>
            <w:pPr>
              <w:pStyle w:val="33"/>
              <w:rPr>
                <w:rFonts w:ascii="Times New Roman"/>
                <w:sz w:val="20"/>
              </w:rPr>
            </w:pPr>
          </w:p>
        </w:tc>
        <w:tc>
          <w:tcPr>
            <w:tcW w:w="558" w:type="dxa"/>
          </w:tcPr>
          <w:p>
            <w:pPr>
              <w:pStyle w:val="33"/>
              <w:rPr>
                <w:rFonts w:ascii="Times New Roman"/>
                <w:sz w:val="20"/>
              </w:rPr>
            </w:pPr>
          </w:p>
        </w:tc>
        <w:tc>
          <w:tcPr>
            <w:tcW w:w="951"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tcPr>
          <w:p>
            <w:pPr>
              <w:pStyle w:val="33"/>
              <w:rPr>
                <w:rFonts w:ascii="Times New Roman"/>
                <w:sz w:val="20"/>
              </w:rPr>
            </w:pPr>
          </w:p>
        </w:tc>
        <w:tc>
          <w:tcPr>
            <w:tcW w:w="1085" w:type="dxa"/>
          </w:tcPr>
          <w:p>
            <w:pPr>
              <w:pStyle w:val="33"/>
              <w:rPr>
                <w:rFonts w:ascii="Times New Roman"/>
                <w:sz w:val="20"/>
              </w:rPr>
            </w:pPr>
          </w:p>
        </w:tc>
        <w:tc>
          <w:tcPr>
            <w:tcW w:w="759" w:type="dxa"/>
          </w:tcPr>
          <w:p>
            <w:pPr>
              <w:pStyle w:val="33"/>
              <w:rPr>
                <w:rFonts w:ascii="Times New Roman"/>
                <w:sz w:val="20"/>
              </w:rPr>
            </w:pPr>
          </w:p>
        </w:tc>
        <w:tc>
          <w:tcPr>
            <w:tcW w:w="670" w:type="dxa"/>
          </w:tcPr>
          <w:p>
            <w:pPr>
              <w:pStyle w:val="33"/>
              <w:rPr>
                <w:rFonts w:ascii="Times New Roman"/>
                <w:sz w:val="20"/>
              </w:rPr>
            </w:pPr>
          </w:p>
        </w:tc>
        <w:tc>
          <w:tcPr>
            <w:tcW w:w="660" w:type="dxa"/>
          </w:tcPr>
          <w:p>
            <w:pPr>
              <w:pStyle w:val="33"/>
              <w:rPr>
                <w:rFonts w:ascii="Times New Roman"/>
                <w:sz w:val="20"/>
              </w:rPr>
            </w:pPr>
          </w:p>
        </w:tc>
        <w:tc>
          <w:tcPr>
            <w:tcW w:w="941" w:type="dxa"/>
          </w:tcPr>
          <w:p>
            <w:pPr>
              <w:pStyle w:val="33"/>
              <w:rPr>
                <w:rFonts w:ascii="Times New Roman"/>
                <w:sz w:val="20"/>
              </w:rPr>
            </w:pPr>
          </w:p>
        </w:tc>
        <w:tc>
          <w:tcPr>
            <w:tcW w:w="648" w:type="dxa"/>
          </w:tcPr>
          <w:p>
            <w:pPr>
              <w:pStyle w:val="33"/>
              <w:rPr>
                <w:rFonts w:ascii="Times New Roman"/>
                <w:sz w:val="20"/>
              </w:rPr>
            </w:pPr>
          </w:p>
        </w:tc>
        <w:tc>
          <w:tcPr>
            <w:tcW w:w="430" w:type="dxa"/>
          </w:tcPr>
          <w:p>
            <w:pPr>
              <w:pStyle w:val="33"/>
              <w:rPr>
                <w:rFonts w:ascii="Times New Roman"/>
                <w:sz w:val="20"/>
              </w:rPr>
            </w:pPr>
          </w:p>
        </w:tc>
        <w:tc>
          <w:tcPr>
            <w:tcW w:w="557" w:type="dxa"/>
          </w:tcPr>
          <w:p>
            <w:pPr>
              <w:pStyle w:val="33"/>
              <w:rPr>
                <w:rFonts w:ascii="Times New Roman"/>
                <w:sz w:val="20"/>
              </w:rPr>
            </w:pPr>
          </w:p>
        </w:tc>
        <w:tc>
          <w:tcPr>
            <w:tcW w:w="559" w:type="dxa"/>
          </w:tcPr>
          <w:p>
            <w:pPr>
              <w:pStyle w:val="33"/>
              <w:rPr>
                <w:rFonts w:ascii="Times New Roman"/>
                <w:sz w:val="20"/>
              </w:rPr>
            </w:pPr>
          </w:p>
        </w:tc>
        <w:tc>
          <w:tcPr>
            <w:tcW w:w="558" w:type="dxa"/>
          </w:tcPr>
          <w:p>
            <w:pPr>
              <w:pStyle w:val="33"/>
              <w:rPr>
                <w:rFonts w:ascii="Times New Roman"/>
                <w:sz w:val="20"/>
              </w:rPr>
            </w:pPr>
          </w:p>
        </w:tc>
        <w:tc>
          <w:tcPr>
            <w:tcW w:w="951" w:type="dxa"/>
          </w:tcPr>
          <w:p>
            <w:pPr>
              <w:pStyle w:val="33"/>
              <w:rPr>
                <w:rFonts w:ascii="Times New Roman"/>
                <w:sz w:val="20"/>
              </w:rPr>
            </w:pPr>
          </w:p>
        </w:tc>
      </w:tr>
    </w:tbl>
    <w:p>
      <w:pPr>
        <w:pStyle w:val="10"/>
        <w:rPr>
          <w:rFonts w:ascii="黑体" w:hAnsi="黑体" w:eastAsia="黑体"/>
        </w:rPr>
      </w:pPr>
      <w:bookmarkStart w:id="224" w:name="_bookmark320"/>
      <w:bookmarkEnd w:id="224"/>
      <w:r>
        <w:rPr>
          <w:rFonts w:hint="eastAsia" w:ascii="黑体" w:hAnsi="黑体" w:eastAsia="黑体"/>
        </w:rPr>
        <w:br w:type="page"/>
      </w:r>
    </w:p>
    <w:p>
      <w:pPr>
        <w:pStyle w:val="10"/>
        <w:rPr>
          <w:rFonts w:ascii="黑体"/>
          <w:sz w:val="20"/>
        </w:rPr>
      </w:pPr>
      <w:r>
        <w:rPr>
          <w:rFonts w:hint="eastAsia" w:ascii="黑体" w:hAnsi="黑体" w:eastAsia="黑体"/>
        </w:rPr>
        <w:t>（十） 拟配备本标段的主要材料试验、测量、质检仪器设备表</w:t>
      </w:r>
    </w:p>
    <w:p>
      <w:pPr>
        <w:pStyle w:val="10"/>
        <w:spacing w:before="6"/>
        <w:rPr>
          <w:rFonts w:ascii="黑体"/>
          <w:sz w:val="11"/>
        </w:rPr>
      </w:pPr>
    </w:p>
    <w:tbl>
      <w:tblPr>
        <w:tblStyle w:val="16"/>
        <w:tblW w:w="8707" w:type="dxa"/>
        <w:tblInd w:w="2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1618"/>
        <w:gridCol w:w="1029"/>
        <w:gridCol w:w="1015"/>
        <w:gridCol w:w="1027"/>
        <w:gridCol w:w="1024"/>
        <w:gridCol w:w="1694"/>
        <w:gridCol w:w="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5" w:type="dxa"/>
          </w:tcPr>
          <w:p>
            <w:pPr>
              <w:pStyle w:val="33"/>
              <w:spacing w:before="4"/>
              <w:rPr>
                <w:rFonts w:ascii="黑体"/>
                <w:sz w:val="19"/>
              </w:rPr>
            </w:pPr>
          </w:p>
          <w:p>
            <w:pPr>
              <w:pStyle w:val="33"/>
              <w:ind w:left="91"/>
            </w:pPr>
            <w:r>
              <w:t>序号</w:t>
            </w:r>
          </w:p>
        </w:tc>
        <w:tc>
          <w:tcPr>
            <w:tcW w:w="1618" w:type="dxa"/>
          </w:tcPr>
          <w:p>
            <w:pPr>
              <w:pStyle w:val="33"/>
              <w:spacing w:before="4"/>
              <w:rPr>
                <w:rFonts w:ascii="黑体"/>
                <w:sz w:val="19"/>
              </w:rPr>
            </w:pPr>
          </w:p>
          <w:p>
            <w:pPr>
              <w:pStyle w:val="33"/>
              <w:ind w:left="177"/>
            </w:pPr>
            <w:r>
              <w:t>仪器设备名称</w:t>
            </w:r>
          </w:p>
        </w:tc>
        <w:tc>
          <w:tcPr>
            <w:tcW w:w="1029" w:type="dxa"/>
          </w:tcPr>
          <w:p>
            <w:pPr>
              <w:pStyle w:val="33"/>
              <w:spacing w:before="4"/>
              <w:rPr>
                <w:rFonts w:ascii="黑体"/>
                <w:sz w:val="19"/>
              </w:rPr>
            </w:pPr>
          </w:p>
          <w:p>
            <w:pPr>
              <w:pStyle w:val="33"/>
              <w:ind w:left="93"/>
            </w:pPr>
            <w:r>
              <w:t>型号规格</w:t>
            </w:r>
          </w:p>
        </w:tc>
        <w:tc>
          <w:tcPr>
            <w:tcW w:w="1015" w:type="dxa"/>
          </w:tcPr>
          <w:p>
            <w:pPr>
              <w:pStyle w:val="33"/>
              <w:spacing w:before="4"/>
              <w:rPr>
                <w:rFonts w:ascii="黑体"/>
                <w:sz w:val="19"/>
              </w:rPr>
            </w:pPr>
          </w:p>
          <w:p>
            <w:pPr>
              <w:pStyle w:val="33"/>
              <w:ind w:left="297"/>
            </w:pPr>
            <w:r>
              <w:t>数量</w:t>
            </w:r>
          </w:p>
        </w:tc>
        <w:tc>
          <w:tcPr>
            <w:tcW w:w="1027" w:type="dxa"/>
          </w:tcPr>
          <w:p>
            <w:pPr>
              <w:pStyle w:val="33"/>
              <w:spacing w:before="4"/>
              <w:rPr>
                <w:rFonts w:ascii="黑体"/>
                <w:sz w:val="19"/>
              </w:rPr>
            </w:pPr>
          </w:p>
          <w:p>
            <w:pPr>
              <w:pStyle w:val="33"/>
              <w:ind w:left="91"/>
            </w:pPr>
            <w:r>
              <w:t>国别产地</w:t>
            </w:r>
          </w:p>
        </w:tc>
        <w:tc>
          <w:tcPr>
            <w:tcW w:w="1024" w:type="dxa"/>
          </w:tcPr>
          <w:p>
            <w:pPr>
              <w:pStyle w:val="33"/>
              <w:spacing w:before="4"/>
              <w:rPr>
                <w:rFonts w:ascii="黑体"/>
                <w:sz w:val="19"/>
              </w:rPr>
            </w:pPr>
          </w:p>
          <w:p>
            <w:pPr>
              <w:pStyle w:val="33"/>
              <w:ind w:left="92"/>
            </w:pPr>
            <w:r>
              <w:t>制造年份</w:t>
            </w:r>
          </w:p>
        </w:tc>
        <w:tc>
          <w:tcPr>
            <w:tcW w:w="1694" w:type="dxa"/>
          </w:tcPr>
          <w:p>
            <w:pPr>
              <w:pStyle w:val="33"/>
              <w:spacing w:before="4"/>
              <w:rPr>
                <w:rFonts w:ascii="黑体"/>
                <w:sz w:val="19"/>
              </w:rPr>
            </w:pPr>
          </w:p>
          <w:p>
            <w:pPr>
              <w:pStyle w:val="33"/>
              <w:ind w:left="619" w:right="605"/>
              <w:jc w:val="center"/>
            </w:pPr>
            <w:r>
              <w:t>用途</w:t>
            </w:r>
          </w:p>
        </w:tc>
        <w:tc>
          <w:tcPr>
            <w:tcW w:w="695" w:type="dxa"/>
          </w:tcPr>
          <w:p>
            <w:pPr>
              <w:pStyle w:val="33"/>
              <w:spacing w:before="4"/>
              <w:rPr>
                <w:rFonts w:ascii="黑体"/>
                <w:sz w:val="19"/>
              </w:rPr>
            </w:pPr>
          </w:p>
          <w:p>
            <w:pPr>
              <w:pStyle w:val="33"/>
              <w:ind w:left="139"/>
            </w:pPr>
            <w: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5" w:type="dxa"/>
          </w:tcPr>
          <w:p>
            <w:pPr>
              <w:pStyle w:val="33"/>
              <w:rPr>
                <w:rFonts w:ascii="Times New Roman"/>
                <w:sz w:val="20"/>
              </w:rPr>
            </w:pPr>
          </w:p>
        </w:tc>
        <w:tc>
          <w:tcPr>
            <w:tcW w:w="1618" w:type="dxa"/>
          </w:tcPr>
          <w:p>
            <w:pPr>
              <w:pStyle w:val="33"/>
              <w:rPr>
                <w:rFonts w:ascii="Times New Roman"/>
                <w:sz w:val="20"/>
              </w:rPr>
            </w:pPr>
          </w:p>
        </w:tc>
        <w:tc>
          <w:tcPr>
            <w:tcW w:w="1029" w:type="dxa"/>
          </w:tcPr>
          <w:p>
            <w:pPr>
              <w:pStyle w:val="33"/>
              <w:rPr>
                <w:rFonts w:ascii="Times New Roman"/>
                <w:sz w:val="20"/>
              </w:rPr>
            </w:pPr>
          </w:p>
        </w:tc>
        <w:tc>
          <w:tcPr>
            <w:tcW w:w="1015" w:type="dxa"/>
          </w:tcPr>
          <w:p>
            <w:pPr>
              <w:pStyle w:val="33"/>
              <w:rPr>
                <w:rFonts w:ascii="Times New Roman"/>
                <w:sz w:val="20"/>
              </w:rPr>
            </w:pPr>
          </w:p>
        </w:tc>
        <w:tc>
          <w:tcPr>
            <w:tcW w:w="1027" w:type="dxa"/>
          </w:tcPr>
          <w:p>
            <w:pPr>
              <w:pStyle w:val="33"/>
              <w:rPr>
                <w:rFonts w:ascii="Times New Roman"/>
                <w:sz w:val="20"/>
              </w:rPr>
            </w:pPr>
          </w:p>
        </w:tc>
        <w:tc>
          <w:tcPr>
            <w:tcW w:w="1024" w:type="dxa"/>
          </w:tcPr>
          <w:p>
            <w:pPr>
              <w:pStyle w:val="33"/>
              <w:rPr>
                <w:rFonts w:ascii="Times New Roman"/>
                <w:sz w:val="20"/>
              </w:rPr>
            </w:pPr>
          </w:p>
        </w:tc>
        <w:tc>
          <w:tcPr>
            <w:tcW w:w="1694" w:type="dxa"/>
          </w:tcPr>
          <w:p>
            <w:pPr>
              <w:pStyle w:val="33"/>
              <w:rPr>
                <w:rFonts w:ascii="Times New Roman"/>
                <w:sz w:val="20"/>
              </w:rPr>
            </w:pPr>
          </w:p>
        </w:tc>
        <w:tc>
          <w:tcPr>
            <w:tcW w:w="695"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605" w:type="dxa"/>
          </w:tcPr>
          <w:p>
            <w:pPr>
              <w:pStyle w:val="33"/>
              <w:rPr>
                <w:rFonts w:ascii="Times New Roman"/>
                <w:sz w:val="20"/>
              </w:rPr>
            </w:pPr>
          </w:p>
        </w:tc>
        <w:tc>
          <w:tcPr>
            <w:tcW w:w="1618" w:type="dxa"/>
          </w:tcPr>
          <w:p>
            <w:pPr>
              <w:pStyle w:val="33"/>
              <w:rPr>
                <w:rFonts w:ascii="Times New Roman"/>
                <w:sz w:val="20"/>
              </w:rPr>
            </w:pPr>
          </w:p>
        </w:tc>
        <w:tc>
          <w:tcPr>
            <w:tcW w:w="1029" w:type="dxa"/>
          </w:tcPr>
          <w:p>
            <w:pPr>
              <w:pStyle w:val="33"/>
              <w:rPr>
                <w:rFonts w:ascii="Times New Roman"/>
                <w:sz w:val="20"/>
              </w:rPr>
            </w:pPr>
          </w:p>
        </w:tc>
        <w:tc>
          <w:tcPr>
            <w:tcW w:w="1015" w:type="dxa"/>
          </w:tcPr>
          <w:p>
            <w:pPr>
              <w:pStyle w:val="33"/>
              <w:rPr>
                <w:rFonts w:ascii="Times New Roman"/>
                <w:sz w:val="20"/>
              </w:rPr>
            </w:pPr>
          </w:p>
        </w:tc>
        <w:tc>
          <w:tcPr>
            <w:tcW w:w="1027" w:type="dxa"/>
          </w:tcPr>
          <w:p>
            <w:pPr>
              <w:pStyle w:val="33"/>
              <w:rPr>
                <w:rFonts w:ascii="Times New Roman"/>
                <w:sz w:val="20"/>
              </w:rPr>
            </w:pPr>
          </w:p>
        </w:tc>
        <w:tc>
          <w:tcPr>
            <w:tcW w:w="1024" w:type="dxa"/>
          </w:tcPr>
          <w:p>
            <w:pPr>
              <w:pStyle w:val="33"/>
              <w:rPr>
                <w:rFonts w:ascii="Times New Roman"/>
                <w:sz w:val="20"/>
              </w:rPr>
            </w:pPr>
          </w:p>
        </w:tc>
        <w:tc>
          <w:tcPr>
            <w:tcW w:w="1694" w:type="dxa"/>
          </w:tcPr>
          <w:p>
            <w:pPr>
              <w:pStyle w:val="33"/>
              <w:rPr>
                <w:rFonts w:ascii="Times New Roman"/>
                <w:sz w:val="20"/>
              </w:rPr>
            </w:pPr>
          </w:p>
        </w:tc>
        <w:tc>
          <w:tcPr>
            <w:tcW w:w="695"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5" w:type="dxa"/>
          </w:tcPr>
          <w:p>
            <w:pPr>
              <w:pStyle w:val="33"/>
              <w:rPr>
                <w:rFonts w:ascii="Times New Roman"/>
                <w:sz w:val="20"/>
              </w:rPr>
            </w:pPr>
          </w:p>
        </w:tc>
        <w:tc>
          <w:tcPr>
            <w:tcW w:w="1618" w:type="dxa"/>
          </w:tcPr>
          <w:p>
            <w:pPr>
              <w:pStyle w:val="33"/>
              <w:rPr>
                <w:rFonts w:ascii="Times New Roman"/>
                <w:sz w:val="20"/>
              </w:rPr>
            </w:pPr>
          </w:p>
        </w:tc>
        <w:tc>
          <w:tcPr>
            <w:tcW w:w="1029" w:type="dxa"/>
          </w:tcPr>
          <w:p>
            <w:pPr>
              <w:pStyle w:val="33"/>
              <w:rPr>
                <w:rFonts w:ascii="Times New Roman"/>
                <w:sz w:val="20"/>
              </w:rPr>
            </w:pPr>
          </w:p>
        </w:tc>
        <w:tc>
          <w:tcPr>
            <w:tcW w:w="1015" w:type="dxa"/>
          </w:tcPr>
          <w:p>
            <w:pPr>
              <w:pStyle w:val="33"/>
              <w:rPr>
                <w:rFonts w:ascii="Times New Roman"/>
                <w:sz w:val="20"/>
              </w:rPr>
            </w:pPr>
          </w:p>
        </w:tc>
        <w:tc>
          <w:tcPr>
            <w:tcW w:w="1027" w:type="dxa"/>
          </w:tcPr>
          <w:p>
            <w:pPr>
              <w:pStyle w:val="33"/>
              <w:rPr>
                <w:rFonts w:ascii="Times New Roman"/>
                <w:sz w:val="20"/>
              </w:rPr>
            </w:pPr>
          </w:p>
        </w:tc>
        <w:tc>
          <w:tcPr>
            <w:tcW w:w="1024" w:type="dxa"/>
          </w:tcPr>
          <w:p>
            <w:pPr>
              <w:pStyle w:val="33"/>
              <w:rPr>
                <w:rFonts w:ascii="Times New Roman"/>
                <w:sz w:val="20"/>
              </w:rPr>
            </w:pPr>
          </w:p>
        </w:tc>
        <w:tc>
          <w:tcPr>
            <w:tcW w:w="1694" w:type="dxa"/>
          </w:tcPr>
          <w:p>
            <w:pPr>
              <w:pStyle w:val="33"/>
              <w:rPr>
                <w:rFonts w:ascii="Times New Roman"/>
                <w:sz w:val="20"/>
              </w:rPr>
            </w:pPr>
          </w:p>
        </w:tc>
        <w:tc>
          <w:tcPr>
            <w:tcW w:w="695"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605" w:type="dxa"/>
          </w:tcPr>
          <w:p>
            <w:pPr>
              <w:pStyle w:val="33"/>
              <w:rPr>
                <w:rFonts w:ascii="Times New Roman"/>
                <w:sz w:val="20"/>
              </w:rPr>
            </w:pPr>
          </w:p>
        </w:tc>
        <w:tc>
          <w:tcPr>
            <w:tcW w:w="1618" w:type="dxa"/>
          </w:tcPr>
          <w:p>
            <w:pPr>
              <w:pStyle w:val="33"/>
              <w:rPr>
                <w:rFonts w:ascii="Times New Roman"/>
                <w:sz w:val="20"/>
              </w:rPr>
            </w:pPr>
          </w:p>
        </w:tc>
        <w:tc>
          <w:tcPr>
            <w:tcW w:w="1029" w:type="dxa"/>
          </w:tcPr>
          <w:p>
            <w:pPr>
              <w:pStyle w:val="33"/>
              <w:rPr>
                <w:rFonts w:ascii="Times New Roman"/>
                <w:sz w:val="20"/>
              </w:rPr>
            </w:pPr>
          </w:p>
        </w:tc>
        <w:tc>
          <w:tcPr>
            <w:tcW w:w="1015" w:type="dxa"/>
          </w:tcPr>
          <w:p>
            <w:pPr>
              <w:pStyle w:val="33"/>
              <w:rPr>
                <w:rFonts w:ascii="Times New Roman"/>
                <w:sz w:val="20"/>
              </w:rPr>
            </w:pPr>
          </w:p>
        </w:tc>
        <w:tc>
          <w:tcPr>
            <w:tcW w:w="1027" w:type="dxa"/>
          </w:tcPr>
          <w:p>
            <w:pPr>
              <w:pStyle w:val="33"/>
              <w:rPr>
                <w:rFonts w:ascii="Times New Roman"/>
                <w:sz w:val="20"/>
              </w:rPr>
            </w:pPr>
          </w:p>
        </w:tc>
        <w:tc>
          <w:tcPr>
            <w:tcW w:w="1024" w:type="dxa"/>
          </w:tcPr>
          <w:p>
            <w:pPr>
              <w:pStyle w:val="33"/>
              <w:rPr>
                <w:rFonts w:ascii="Times New Roman"/>
                <w:sz w:val="20"/>
              </w:rPr>
            </w:pPr>
          </w:p>
        </w:tc>
        <w:tc>
          <w:tcPr>
            <w:tcW w:w="1694" w:type="dxa"/>
          </w:tcPr>
          <w:p>
            <w:pPr>
              <w:pStyle w:val="33"/>
              <w:rPr>
                <w:rFonts w:ascii="Times New Roman"/>
                <w:sz w:val="20"/>
              </w:rPr>
            </w:pPr>
          </w:p>
        </w:tc>
        <w:tc>
          <w:tcPr>
            <w:tcW w:w="695"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5" w:type="dxa"/>
          </w:tcPr>
          <w:p>
            <w:pPr>
              <w:pStyle w:val="33"/>
              <w:rPr>
                <w:rFonts w:ascii="Times New Roman"/>
                <w:sz w:val="20"/>
              </w:rPr>
            </w:pPr>
          </w:p>
        </w:tc>
        <w:tc>
          <w:tcPr>
            <w:tcW w:w="1618" w:type="dxa"/>
          </w:tcPr>
          <w:p>
            <w:pPr>
              <w:pStyle w:val="33"/>
              <w:rPr>
                <w:rFonts w:ascii="Times New Roman"/>
                <w:sz w:val="20"/>
              </w:rPr>
            </w:pPr>
          </w:p>
        </w:tc>
        <w:tc>
          <w:tcPr>
            <w:tcW w:w="1029" w:type="dxa"/>
          </w:tcPr>
          <w:p>
            <w:pPr>
              <w:pStyle w:val="33"/>
              <w:rPr>
                <w:rFonts w:ascii="Times New Roman"/>
                <w:sz w:val="20"/>
              </w:rPr>
            </w:pPr>
          </w:p>
        </w:tc>
        <w:tc>
          <w:tcPr>
            <w:tcW w:w="1015" w:type="dxa"/>
          </w:tcPr>
          <w:p>
            <w:pPr>
              <w:pStyle w:val="33"/>
              <w:rPr>
                <w:rFonts w:ascii="Times New Roman"/>
                <w:sz w:val="20"/>
              </w:rPr>
            </w:pPr>
          </w:p>
        </w:tc>
        <w:tc>
          <w:tcPr>
            <w:tcW w:w="1027" w:type="dxa"/>
          </w:tcPr>
          <w:p>
            <w:pPr>
              <w:pStyle w:val="33"/>
              <w:rPr>
                <w:rFonts w:ascii="Times New Roman"/>
                <w:sz w:val="20"/>
              </w:rPr>
            </w:pPr>
          </w:p>
        </w:tc>
        <w:tc>
          <w:tcPr>
            <w:tcW w:w="1024" w:type="dxa"/>
          </w:tcPr>
          <w:p>
            <w:pPr>
              <w:pStyle w:val="33"/>
              <w:rPr>
                <w:rFonts w:ascii="Times New Roman"/>
                <w:sz w:val="20"/>
              </w:rPr>
            </w:pPr>
          </w:p>
        </w:tc>
        <w:tc>
          <w:tcPr>
            <w:tcW w:w="1694" w:type="dxa"/>
          </w:tcPr>
          <w:p>
            <w:pPr>
              <w:pStyle w:val="33"/>
              <w:rPr>
                <w:rFonts w:ascii="Times New Roman"/>
                <w:sz w:val="20"/>
              </w:rPr>
            </w:pPr>
          </w:p>
        </w:tc>
        <w:tc>
          <w:tcPr>
            <w:tcW w:w="695"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605" w:type="dxa"/>
          </w:tcPr>
          <w:p>
            <w:pPr>
              <w:pStyle w:val="33"/>
              <w:rPr>
                <w:rFonts w:ascii="Times New Roman"/>
                <w:sz w:val="20"/>
              </w:rPr>
            </w:pPr>
          </w:p>
        </w:tc>
        <w:tc>
          <w:tcPr>
            <w:tcW w:w="1618" w:type="dxa"/>
          </w:tcPr>
          <w:p>
            <w:pPr>
              <w:pStyle w:val="33"/>
              <w:rPr>
                <w:rFonts w:ascii="Times New Roman"/>
                <w:sz w:val="20"/>
              </w:rPr>
            </w:pPr>
          </w:p>
        </w:tc>
        <w:tc>
          <w:tcPr>
            <w:tcW w:w="1029" w:type="dxa"/>
          </w:tcPr>
          <w:p>
            <w:pPr>
              <w:pStyle w:val="33"/>
              <w:rPr>
                <w:rFonts w:ascii="Times New Roman"/>
                <w:sz w:val="20"/>
              </w:rPr>
            </w:pPr>
          </w:p>
        </w:tc>
        <w:tc>
          <w:tcPr>
            <w:tcW w:w="1015" w:type="dxa"/>
          </w:tcPr>
          <w:p>
            <w:pPr>
              <w:pStyle w:val="33"/>
              <w:rPr>
                <w:rFonts w:ascii="Times New Roman"/>
                <w:sz w:val="20"/>
              </w:rPr>
            </w:pPr>
          </w:p>
        </w:tc>
        <w:tc>
          <w:tcPr>
            <w:tcW w:w="1027" w:type="dxa"/>
          </w:tcPr>
          <w:p>
            <w:pPr>
              <w:pStyle w:val="33"/>
              <w:rPr>
                <w:rFonts w:ascii="Times New Roman"/>
                <w:sz w:val="20"/>
              </w:rPr>
            </w:pPr>
          </w:p>
        </w:tc>
        <w:tc>
          <w:tcPr>
            <w:tcW w:w="1024" w:type="dxa"/>
          </w:tcPr>
          <w:p>
            <w:pPr>
              <w:pStyle w:val="33"/>
              <w:rPr>
                <w:rFonts w:ascii="Times New Roman"/>
                <w:sz w:val="20"/>
              </w:rPr>
            </w:pPr>
          </w:p>
        </w:tc>
        <w:tc>
          <w:tcPr>
            <w:tcW w:w="1694" w:type="dxa"/>
          </w:tcPr>
          <w:p>
            <w:pPr>
              <w:pStyle w:val="33"/>
              <w:rPr>
                <w:rFonts w:ascii="Times New Roman"/>
                <w:sz w:val="20"/>
              </w:rPr>
            </w:pPr>
          </w:p>
        </w:tc>
        <w:tc>
          <w:tcPr>
            <w:tcW w:w="695"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5" w:type="dxa"/>
          </w:tcPr>
          <w:p>
            <w:pPr>
              <w:pStyle w:val="33"/>
              <w:rPr>
                <w:rFonts w:ascii="Times New Roman"/>
                <w:sz w:val="20"/>
              </w:rPr>
            </w:pPr>
          </w:p>
        </w:tc>
        <w:tc>
          <w:tcPr>
            <w:tcW w:w="1618" w:type="dxa"/>
          </w:tcPr>
          <w:p>
            <w:pPr>
              <w:pStyle w:val="33"/>
              <w:rPr>
                <w:rFonts w:ascii="Times New Roman"/>
                <w:sz w:val="20"/>
              </w:rPr>
            </w:pPr>
          </w:p>
        </w:tc>
        <w:tc>
          <w:tcPr>
            <w:tcW w:w="1029" w:type="dxa"/>
          </w:tcPr>
          <w:p>
            <w:pPr>
              <w:pStyle w:val="33"/>
              <w:rPr>
                <w:rFonts w:ascii="Times New Roman"/>
                <w:sz w:val="20"/>
              </w:rPr>
            </w:pPr>
          </w:p>
        </w:tc>
        <w:tc>
          <w:tcPr>
            <w:tcW w:w="1015" w:type="dxa"/>
          </w:tcPr>
          <w:p>
            <w:pPr>
              <w:pStyle w:val="33"/>
              <w:rPr>
                <w:rFonts w:ascii="Times New Roman"/>
                <w:sz w:val="20"/>
              </w:rPr>
            </w:pPr>
          </w:p>
        </w:tc>
        <w:tc>
          <w:tcPr>
            <w:tcW w:w="1027" w:type="dxa"/>
          </w:tcPr>
          <w:p>
            <w:pPr>
              <w:pStyle w:val="33"/>
              <w:rPr>
                <w:rFonts w:ascii="Times New Roman"/>
                <w:sz w:val="20"/>
              </w:rPr>
            </w:pPr>
          </w:p>
        </w:tc>
        <w:tc>
          <w:tcPr>
            <w:tcW w:w="1024" w:type="dxa"/>
          </w:tcPr>
          <w:p>
            <w:pPr>
              <w:pStyle w:val="33"/>
              <w:rPr>
                <w:rFonts w:ascii="Times New Roman"/>
                <w:sz w:val="20"/>
              </w:rPr>
            </w:pPr>
          </w:p>
        </w:tc>
        <w:tc>
          <w:tcPr>
            <w:tcW w:w="1694" w:type="dxa"/>
          </w:tcPr>
          <w:p>
            <w:pPr>
              <w:pStyle w:val="33"/>
              <w:rPr>
                <w:rFonts w:ascii="Times New Roman"/>
                <w:sz w:val="20"/>
              </w:rPr>
            </w:pPr>
          </w:p>
        </w:tc>
        <w:tc>
          <w:tcPr>
            <w:tcW w:w="695"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605" w:type="dxa"/>
          </w:tcPr>
          <w:p>
            <w:pPr>
              <w:pStyle w:val="33"/>
              <w:rPr>
                <w:rFonts w:ascii="Times New Roman"/>
                <w:sz w:val="20"/>
              </w:rPr>
            </w:pPr>
          </w:p>
        </w:tc>
        <w:tc>
          <w:tcPr>
            <w:tcW w:w="1618" w:type="dxa"/>
          </w:tcPr>
          <w:p>
            <w:pPr>
              <w:pStyle w:val="33"/>
              <w:rPr>
                <w:rFonts w:ascii="Times New Roman"/>
                <w:sz w:val="20"/>
              </w:rPr>
            </w:pPr>
          </w:p>
        </w:tc>
        <w:tc>
          <w:tcPr>
            <w:tcW w:w="1029" w:type="dxa"/>
          </w:tcPr>
          <w:p>
            <w:pPr>
              <w:pStyle w:val="33"/>
              <w:rPr>
                <w:rFonts w:ascii="Times New Roman"/>
                <w:sz w:val="20"/>
              </w:rPr>
            </w:pPr>
          </w:p>
        </w:tc>
        <w:tc>
          <w:tcPr>
            <w:tcW w:w="1015" w:type="dxa"/>
          </w:tcPr>
          <w:p>
            <w:pPr>
              <w:pStyle w:val="33"/>
              <w:rPr>
                <w:rFonts w:ascii="Times New Roman"/>
                <w:sz w:val="20"/>
              </w:rPr>
            </w:pPr>
          </w:p>
        </w:tc>
        <w:tc>
          <w:tcPr>
            <w:tcW w:w="1027" w:type="dxa"/>
          </w:tcPr>
          <w:p>
            <w:pPr>
              <w:pStyle w:val="33"/>
              <w:rPr>
                <w:rFonts w:ascii="Times New Roman"/>
                <w:sz w:val="20"/>
              </w:rPr>
            </w:pPr>
          </w:p>
        </w:tc>
        <w:tc>
          <w:tcPr>
            <w:tcW w:w="1024" w:type="dxa"/>
          </w:tcPr>
          <w:p>
            <w:pPr>
              <w:pStyle w:val="33"/>
              <w:rPr>
                <w:rFonts w:ascii="Times New Roman"/>
                <w:sz w:val="20"/>
              </w:rPr>
            </w:pPr>
          </w:p>
        </w:tc>
        <w:tc>
          <w:tcPr>
            <w:tcW w:w="1694" w:type="dxa"/>
          </w:tcPr>
          <w:p>
            <w:pPr>
              <w:pStyle w:val="33"/>
              <w:rPr>
                <w:rFonts w:ascii="Times New Roman"/>
                <w:sz w:val="20"/>
              </w:rPr>
            </w:pPr>
          </w:p>
        </w:tc>
        <w:tc>
          <w:tcPr>
            <w:tcW w:w="695"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5" w:type="dxa"/>
          </w:tcPr>
          <w:p>
            <w:pPr>
              <w:pStyle w:val="33"/>
              <w:rPr>
                <w:rFonts w:ascii="Times New Roman"/>
                <w:sz w:val="20"/>
              </w:rPr>
            </w:pPr>
          </w:p>
        </w:tc>
        <w:tc>
          <w:tcPr>
            <w:tcW w:w="1618" w:type="dxa"/>
          </w:tcPr>
          <w:p>
            <w:pPr>
              <w:pStyle w:val="33"/>
              <w:rPr>
                <w:rFonts w:ascii="Times New Roman"/>
                <w:sz w:val="20"/>
              </w:rPr>
            </w:pPr>
          </w:p>
        </w:tc>
        <w:tc>
          <w:tcPr>
            <w:tcW w:w="1029" w:type="dxa"/>
          </w:tcPr>
          <w:p>
            <w:pPr>
              <w:pStyle w:val="33"/>
              <w:rPr>
                <w:rFonts w:ascii="Times New Roman"/>
                <w:sz w:val="20"/>
              </w:rPr>
            </w:pPr>
          </w:p>
        </w:tc>
        <w:tc>
          <w:tcPr>
            <w:tcW w:w="1015" w:type="dxa"/>
          </w:tcPr>
          <w:p>
            <w:pPr>
              <w:pStyle w:val="33"/>
              <w:rPr>
                <w:rFonts w:ascii="Times New Roman"/>
                <w:sz w:val="20"/>
              </w:rPr>
            </w:pPr>
          </w:p>
        </w:tc>
        <w:tc>
          <w:tcPr>
            <w:tcW w:w="1027" w:type="dxa"/>
          </w:tcPr>
          <w:p>
            <w:pPr>
              <w:pStyle w:val="33"/>
              <w:rPr>
                <w:rFonts w:ascii="Times New Roman"/>
                <w:sz w:val="20"/>
              </w:rPr>
            </w:pPr>
          </w:p>
        </w:tc>
        <w:tc>
          <w:tcPr>
            <w:tcW w:w="1024" w:type="dxa"/>
          </w:tcPr>
          <w:p>
            <w:pPr>
              <w:pStyle w:val="33"/>
              <w:rPr>
                <w:rFonts w:ascii="Times New Roman"/>
                <w:sz w:val="20"/>
              </w:rPr>
            </w:pPr>
          </w:p>
        </w:tc>
        <w:tc>
          <w:tcPr>
            <w:tcW w:w="1694" w:type="dxa"/>
          </w:tcPr>
          <w:p>
            <w:pPr>
              <w:pStyle w:val="33"/>
              <w:rPr>
                <w:rFonts w:ascii="Times New Roman"/>
                <w:sz w:val="20"/>
              </w:rPr>
            </w:pPr>
          </w:p>
        </w:tc>
        <w:tc>
          <w:tcPr>
            <w:tcW w:w="695"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5" w:type="dxa"/>
          </w:tcPr>
          <w:p>
            <w:pPr>
              <w:pStyle w:val="33"/>
              <w:rPr>
                <w:rFonts w:ascii="Times New Roman"/>
                <w:sz w:val="20"/>
              </w:rPr>
            </w:pPr>
          </w:p>
        </w:tc>
        <w:tc>
          <w:tcPr>
            <w:tcW w:w="1618" w:type="dxa"/>
          </w:tcPr>
          <w:p>
            <w:pPr>
              <w:pStyle w:val="33"/>
              <w:rPr>
                <w:rFonts w:ascii="Times New Roman"/>
                <w:sz w:val="20"/>
              </w:rPr>
            </w:pPr>
          </w:p>
        </w:tc>
        <w:tc>
          <w:tcPr>
            <w:tcW w:w="1029" w:type="dxa"/>
          </w:tcPr>
          <w:p>
            <w:pPr>
              <w:pStyle w:val="33"/>
              <w:rPr>
                <w:rFonts w:ascii="Times New Roman"/>
                <w:sz w:val="20"/>
              </w:rPr>
            </w:pPr>
          </w:p>
        </w:tc>
        <w:tc>
          <w:tcPr>
            <w:tcW w:w="1015" w:type="dxa"/>
          </w:tcPr>
          <w:p>
            <w:pPr>
              <w:pStyle w:val="33"/>
              <w:rPr>
                <w:rFonts w:ascii="Times New Roman"/>
                <w:sz w:val="20"/>
              </w:rPr>
            </w:pPr>
          </w:p>
        </w:tc>
        <w:tc>
          <w:tcPr>
            <w:tcW w:w="1027" w:type="dxa"/>
          </w:tcPr>
          <w:p>
            <w:pPr>
              <w:pStyle w:val="33"/>
              <w:rPr>
                <w:rFonts w:ascii="Times New Roman"/>
                <w:sz w:val="20"/>
              </w:rPr>
            </w:pPr>
          </w:p>
        </w:tc>
        <w:tc>
          <w:tcPr>
            <w:tcW w:w="1024" w:type="dxa"/>
          </w:tcPr>
          <w:p>
            <w:pPr>
              <w:pStyle w:val="33"/>
              <w:rPr>
                <w:rFonts w:ascii="Times New Roman"/>
                <w:sz w:val="20"/>
              </w:rPr>
            </w:pPr>
          </w:p>
        </w:tc>
        <w:tc>
          <w:tcPr>
            <w:tcW w:w="1694" w:type="dxa"/>
          </w:tcPr>
          <w:p>
            <w:pPr>
              <w:pStyle w:val="33"/>
              <w:rPr>
                <w:rFonts w:ascii="Times New Roman"/>
                <w:sz w:val="20"/>
              </w:rPr>
            </w:pPr>
          </w:p>
        </w:tc>
        <w:tc>
          <w:tcPr>
            <w:tcW w:w="695"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5" w:type="dxa"/>
          </w:tcPr>
          <w:p>
            <w:pPr>
              <w:pStyle w:val="33"/>
              <w:rPr>
                <w:rFonts w:ascii="Times New Roman"/>
                <w:sz w:val="20"/>
              </w:rPr>
            </w:pPr>
          </w:p>
        </w:tc>
        <w:tc>
          <w:tcPr>
            <w:tcW w:w="1618" w:type="dxa"/>
          </w:tcPr>
          <w:p>
            <w:pPr>
              <w:pStyle w:val="33"/>
              <w:rPr>
                <w:rFonts w:ascii="Times New Roman"/>
                <w:sz w:val="20"/>
              </w:rPr>
            </w:pPr>
          </w:p>
        </w:tc>
        <w:tc>
          <w:tcPr>
            <w:tcW w:w="1029" w:type="dxa"/>
          </w:tcPr>
          <w:p>
            <w:pPr>
              <w:pStyle w:val="33"/>
              <w:rPr>
                <w:rFonts w:ascii="Times New Roman"/>
                <w:sz w:val="20"/>
              </w:rPr>
            </w:pPr>
          </w:p>
        </w:tc>
        <w:tc>
          <w:tcPr>
            <w:tcW w:w="1015" w:type="dxa"/>
          </w:tcPr>
          <w:p>
            <w:pPr>
              <w:pStyle w:val="33"/>
              <w:rPr>
                <w:rFonts w:ascii="Times New Roman"/>
                <w:sz w:val="20"/>
              </w:rPr>
            </w:pPr>
          </w:p>
        </w:tc>
        <w:tc>
          <w:tcPr>
            <w:tcW w:w="1027" w:type="dxa"/>
          </w:tcPr>
          <w:p>
            <w:pPr>
              <w:pStyle w:val="33"/>
              <w:rPr>
                <w:rFonts w:ascii="Times New Roman"/>
                <w:sz w:val="20"/>
              </w:rPr>
            </w:pPr>
          </w:p>
        </w:tc>
        <w:tc>
          <w:tcPr>
            <w:tcW w:w="1024" w:type="dxa"/>
          </w:tcPr>
          <w:p>
            <w:pPr>
              <w:pStyle w:val="33"/>
              <w:rPr>
                <w:rFonts w:ascii="Times New Roman"/>
                <w:sz w:val="20"/>
              </w:rPr>
            </w:pPr>
          </w:p>
        </w:tc>
        <w:tc>
          <w:tcPr>
            <w:tcW w:w="1694" w:type="dxa"/>
          </w:tcPr>
          <w:p>
            <w:pPr>
              <w:pStyle w:val="33"/>
              <w:rPr>
                <w:rFonts w:ascii="Times New Roman"/>
                <w:sz w:val="20"/>
              </w:rPr>
            </w:pPr>
          </w:p>
        </w:tc>
        <w:tc>
          <w:tcPr>
            <w:tcW w:w="695"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5" w:type="dxa"/>
          </w:tcPr>
          <w:p>
            <w:pPr>
              <w:pStyle w:val="33"/>
              <w:rPr>
                <w:rFonts w:ascii="Times New Roman"/>
                <w:sz w:val="20"/>
              </w:rPr>
            </w:pPr>
          </w:p>
        </w:tc>
        <w:tc>
          <w:tcPr>
            <w:tcW w:w="1618" w:type="dxa"/>
          </w:tcPr>
          <w:p>
            <w:pPr>
              <w:pStyle w:val="33"/>
              <w:rPr>
                <w:rFonts w:ascii="Times New Roman"/>
                <w:sz w:val="20"/>
              </w:rPr>
            </w:pPr>
          </w:p>
        </w:tc>
        <w:tc>
          <w:tcPr>
            <w:tcW w:w="1029" w:type="dxa"/>
          </w:tcPr>
          <w:p>
            <w:pPr>
              <w:pStyle w:val="33"/>
              <w:rPr>
                <w:rFonts w:ascii="Times New Roman"/>
                <w:sz w:val="20"/>
              </w:rPr>
            </w:pPr>
          </w:p>
        </w:tc>
        <w:tc>
          <w:tcPr>
            <w:tcW w:w="1015" w:type="dxa"/>
          </w:tcPr>
          <w:p>
            <w:pPr>
              <w:pStyle w:val="33"/>
              <w:rPr>
                <w:rFonts w:ascii="Times New Roman"/>
                <w:sz w:val="20"/>
              </w:rPr>
            </w:pPr>
          </w:p>
        </w:tc>
        <w:tc>
          <w:tcPr>
            <w:tcW w:w="1027" w:type="dxa"/>
          </w:tcPr>
          <w:p>
            <w:pPr>
              <w:pStyle w:val="33"/>
              <w:rPr>
                <w:rFonts w:ascii="Times New Roman"/>
                <w:sz w:val="20"/>
              </w:rPr>
            </w:pPr>
          </w:p>
        </w:tc>
        <w:tc>
          <w:tcPr>
            <w:tcW w:w="1024" w:type="dxa"/>
          </w:tcPr>
          <w:p>
            <w:pPr>
              <w:pStyle w:val="33"/>
              <w:rPr>
                <w:rFonts w:ascii="Times New Roman"/>
                <w:sz w:val="20"/>
              </w:rPr>
            </w:pPr>
          </w:p>
        </w:tc>
        <w:tc>
          <w:tcPr>
            <w:tcW w:w="1694" w:type="dxa"/>
          </w:tcPr>
          <w:p>
            <w:pPr>
              <w:pStyle w:val="33"/>
              <w:rPr>
                <w:rFonts w:ascii="Times New Roman"/>
                <w:sz w:val="20"/>
              </w:rPr>
            </w:pPr>
          </w:p>
        </w:tc>
        <w:tc>
          <w:tcPr>
            <w:tcW w:w="695" w:type="dxa"/>
          </w:tcPr>
          <w:p>
            <w:pPr>
              <w:pStyle w:val="33"/>
              <w:rPr>
                <w:rFonts w:ascii="Times New Roman"/>
                <w:sz w:val="20"/>
              </w:rPr>
            </w:pP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bookmarkEnd w:id="214"/>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4"/>
        <w:spacing w:beforeLines="100" w:afterLines="150" w:line="360" w:lineRule="exact"/>
        <w:rPr>
          <w:rFonts w:ascii="宋体" w:hAnsi="宋体" w:cs="宋体"/>
          <w:szCs w:val="28"/>
        </w:rPr>
      </w:pPr>
      <w:bookmarkStart w:id="225" w:name="_Toc25154"/>
      <w:r>
        <w:rPr>
          <w:rFonts w:hint="eastAsia" w:ascii="宋体" w:hAnsi="宋体" w:cs="宋体"/>
          <w:szCs w:val="28"/>
        </w:rPr>
        <w:br w:type="page"/>
      </w:r>
    </w:p>
    <w:p>
      <w:pPr>
        <w:pStyle w:val="4"/>
        <w:spacing w:beforeLines="100" w:afterLines="150" w:line="360" w:lineRule="exact"/>
        <w:rPr>
          <w:rFonts w:ascii="宋体" w:hAnsi="宋体" w:cs="宋体"/>
          <w:szCs w:val="28"/>
        </w:rPr>
      </w:pPr>
    </w:p>
    <w:p>
      <w:pPr>
        <w:pStyle w:val="4"/>
        <w:spacing w:beforeLines="100" w:afterLines="150" w:line="360" w:lineRule="exact"/>
        <w:rPr>
          <w:rFonts w:ascii="宋体" w:hAnsi="宋体" w:cs="宋体"/>
          <w:szCs w:val="28"/>
        </w:rPr>
      </w:pPr>
    </w:p>
    <w:p>
      <w:pPr>
        <w:pStyle w:val="4"/>
        <w:spacing w:beforeLines="100" w:afterLines="150" w:line="360" w:lineRule="exact"/>
        <w:rPr>
          <w:rFonts w:ascii="宋体" w:hAnsi="宋体" w:cs="宋体"/>
          <w:szCs w:val="28"/>
        </w:rPr>
      </w:pPr>
      <w:r>
        <w:rPr>
          <w:rFonts w:hint="eastAsia" w:ascii="宋体" w:hAnsi="宋体" w:cs="宋体"/>
          <w:szCs w:val="28"/>
        </w:rPr>
        <w:t>七、其 他 材 料</w:t>
      </w:r>
      <w:bookmarkEnd w:id="225"/>
    </w:p>
    <w:p>
      <w:pPr>
        <w:numPr>
          <w:ilvl w:val="0"/>
          <w:numId w:val="9"/>
        </w:numPr>
        <w:ind w:left="357" w:hanging="357"/>
      </w:pPr>
      <w:r>
        <w:rPr>
          <w:rFonts w:hint="eastAsia"/>
          <w:lang w:eastAsia="zh-CN"/>
        </w:rPr>
        <w:t>交易文件</w:t>
      </w:r>
      <w:r>
        <w:rPr>
          <w:rFonts w:hint="eastAsia"/>
        </w:rPr>
        <w:t>澄清或修改通知（如有）；</w:t>
      </w:r>
    </w:p>
    <w:p>
      <w:pPr>
        <w:numPr>
          <w:ilvl w:val="0"/>
          <w:numId w:val="9"/>
        </w:numPr>
        <w:spacing w:line="360" w:lineRule="auto"/>
        <w:ind w:left="357" w:hanging="357"/>
      </w:pPr>
      <w:r>
        <w:rPr>
          <w:rFonts w:hint="eastAsia"/>
        </w:rPr>
        <w:t>民工工资支付承诺书；</w:t>
      </w:r>
    </w:p>
    <w:p>
      <w:pPr>
        <w:numPr>
          <w:ilvl w:val="0"/>
          <w:numId w:val="9"/>
        </w:numPr>
        <w:ind w:left="357" w:hanging="357"/>
      </w:pPr>
      <w:r>
        <w:rPr>
          <w:rFonts w:hint="eastAsia"/>
        </w:rPr>
        <w:t>承诺函；</w:t>
      </w:r>
    </w:p>
    <w:p>
      <w:pPr>
        <w:numPr>
          <w:ilvl w:val="0"/>
          <w:numId w:val="9"/>
        </w:numPr>
        <w:ind w:left="357" w:hanging="357"/>
      </w:pPr>
      <w:r>
        <w:rPr>
          <w:rFonts w:hint="eastAsia"/>
        </w:rPr>
        <w:t>信用等级情况表；</w:t>
      </w:r>
    </w:p>
    <w:p>
      <w:pPr>
        <w:tabs>
          <w:tab w:val="left" w:pos="3516"/>
        </w:tabs>
        <w:spacing w:before="66"/>
        <w:ind w:left="1968"/>
        <w:jc w:val="left"/>
        <w:rPr>
          <w:rFonts w:ascii="黑体" w:eastAsia="黑体"/>
          <w:sz w:val="31"/>
        </w:rPr>
      </w:pPr>
    </w:p>
    <w:p>
      <w:pPr>
        <w:pStyle w:val="10"/>
        <w:rPr>
          <w:rFonts w:ascii="黑体"/>
          <w:sz w:val="20"/>
        </w:rPr>
      </w:pPr>
    </w:p>
    <w:p>
      <w:pPr>
        <w:pStyle w:val="10"/>
        <w:rPr>
          <w:rFonts w:ascii="黑体"/>
          <w:sz w:val="20"/>
        </w:rPr>
      </w:pPr>
    </w:p>
    <w:p>
      <w:pPr>
        <w:pStyle w:val="10"/>
        <w:rPr>
          <w:rFonts w:ascii="黑体"/>
          <w:sz w:val="20"/>
        </w:rPr>
      </w:pPr>
    </w:p>
    <w:p>
      <w:pPr>
        <w:pStyle w:val="10"/>
        <w:spacing w:before="2"/>
        <w:rPr>
          <w:rFonts w:ascii="黑体"/>
          <w:sz w:val="19"/>
        </w:rPr>
      </w:pPr>
    </w:p>
    <w:p>
      <w:pPr>
        <w:pStyle w:val="10"/>
        <w:tabs>
          <w:tab w:val="left" w:pos="2212"/>
          <w:tab w:val="left" w:pos="4918"/>
        </w:tabs>
        <w:spacing w:before="74"/>
        <w:ind w:right="293"/>
        <w:jc w:val="center"/>
        <w:rPr>
          <w:rFonts w:eastAsia="Times New Roman"/>
          <w:u w:val="single"/>
        </w:rPr>
      </w:pPr>
      <w:r>
        <w:rPr>
          <w:rFonts w:eastAsia="Times New Roman"/>
          <w:u w:val="single"/>
        </w:rPr>
        <w:br w:type="page"/>
      </w:r>
    </w:p>
    <w:p>
      <w:pPr>
        <w:pStyle w:val="10"/>
        <w:tabs>
          <w:tab w:val="left" w:pos="2212"/>
          <w:tab w:val="left" w:pos="4918"/>
        </w:tabs>
        <w:spacing w:before="74"/>
        <w:ind w:right="293"/>
        <w:jc w:val="center"/>
        <w:rPr>
          <w:rFonts w:ascii="黑体" w:eastAsia="黑体"/>
        </w:rPr>
      </w:pPr>
      <w:r>
        <w:rPr>
          <w:rFonts w:eastAsia="Times New Roman"/>
          <w:u w:val="single"/>
        </w:rPr>
        <w:t xml:space="preserve"> </w:t>
      </w:r>
      <w:r>
        <w:rPr>
          <w:rFonts w:eastAsia="Times New Roman"/>
          <w:u w:val="single"/>
        </w:rPr>
        <w:tab/>
      </w:r>
      <w:r>
        <w:rPr>
          <w:rFonts w:eastAsia="Times New Roman"/>
          <w:spacing w:val="5"/>
        </w:rPr>
        <w:t xml:space="preserve"> </w:t>
      </w:r>
      <w:r>
        <w:rPr>
          <w:rFonts w:hint="eastAsia" w:ascii="黑体" w:eastAsia="黑体"/>
        </w:rPr>
        <w:t>（项目名称）</w:t>
      </w:r>
      <w:r>
        <w:rPr>
          <w:rFonts w:hint="eastAsia" w:ascii="黑体" w:eastAsia="黑体"/>
          <w:u w:val="single"/>
        </w:rPr>
        <w:t xml:space="preserve"> </w:t>
      </w:r>
      <w:r>
        <w:rPr>
          <w:rFonts w:hint="eastAsia" w:ascii="黑体" w:eastAsia="黑体"/>
          <w:u w:val="single"/>
        </w:rPr>
        <w:tab/>
      </w:r>
      <w:r>
        <w:rPr>
          <w:rFonts w:hint="eastAsia" w:ascii="黑体" w:eastAsia="黑体"/>
        </w:rPr>
        <w:t>标段施工招标</w:t>
      </w:r>
    </w:p>
    <w:p>
      <w:pPr>
        <w:pStyle w:val="10"/>
        <w:rPr>
          <w:rFonts w:ascii="黑体"/>
          <w:sz w:val="26"/>
        </w:rPr>
      </w:pPr>
    </w:p>
    <w:p>
      <w:pPr>
        <w:pStyle w:val="10"/>
        <w:rPr>
          <w:rFonts w:ascii="黑体"/>
          <w:sz w:val="26"/>
        </w:rPr>
      </w:pPr>
    </w:p>
    <w:p>
      <w:pPr>
        <w:pStyle w:val="10"/>
        <w:spacing w:before="3"/>
        <w:rPr>
          <w:rFonts w:ascii="黑体"/>
          <w:sz w:val="35"/>
        </w:rPr>
      </w:pPr>
    </w:p>
    <w:p>
      <w:pPr>
        <w:pStyle w:val="5"/>
        <w:tabs>
          <w:tab w:val="left" w:pos="1440"/>
          <w:tab w:val="left" w:pos="2880"/>
          <w:tab w:val="left" w:pos="4320"/>
        </w:tabs>
        <w:ind w:right="181"/>
        <w:rPr>
          <w:rFonts w:hint="eastAsia" w:eastAsia="黑体"/>
          <w:sz w:val="48"/>
          <w:szCs w:val="36"/>
          <w:lang w:eastAsia="zh-CN"/>
        </w:rPr>
      </w:pPr>
      <w:bookmarkStart w:id="226" w:name="_bookmark322"/>
      <w:bookmarkEnd w:id="226"/>
      <w:r>
        <w:rPr>
          <w:rFonts w:hint="eastAsia"/>
          <w:sz w:val="48"/>
          <w:szCs w:val="36"/>
          <w:lang w:eastAsia="zh-CN"/>
        </w:rPr>
        <w:t>交易响应文件</w:t>
      </w:r>
    </w:p>
    <w:p>
      <w:pPr>
        <w:pStyle w:val="7"/>
        <w:spacing w:before="479"/>
        <w:ind w:right="180"/>
        <w:jc w:val="center"/>
        <w:rPr>
          <w:color w:val="auto"/>
        </w:rPr>
      </w:pPr>
      <w:r>
        <w:rPr>
          <w:color w:val="auto"/>
        </w:rPr>
        <w:t>（报价文件）</w:t>
      </w: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spacing w:before="5"/>
        <w:rPr>
          <w:rFonts w:ascii="黑体"/>
          <w:sz w:val="45"/>
        </w:rPr>
      </w:pPr>
    </w:p>
    <w:p>
      <w:pPr>
        <w:tabs>
          <w:tab w:val="left" w:pos="5880"/>
        </w:tabs>
        <w:spacing w:before="1"/>
        <w:ind w:right="178"/>
        <w:jc w:val="center"/>
        <w:rPr>
          <w:rFonts w:ascii="黑体" w:eastAsia="黑体"/>
          <w:sz w:val="28"/>
        </w:rPr>
      </w:pPr>
      <w:r>
        <w:rPr>
          <w:rFonts w:hint="eastAsia" w:ascii="黑体" w:eastAsia="黑体"/>
          <w:sz w:val="28"/>
          <w:lang w:eastAsia="zh-CN"/>
        </w:rPr>
        <w:t>交易响应单位</w:t>
      </w:r>
      <w:r>
        <w:rPr>
          <w:rFonts w:hint="eastAsia" w:ascii="黑体" w:eastAsia="黑体"/>
          <w:sz w:val="28"/>
        </w:rPr>
        <w:t>：</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（盖单</w:t>
      </w:r>
      <w:r>
        <w:rPr>
          <w:rFonts w:hint="eastAsia" w:ascii="黑体" w:eastAsia="黑体"/>
          <w:spacing w:val="-3"/>
          <w:sz w:val="28"/>
        </w:rPr>
        <w:t>位</w:t>
      </w:r>
      <w:r>
        <w:rPr>
          <w:rFonts w:hint="eastAsia" w:ascii="黑体" w:eastAsia="黑体"/>
          <w:sz w:val="28"/>
        </w:rPr>
        <w:t>章）</w:t>
      </w:r>
    </w:p>
    <w:p>
      <w:pPr>
        <w:pStyle w:val="10"/>
        <w:rPr>
          <w:rFonts w:ascii="黑体"/>
          <w:sz w:val="20"/>
        </w:rPr>
      </w:pPr>
    </w:p>
    <w:p>
      <w:pPr>
        <w:pStyle w:val="10"/>
        <w:spacing w:before="12"/>
        <w:rPr>
          <w:rFonts w:ascii="黑体"/>
          <w:sz w:val="15"/>
        </w:rPr>
      </w:pPr>
    </w:p>
    <w:p>
      <w:pPr>
        <w:tabs>
          <w:tab w:val="left" w:pos="3550"/>
          <w:tab w:val="left" w:pos="4952"/>
          <w:tab w:val="left" w:pos="6490"/>
        </w:tabs>
        <w:spacing w:before="62"/>
        <w:ind w:left="2432"/>
        <w:jc w:val="left"/>
        <w:rPr>
          <w:rFonts w:ascii="黑体" w:eastAsia="黑体"/>
          <w:sz w:val="28"/>
        </w:rPr>
      </w:pPr>
      <w:r>
        <w:rPr>
          <w:rFonts w:eastAsia="Times New Roman"/>
          <w:sz w:val="28"/>
          <w:u w:val="single"/>
        </w:rPr>
        <w:t xml:space="preserve"> </w:t>
      </w:r>
      <w:r>
        <w:rPr>
          <w:rFonts w:eastAsia="Times New Roman"/>
          <w:sz w:val="28"/>
          <w:u w:val="single"/>
        </w:rPr>
        <w:tab/>
      </w:r>
      <w:r>
        <w:rPr>
          <w:rFonts w:hint="eastAsia" w:ascii="黑体" w:eastAsia="黑体"/>
          <w:sz w:val="28"/>
        </w:rPr>
        <w:t>年</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月</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日</w:t>
      </w:r>
    </w:p>
    <w:p>
      <w:pPr>
        <w:jc w:val="left"/>
        <w:rPr>
          <w:rFonts w:ascii="黑体" w:eastAsia="黑体"/>
          <w:sz w:val="28"/>
        </w:rPr>
        <w:sectPr>
          <w:pgSz w:w="11911" w:h="16849"/>
          <w:pgMar w:top="1480" w:right="1202" w:bottom="1480" w:left="1219" w:header="879" w:footer="850" w:gutter="0"/>
          <w:pgBorders>
            <w:top w:val="none" w:sz="0" w:space="0"/>
            <w:left w:val="none" w:sz="0" w:space="0"/>
            <w:bottom w:val="none" w:sz="0" w:space="0"/>
            <w:right w:val="none" w:sz="0" w:space="0"/>
          </w:pgBorders>
          <w:cols w:space="425" w:num="1"/>
        </w:sectPr>
      </w:pPr>
    </w:p>
    <w:p>
      <w:pPr>
        <w:pStyle w:val="10"/>
        <w:rPr>
          <w:rFonts w:ascii="黑体"/>
          <w:sz w:val="20"/>
        </w:rPr>
      </w:pPr>
    </w:p>
    <w:p>
      <w:pPr>
        <w:jc w:val="center"/>
        <w:rPr>
          <w:rFonts w:hint="eastAsia" w:ascii="黑体" w:hAnsi="宋体" w:eastAsia="黑体"/>
          <w:b/>
          <w:color w:val="000000"/>
          <w:sz w:val="36"/>
          <w:szCs w:val="36"/>
        </w:rPr>
      </w:pPr>
    </w:p>
    <w:p>
      <w:pPr>
        <w:jc w:val="center"/>
        <w:rPr>
          <w:rFonts w:hint="eastAsia" w:ascii="黑体" w:hAnsi="宋体" w:eastAsia="黑体"/>
          <w:b/>
          <w:color w:val="000000"/>
          <w:sz w:val="36"/>
          <w:szCs w:val="36"/>
        </w:rPr>
      </w:pPr>
      <w:r>
        <w:rPr>
          <w:rFonts w:hint="eastAsia" w:ascii="黑体" w:hAnsi="宋体" w:eastAsia="黑体"/>
          <w:b/>
          <w:color w:val="000000"/>
          <w:sz w:val="36"/>
          <w:szCs w:val="36"/>
        </w:rPr>
        <w:t xml:space="preserve">目 </w:t>
      </w:r>
      <w:r>
        <w:rPr>
          <w:rFonts w:hint="eastAsia" w:ascii="黑体" w:hAnsi="宋体" w:eastAsia="黑体"/>
          <w:b/>
          <w:color w:val="000000"/>
          <w:sz w:val="36"/>
          <w:szCs w:val="36"/>
        </w:rPr>
        <w:tab/>
      </w:r>
      <w:r>
        <w:rPr>
          <w:rFonts w:hint="eastAsia" w:ascii="黑体" w:hAnsi="宋体" w:eastAsia="黑体"/>
          <w:b/>
          <w:color w:val="000000"/>
          <w:sz w:val="36"/>
          <w:szCs w:val="36"/>
        </w:rPr>
        <w:t>录</w:t>
      </w:r>
    </w:p>
    <w:p>
      <w:pPr>
        <w:spacing w:line="460" w:lineRule="exact"/>
        <w:rPr>
          <w:rFonts w:hint="eastAsia" w:ascii="宋体" w:hAnsi="宋体"/>
          <w:color w:val="000000"/>
          <w:sz w:val="24"/>
        </w:rPr>
      </w:pPr>
    </w:p>
    <w:p>
      <w:pPr>
        <w:spacing w:line="460" w:lineRule="exact"/>
        <w:rPr>
          <w:rFonts w:hint="eastAsia" w:ascii="宋体" w:hAnsi="宋体"/>
          <w:color w:val="000000"/>
          <w:sz w:val="24"/>
        </w:rPr>
      </w:pPr>
    </w:p>
    <w:p>
      <w:pPr>
        <w:spacing w:line="460" w:lineRule="exact"/>
        <w:ind w:firstLine="1260" w:firstLineChars="450"/>
        <w:rPr>
          <w:rFonts w:hint="eastAsia" w:ascii="宋体" w:hAnsi="宋体"/>
          <w:color w:val="000000"/>
          <w:sz w:val="28"/>
          <w:szCs w:val="28"/>
        </w:rPr>
      </w:pPr>
      <w:r>
        <w:rPr>
          <w:rFonts w:hint="eastAsia" w:ascii="宋体" w:hAnsi="宋体"/>
          <w:color w:val="000000"/>
          <w:sz w:val="28"/>
          <w:szCs w:val="28"/>
        </w:rPr>
        <w:t>一、</w:t>
      </w:r>
      <w:r>
        <w:rPr>
          <w:rFonts w:ascii="宋体" w:hAnsi="宋体"/>
          <w:color w:val="000000"/>
          <w:sz w:val="28"/>
          <w:szCs w:val="28"/>
        </w:rPr>
        <w:t>投标</w:t>
      </w:r>
      <w:r>
        <w:rPr>
          <w:rFonts w:hint="eastAsia" w:ascii="宋体" w:hAnsi="宋体"/>
          <w:color w:val="000000"/>
          <w:sz w:val="28"/>
          <w:szCs w:val="28"/>
        </w:rPr>
        <w:t>报价</w:t>
      </w:r>
      <w:r>
        <w:rPr>
          <w:rFonts w:ascii="宋体" w:hAnsi="宋体"/>
          <w:color w:val="000000"/>
          <w:sz w:val="28"/>
          <w:szCs w:val="28"/>
        </w:rPr>
        <w:t>函</w:t>
      </w:r>
    </w:p>
    <w:p>
      <w:pPr>
        <w:spacing w:line="460" w:lineRule="exact"/>
        <w:ind w:firstLine="1260" w:firstLineChars="450"/>
        <w:rPr>
          <w:rFonts w:hint="eastAsia" w:ascii="宋体" w:hAnsi="宋体"/>
          <w:color w:val="000000"/>
          <w:sz w:val="28"/>
          <w:szCs w:val="28"/>
        </w:rPr>
      </w:pPr>
      <w:r>
        <w:rPr>
          <w:rFonts w:ascii="宋体" w:hAnsi="宋体"/>
          <w:color w:val="000000"/>
          <w:sz w:val="28"/>
          <w:szCs w:val="28"/>
        </w:rPr>
        <w:t>二、</w:t>
      </w:r>
      <w:r>
        <w:rPr>
          <w:rFonts w:hint="eastAsia" w:ascii="宋体" w:hAnsi="宋体"/>
          <w:color w:val="000000"/>
          <w:sz w:val="28"/>
          <w:szCs w:val="28"/>
        </w:rPr>
        <w:t>已标价的工程量清单</w:t>
      </w:r>
    </w:p>
    <w:p>
      <w:pPr>
        <w:spacing w:line="460" w:lineRule="exact"/>
        <w:ind w:firstLine="1260" w:firstLineChars="450"/>
        <w:rPr>
          <w:rFonts w:hint="eastAsia" w:ascii="宋体" w:hAnsi="宋体"/>
          <w:color w:val="000000"/>
          <w:sz w:val="28"/>
          <w:szCs w:val="28"/>
        </w:rPr>
      </w:pPr>
    </w:p>
    <w:p>
      <w:pPr>
        <w:spacing w:line="460" w:lineRule="exact"/>
        <w:ind w:firstLine="1260" w:firstLineChars="450"/>
        <w:rPr>
          <w:rFonts w:hint="eastAsia" w:ascii="宋体" w:hAnsi="宋体"/>
          <w:color w:val="000000"/>
          <w:sz w:val="28"/>
          <w:szCs w:val="28"/>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spacing w:after="100" w:afterAutospacing="1" w:line="300" w:lineRule="atLeast"/>
        <w:jc w:val="center"/>
        <w:rPr>
          <w:rFonts w:hint="eastAsia" w:ascii="黑体" w:hAnsi="Calibri" w:eastAsia="黑体"/>
          <w:color w:val="000000"/>
          <w:sz w:val="36"/>
          <w:szCs w:val="36"/>
        </w:rPr>
      </w:pPr>
      <w:r>
        <w:rPr>
          <w:rFonts w:hint="eastAsia" w:ascii="黑体" w:hAnsi="Calibri" w:eastAsia="黑体"/>
          <w:color w:val="000000"/>
          <w:sz w:val="36"/>
          <w:szCs w:val="36"/>
        </w:rPr>
        <w:t>一、投标函</w:t>
      </w:r>
    </w:p>
    <w:p>
      <w:pPr>
        <w:spacing w:line="420" w:lineRule="exact"/>
        <w:rPr>
          <w:rFonts w:ascii="宋体" w:hAnsi="宋体"/>
          <w:color w:val="000000"/>
          <w:sz w:val="24"/>
          <w:szCs w:val="24"/>
        </w:rPr>
      </w:pPr>
      <w:r>
        <w:rPr>
          <w:rFonts w:hint="eastAsia" w:ascii="宋体" w:hAnsi="宋体"/>
          <w:color w:val="000000"/>
          <w:sz w:val="24"/>
          <w:szCs w:val="24"/>
          <w:u w:val="single"/>
        </w:rPr>
        <w:t xml:space="preserve">    （招标人名称）   </w:t>
      </w:r>
      <w:r>
        <w:rPr>
          <w:rFonts w:ascii="宋体" w:hAnsi="宋体"/>
          <w:color w:val="000000"/>
          <w:sz w:val="24"/>
          <w:szCs w:val="24"/>
        </w:rPr>
        <w:t>：</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我方已仔细研究了</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（项目名称）</w:t>
      </w:r>
      <w:r>
        <w:rPr>
          <w:rFonts w:hint="eastAsia" w:ascii="宋体" w:hAnsi="宋体"/>
          <w:color w:val="000000"/>
          <w:sz w:val="24"/>
          <w:szCs w:val="24"/>
          <w:u w:val="single"/>
        </w:rPr>
        <w:t xml:space="preserve">      </w:t>
      </w:r>
      <w:r>
        <w:rPr>
          <w:rFonts w:ascii="宋体" w:hAnsi="宋体"/>
          <w:color w:val="000000"/>
          <w:sz w:val="24"/>
          <w:szCs w:val="24"/>
        </w:rPr>
        <w:t>施工招标文件的全部内容</w:t>
      </w:r>
      <w:r>
        <w:rPr>
          <w:rFonts w:hint="eastAsia" w:ascii="宋体" w:hAnsi="宋体"/>
          <w:color w:val="000000"/>
          <w:sz w:val="24"/>
          <w:szCs w:val="24"/>
        </w:rPr>
        <w:t>（含补遗书第</w:t>
      </w:r>
      <w:r>
        <w:rPr>
          <w:rFonts w:hint="eastAsia" w:ascii="宋体" w:hAnsi="宋体"/>
          <w:color w:val="000000"/>
          <w:sz w:val="24"/>
          <w:szCs w:val="24"/>
          <w:u w:val="single"/>
        </w:rPr>
        <w:t xml:space="preserve">   </w:t>
      </w:r>
      <w:r>
        <w:rPr>
          <w:rFonts w:hint="eastAsia" w:ascii="宋体" w:hAnsi="宋体"/>
          <w:color w:val="000000"/>
          <w:sz w:val="24"/>
          <w:szCs w:val="24"/>
        </w:rPr>
        <w:t>号至第</w:t>
      </w:r>
      <w:r>
        <w:rPr>
          <w:rFonts w:hint="eastAsia" w:ascii="宋体" w:hAnsi="宋体"/>
          <w:color w:val="000000"/>
          <w:sz w:val="24"/>
          <w:szCs w:val="24"/>
          <w:u w:val="single"/>
        </w:rPr>
        <w:t xml:space="preserve">   </w:t>
      </w:r>
      <w:r>
        <w:rPr>
          <w:rFonts w:hint="eastAsia" w:ascii="宋体" w:hAnsi="宋体"/>
          <w:color w:val="000000"/>
          <w:sz w:val="24"/>
          <w:szCs w:val="24"/>
        </w:rPr>
        <w:t>号）</w:t>
      </w:r>
      <w:r>
        <w:rPr>
          <w:rFonts w:ascii="宋体" w:hAnsi="宋体"/>
          <w:color w:val="000000"/>
          <w:sz w:val="24"/>
          <w:szCs w:val="24"/>
        </w:rPr>
        <w:t>，</w:t>
      </w:r>
      <w:r>
        <w:rPr>
          <w:rFonts w:hint="eastAsia" w:ascii="宋体" w:hAnsi="宋体"/>
          <w:color w:val="000000"/>
          <w:sz w:val="24"/>
          <w:szCs w:val="24"/>
        </w:rPr>
        <w:t>在考察工程现场后，</w:t>
      </w:r>
      <w:r>
        <w:rPr>
          <w:rFonts w:ascii="宋体" w:hAnsi="宋体"/>
          <w:color w:val="000000"/>
          <w:sz w:val="24"/>
          <w:szCs w:val="24"/>
        </w:rPr>
        <w:t>愿意以人民币（大写）</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元（¥</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）的投标总报价（或根据招标文件规定修正核实后确定的另一金额</w:t>
      </w:r>
      <w:r>
        <w:rPr>
          <w:rFonts w:hint="eastAsia" w:ascii="宋体" w:hAnsi="宋体"/>
          <w:color w:val="000000"/>
          <w:sz w:val="24"/>
          <w:szCs w:val="24"/>
        </w:rPr>
        <w:t>，</w:t>
      </w:r>
      <w:r>
        <w:rPr>
          <w:rFonts w:ascii="宋体" w:hAnsi="宋体"/>
          <w:color w:val="000000"/>
          <w:sz w:val="24"/>
          <w:szCs w:val="24"/>
        </w:rPr>
        <w:t>其中</w:t>
      </w:r>
      <w:r>
        <w:rPr>
          <w:rFonts w:hint="eastAsia" w:ascii="宋体" w:hAnsi="宋体"/>
          <w:color w:val="000000"/>
          <w:sz w:val="24"/>
          <w:szCs w:val="24"/>
        </w:rPr>
        <w:t>，</w:t>
      </w:r>
      <w:r>
        <w:rPr>
          <w:rFonts w:ascii="宋体" w:hAnsi="宋体"/>
          <w:color w:val="000000"/>
          <w:sz w:val="24"/>
          <w:szCs w:val="24"/>
        </w:rPr>
        <w:t>增值税税率为</w:t>
      </w:r>
      <w:r>
        <w:rPr>
          <w:rFonts w:ascii="宋体" w:hAnsi="宋体"/>
          <w:color w:val="000000"/>
          <w:sz w:val="24"/>
          <w:szCs w:val="24"/>
          <w:u w:val="single"/>
        </w:rPr>
        <w:t xml:space="preserve">         </w:t>
      </w:r>
      <w:r>
        <w:rPr>
          <w:rFonts w:ascii="宋体" w:hAnsi="宋体"/>
          <w:color w:val="000000"/>
          <w:sz w:val="24"/>
          <w:szCs w:val="24"/>
        </w:rPr>
        <w:t>），按合同约定实施和完成</w:t>
      </w:r>
      <w:r>
        <w:rPr>
          <w:rFonts w:hint="eastAsia" w:ascii="宋体" w:hAnsi="宋体"/>
          <w:color w:val="000000"/>
          <w:sz w:val="24"/>
          <w:szCs w:val="24"/>
        </w:rPr>
        <w:t>承包</w:t>
      </w:r>
      <w:r>
        <w:rPr>
          <w:rFonts w:ascii="宋体" w:hAnsi="宋体"/>
          <w:color w:val="000000"/>
          <w:sz w:val="24"/>
          <w:szCs w:val="24"/>
        </w:rPr>
        <w:t>工程，修补工程中的任何缺陷</w:t>
      </w:r>
      <w:r>
        <w:rPr>
          <w:rFonts w:hint="eastAsia" w:ascii="宋体" w:hAnsi="宋体"/>
          <w:color w:val="000000"/>
          <w:sz w:val="24"/>
          <w:szCs w:val="24"/>
        </w:rPr>
        <w:t>。</w:t>
      </w:r>
    </w:p>
    <w:p>
      <w:pPr>
        <w:spacing w:line="420" w:lineRule="exact"/>
        <w:ind w:firstLine="480" w:firstLineChars="200"/>
        <w:rPr>
          <w:rFonts w:hint="eastAsia"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在合同协议书正式签署生效之前，本投标</w:t>
      </w:r>
      <w:r>
        <w:rPr>
          <w:rFonts w:hint="eastAsia" w:ascii="宋体" w:hAnsi="宋体"/>
          <w:color w:val="000000"/>
          <w:sz w:val="24"/>
          <w:szCs w:val="24"/>
        </w:rPr>
        <w:t>报价</w:t>
      </w:r>
      <w:r>
        <w:rPr>
          <w:rFonts w:ascii="宋体" w:hAnsi="宋体"/>
          <w:color w:val="000000"/>
          <w:sz w:val="24"/>
          <w:szCs w:val="24"/>
        </w:rPr>
        <w:t>函连同你方的中标通知书将构成我们双方之间共同遵守的文件，对双方具有约束力。</w:t>
      </w:r>
    </w:p>
    <w:p>
      <w:pPr>
        <w:spacing w:line="420" w:lineRule="exact"/>
        <w:ind w:firstLine="480" w:firstLineChars="200"/>
        <w:rPr>
          <w:rFonts w:ascii="宋体" w:hAnsi="宋体"/>
          <w:color w:val="000000"/>
          <w:sz w:val="24"/>
          <w:szCs w:val="24"/>
        </w:rPr>
      </w:pPr>
      <w:r>
        <w:rPr>
          <w:rFonts w:hint="eastAsia" w:ascii="宋体" w:hAnsi="宋体"/>
          <w:color w:val="000000"/>
          <w:sz w:val="24"/>
          <w:szCs w:val="24"/>
        </w:rPr>
        <w:t xml:space="preserve">3. </w:t>
      </w:r>
      <w:r>
        <w:rPr>
          <w:rFonts w:hint="eastAsia" w:ascii="宋体" w:hAnsi="宋体"/>
          <w:color w:val="000000"/>
          <w:sz w:val="24"/>
          <w:szCs w:val="24"/>
          <w:u w:val="single"/>
        </w:rPr>
        <w:t xml:space="preserve">                             </w:t>
      </w:r>
      <w:r>
        <w:rPr>
          <w:rFonts w:ascii="宋体" w:hAnsi="宋体"/>
          <w:color w:val="000000"/>
          <w:sz w:val="24"/>
          <w:szCs w:val="24"/>
        </w:rPr>
        <w:t>（其他补充说明）。</w:t>
      </w:r>
    </w:p>
    <w:p>
      <w:pPr>
        <w:spacing w:line="420" w:lineRule="exact"/>
        <w:ind w:firstLine="616" w:firstLineChars="257"/>
        <w:rPr>
          <w:rFonts w:hint="eastAsia" w:ascii="宋体" w:hAnsi="宋体"/>
          <w:color w:val="000000"/>
          <w:sz w:val="24"/>
          <w:szCs w:val="24"/>
        </w:rPr>
      </w:pPr>
    </w:p>
    <w:p>
      <w:pPr>
        <w:spacing w:line="420" w:lineRule="exact"/>
        <w:ind w:firstLine="616" w:firstLineChars="257"/>
        <w:rPr>
          <w:rFonts w:hint="eastAsia" w:ascii="宋体" w:hAnsi="宋体"/>
          <w:color w:val="000000"/>
          <w:sz w:val="24"/>
          <w:szCs w:val="24"/>
        </w:rPr>
      </w:pPr>
    </w:p>
    <w:p>
      <w:pPr>
        <w:spacing w:line="420" w:lineRule="exact"/>
        <w:ind w:firstLine="2880" w:firstLineChars="1200"/>
        <w:rPr>
          <w:rFonts w:ascii="宋体" w:hAnsi="宋体"/>
          <w:color w:val="000000"/>
          <w:sz w:val="24"/>
          <w:szCs w:val="24"/>
        </w:rPr>
      </w:pPr>
      <w:r>
        <w:rPr>
          <w:rFonts w:ascii="宋体" w:hAnsi="宋体"/>
          <w:color w:val="000000"/>
          <w:sz w:val="24"/>
          <w:szCs w:val="24"/>
        </w:rPr>
        <w:t>投 标 人：</w:t>
      </w:r>
      <w:r>
        <w:rPr>
          <w:rFonts w:ascii="宋体" w:hAnsi="宋体"/>
          <w:color w:val="000000"/>
          <w:sz w:val="24"/>
          <w:szCs w:val="24"/>
          <w:u w:val="single"/>
        </w:rPr>
        <w:t xml:space="preserve">                      </w:t>
      </w:r>
      <w:r>
        <w:rPr>
          <w:rFonts w:ascii="宋体" w:hAnsi="宋体"/>
          <w:color w:val="000000"/>
          <w:sz w:val="24"/>
          <w:szCs w:val="24"/>
        </w:rPr>
        <w:t>（盖单位章）</w:t>
      </w:r>
    </w:p>
    <w:p>
      <w:pPr>
        <w:spacing w:line="420" w:lineRule="exact"/>
        <w:ind w:firstLine="2880" w:firstLineChars="1200"/>
        <w:rPr>
          <w:rFonts w:ascii="宋体" w:hAnsi="宋体"/>
          <w:color w:val="000000"/>
          <w:sz w:val="24"/>
          <w:szCs w:val="24"/>
        </w:rPr>
      </w:pPr>
      <w:r>
        <w:rPr>
          <w:rFonts w:ascii="宋体" w:hAnsi="宋体"/>
          <w:color w:val="000000"/>
          <w:sz w:val="24"/>
          <w:szCs w:val="24"/>
        </w:rPr>
        <w:t>法定代表人或其委托代理人：</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（签字）</w:t>
      </w:r>
    </w:p>
    <w:p>
      <w:pPr>
        <w:spacing w:line="420" w:lineRule="exact"/>
        <w:ind w:firstLine="2880" w:firstLineChars="1200"/>
        <w:rPr>
          <w:rFonts w:hint="eastAsia" w:ascii="宋体" w:hAnsi="宋体"/>
          <w:color w:val="000000"/>
          <w:sz w:val="24"/>
          <w:szCs w:val="24"/>
        </w:rPr>
      </w:pPr>
      <w:r>
        <w:rPr>
          <w:rFonts w:ascii="宋体" w:hAnsi="宋体"/>
          <w:color w:val="000000"/>
          <w:sz w:val="24"/>
          <w:szCs w:val="24"/>
        </w:rPr>
        <w:t>地址：</w:t>
      </w:r>
      <w:r>
        <w:rPr>
          <w:rFonts w:ascii="宋体" w:hAnsi="宋体"/>
          <w:color w:val="000000"/>
          <w:sz w:val="24"/>
          <w:szCs w:val="24"/>
          <w:u w:val="single"/>
        </w:rPr>
        <w:t xml:space="preserve">                                     </w:t>
      </w:r>
    </w:p>
    <w:p>
      <w:pPr>
        <w:spacing w:line="420" w:lineRule="exact"/>
        <w:ind w:firstLine="2880" w:firstLineChars="1200"/>
        <w:rPr>
          <w:rFonts w:ascii="宋体" w:hAnsi="宋体"/>
          <w:color w:val="000000"/>
          <w:sz w:val="24"/>
          <w:szCs w:val="24"/>
        </w:rPr>
      </w:pPr>
      <w:r>
        <w:rPr>
          <w:rFonts w:hint="eastAsia" w:ascii="宋体" w:hAnsi="宋体"/>
          <w:color w:val="000000"/>
          <w:sz w:val="24"/>
          <w:szCs w:val="24"/>
        </w:rPr>
        <w:t>电子邮件</w:t>
      </w:r>
      <w:r>
        <w:rPr>
          <w:rFonts w:ascii="宋体" w:hAnsi="宋体"/>
          <w:color w:val="000000"/>
          <w:sz w:val="24"/>
          <w:szCs w:val="24"/>
        </w:rPr>
        <w:t>：</w:t>
      </w:r>
      <w:r>
        <w:rPr>
          <w:rFonts w:ascii="宋体" w:hAnsi="宋体"/>
          <w:color w:val="000000"/>
          <w:sz w:val="24"/>
          <w:szCs w:val="24"/>
          <w:u w:val="single"/>
        </w:rPr>
        <w:t xml:space="preserve">                                 </w:t>
      </w:r>
    </w:p>
    <w:p>
      <w:pPr>
        <w:spacing w:line="420" w:lineRule="exact"/>
        <w:ind w:firstLine="2880" w:firstLineChars="1200"/>
        <w:rPr>
          <w:rFonts w:hint="eastAsia" w:ascii="宋体" w:hAnsi="宋体"/>
          <w:color w:val="000000"/>
          <w:sz w:val="24"/>
          <w:szCs w:val="24"/>
        </w:rPr>
      </w:pPr>
      <w:r>
        <w:rPr>
          <w:rFonts w:ascii="宋体" w:hAnsi="宋体"/>
          <w:color w:val="000000"/>
          <w:sz w:val="24"/>
          <w:szCs w:val="24"/>
        </w:rPr>
        <w:t>电话：</w:t>
      </w:r>
      <w:r>
        <w:rPr>
          <w:rFonts w:ascii="宋体" w:hAnsi="宋体"/>
          <w:color w:val="000000"/>
          <w:sz w:val="24"/>
          <w:szCs w:val="24"/>
          <w:u w:val="single"/>
        </w:rPr>
        <w:t xml:space="preserve">                                     </w:t>
      </w:r>
    </w:p>
    <w:p>
      <w:pPr>
        <w:spacing w:line="420" w:lineRule="exact"/>
        <w:ind w:firstLine="2880" w:firstLineChars="1200"/>
        <w:rPr>
          <w:rFonts w:hint="eastAsia" w:ascii="宋体" w:hAnsi="宋体"/>
          <w:color w:val="000000"/>
          <w:sz w:val="24"/>
          <w:szCs w:val="24"/>
        </w:rPr>
      </w:pPr>
      <w:r>
        <w:rPr>
          <w:rFonts w:ascii="宋体" w:hAnsi="宋体"/>
          <w:color w:val="000000"/>
          <w:sz w:val="24"/>
          <w:szCs w:val="24"/>
        </w:rPr>
        <w:t>传真：</w:t>
      </w:r>
      <w:r>
        <w:rPr>
          <w:rFonts w:ascii="宋体" w:hAnsi="宋体"/>
          <w:color w:val="000000"/>
          <w:sz w:val="24"/>
          <w:szCs w:val="24"/>
          <w:u w:val="single"/>
        </w:rPr>
        <w:t xml:space="preserve">                                     </w:t>
      </w:r>
    </w:p>
    <w:p>
      <w:pPr>
        <w:spacing w:line="420" w:lineRule="exact"/>
        <w:ind w:firstLine="2880" w:firstLineChars="1200"/>
        <w:rPr>
          <w:rFonts w:hint="eastAsia" w:ascii="宋体" w:hAnsi="宋体"/>
          <w:color w:val="000000"/>
          <w:sz w:val="24"/>
          <w:szCs w:val="24"/>
        </w:rPr>
      </w:pPr>
      <w:r>
        <w:rPr>
          <w:rFonts w:ascii="宋体" w:hAnsi="宋体"/>
          <w:color w:val="000000"/>
          <w:sz w:val="24"/>
          <w:szCs w:val="24"/>
        </w:rPr>
        <w:t>邮政编码：</w:t>
      </w:r>
      <w:r>
        <w:rPr>
          <w:rFonts w:ascii="宋体" w:hAnsi="宋体"/>
          <w:color w:val="000000"/>
          <w:sz w:val="24"/>
          <w:szCs w:val="24"/>
          <w:u w:val="single"/>
        </w:rPr>
        <w:t xml:space="preserve">                                 </w:t>
      </w:r>
    </w:p>
    <w:p>
      <w:pPr>
        <w:spacing w:line="420" w:lineRule="exact"/>
        <w:ind w:firstLine="4200" w:firstLineChars="1750"/>
        <w:rPr>
          <w:color w:val="000000"/>
          <w:sz w:val="24"/>
          <w:szCs w:val="24"/>
        </w:rPr>
      </w:pPr>
    </w:p>
    <w:p>
      <w:pPr>
        <w:spacing w:line="420" w:lineRule="exact"/>
        <w:rPr>
          <w:rFonts w:hint="eastAsia"/>
          <w:color w:val="000000"/>
          <w:sz w:val="24"/>
          <w:szCs w:val="24"/>
        </w:rPr>
      </w:pPr>
      <w:r>
        <w:rPr>
          <w:rFonts w:hint="eastAsia"/>
          <w:color w:val="000000"/>
          <w:sz w:val="24"/>
          <w:szCs w:val="24"/>
          <w:u w:val="none"/>
          <w:lang w:eastAsia="zh-CN"/>
        </w:rPr>
        <w:t>　　　　　　　　　　　　　　　　　　　　　　　</w:t>
      </w:r>
      <w:r>
        <w:rPr>
          <w:rFonts w:hint="eastAsia"/>
          <w:color w:val="000000"/>
          <w:sz w:val="24"/>
          <w:szCs w:val="24"/>
          <w:u w:val="single"/>
        </w:rPr>
        <w:t xml:space="preserve">        </w:t>
      </w:r>
      <w:r>
        <w:rPr>
          <w:color w:val="000000"/>
          <w:sz w:val="24"/>
          <w:szCs w:val="24"/>
        </w:rPr>
        <w:t>年</w:t>
      </w:r>
      <w:r>
        <w:rPr>
          <w:rFonts w:hint="eastAsia"/>
          <w:color w:val="000000"/>
          <w:sz w:val="24"/>
          <w:szCs w:val="24"/>
          <w:u w:val="single"/>
        </w:rPr>
        <w:t xml:space="preserve">     </w:t>
      </w:r>
      <w:r>
        <w:rPr>
          <w:color w:val="000000"/>
          <w:sz w:val="24"/>
          <w:szCs w:val="24"/>
        </w:rPr>
        <w:t>月</w:t>
      </w:r>
      <w:r>
        <w:rPr>
          <w:rFonts w:hint="eastAsia"/>
          <w:color w:val="000000"/>
          <w:sz w:val="24"/>
          <w:szCs w:val="24"/>
          <w:u w:val="single"/>
        </w:rPr>
        <w:t xml:space="preserve">    </w:t>
      </w:r>
      <w:r>
        <w:rPr>
          <w:color w:val="000000"/>
          <w:sz w:val="24"/>
          <w:szCs w:val="24"/>
        </w:rPr>
        <w:t>日</w:t>
      </w:r>
    </w:p>
    <w:p>
      <w:pPr>
        <w:spacing w:line="420" w:lineRule="exact"/>
        <w:rPr>
          <w:rFonts w:hint="eastAsia"/>
          <w:color w:val="000000"/>
          <w:sz w:val="24"/>
          <w:szCs w:val="24"/>
        </w:rPr>
      </w:pPr>
    </w:p>
    <w:p>
      <w:pPr>
        <w:spacing w:line="420" w:lineRule="exact"/>
        <w:rPr>
          <w:rFonts w:hint="eastAsia"/>
          <w:color w:val="000000"/>
          <w:sz w:val="24"/>
          <w:szCs w:val="24"/>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u w:val="single"/>
        </w:rPr>
      </w:pPr>
      <w:r>
        <w:rPr>
          <w:rFonts w:hint="eastAsia"/>
          <w:color w:val="000000"/>
          <w:u w:val="single"/>
        </w:rPr>
        <w:t xml:space="preserve">                                                                                </w:t>
      </w:r>
    </w:p>
    <w:p>
      <w:pPr>
        <w:rPr>
          <w:rFonts w:hint="eastAsia"/>
          <w:color w:val="000000"/>
          <w:szCs w:val="21"/>
        </w:rPr>
      </w:pPr>
      <w:r>
        <w:rPr>
          <w:rFonts w:hint="eastAsia"/>
          <w:color w:val="000000"/>
          <w:szCs w:val="21"/>
        </w:rPr>
        <w:t>注：投标人仅须在投标函上加盖单位公章，或由</w:t>
      </w:r>
      <w:r>
        <w:rPr>
          <w:rFonts w:ascii="宋体" w:hAnsi="宋体"/>
          <w:color w:val="000000"/>
          <w:szCs w:val="21"/>
        </w:rPr>
        <w:t>法定代表人</w:t>
      </w:r>
      <w:r>
        <w:rPr>
          <w:rFonts w:hint="eastAsia" w:ascii="宋体" w:hAnsi="宋体"/>
          <w:color w:val="000000"/>
          <w:szCs w:val="21"/>
        </w:rPr>
        <w:t>（</w:t>
      </w:r>
      <w:r>
        <w:rPr>
          <w:rFonts w:ascii="宋体" w:hAnsi="宋体"/>
          <w:color w:val="000000"/>
          <w:szCs w:val="21"/>
        </w:rPr>
        <w:t>或其委托代理人</w:t>
      </w:r>
      <w:r>
        <w:rPr>
          <w:rFonts w:hint="eastAsia" w:ascii="宋体" w:hAnsi="宋体"/>
          <w:color w:val="000000"/>
          <w:szCs w:val="21"/>
        </w:rPr>
        <w:t>）签字。</w:t>
      </w:r>
    </w:p>
    <w:p>
      <w:pPr>
        <w:spacing w:after="100" w:afterAutospacing="1" w:line="300" w:lineRule="atLeast"/>
        <w:jc w:val="center"/>
        <w:rPr>
          <w:rFonts w:hint="eastAsia" w:ascii="黑体" w:hAnsi="Calibri" w:eastAsia="黑体"/>
          <w:color w:val="000000"/>
          <w:sz w:val="36"/>
          <w:szCs w:val="36"/>
        </w:rPr>
      </w:pPr>
      <w:r>
        <w:rPr>
          <w:rFonts w:hint="eastAsia" w:ascii="黑体" w:hAnsi="Calibri" w:eastAsia="黑体"/>
          <w:color w:val="000000"/>
          <w:sz w:val="36"/>
          <w:szCs w:val="36"/>
        </w:rPr>
        <w:t>二、已标价的工程量清单</w:t>
      </w:r>
    </w:p>
    <w:p>
      <w:pPr>
        <w:spacing w:line="320" w:lineRule="exact"/>
        <w:rPr>
          <w:rFonts w:hint="eastAsia" w:ascii="宋体" w:hAnsi="宋体"/>
          <w:color w:val="000000"/>
        </w:rPr>
      </w:pPr>
    </w:p>
    <w:p>
      <w:pPr>
        <w:spacing w:line="420" w:lineRule="exact"/>
        <w:rPr>
          <w:rFonts w:hint="eastAsia" w:ascii="宋体" w:hAnsi="宋体" w:cs="宋体"/>
          <w:color w:val="000000"/>
          <w:sz w:val="24"/>
          <w:szCs w:val="24"/>
        </w:rPr>
      </w:pPr>
      <w:r>
        <w:rPr>
          <w:rFonts w:hint="eastAsia" w:ascii="宋体" w:hAnsi="宋体" w:cs="宋体"/>
          <w:color w:val="000000"/>
          <w:sz w:val="24"/>
          <w:szCs w:val="24"/>
        </w:rPr>
        <w:t>说明：</w:t>
      </w:r>
    </w:p>
    <w:p>
      <w:pPr>
        <w:spacing w:line="42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1.投标人应按招标人提供的“固化工程量清单”填写单价、合价或总额价以及投标总价。</w:t>
      </w:r>
    </w:p>
    <w:p>
      <w:pPr>
        <w:spacing w:line="420" w:lineRule="exact"/>
        <w:rPr>
          <w:rFonts w:hint="eastAsia" w:ascii="宋体" w:hAnsi="宋体" w:cs="宋体"/>
          <w:color w:val="000000"/>
          <w:sz w:val="24"/>
          <w:szCs w:val="24"/>
        </w:rPr>
      </w:pPr>
      <w:r>
        <w:rPr>
          <w:rFonts w:hint="eastAsia" w:ascii="宋体" w:hAnsi="宋体" w:cs="宋体"/>
          <w:color w:val="000000"/>
          <w:sz w:val="24"/>
          <w:szCs w:val="24"/>
        </w:rPr>
        <w:t xml:space="preserve">    2.投标报价的所有单价取小数点后两位。</w:t>
      </w:r>
    </w:p>
    <w:p>
      <w:pPr>
        <w:spacing w:line="42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3.投标人填写固化的工程量清单时，不得修改招标人提供的工程量固化清单电子文件中的数据、格式和运算定义。投标人填入报价后的工程量清单应打印一套（包括工程量清单说明）装入投标文件正本，每一页均应由法定代表人或其授权委托人签字或加盖单位公章。同时，投标人还应将填入报价的工程量清单（包括工程量清单说明）拷贝在一个U盘上，随同投标文件（报价文件）正本密封后递交。 </w:t>
      </w:r>
    </w:p>
    <w:p>
      <w:pPr>
        <w:spacing w:line="42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4.U盘表面加贴标签，注明项目名称、投标人名称。 U盘内数据应能被正确读取，若开标时在招标人或招标代理机构的电脑上不能读取，则允许投标人采取补救措施（可在投标人自带的电脑上读取或当场提供另外备份的电子版）。 </w:t>
      </w:r>
    </w:p>
    <w:p>
      <w:pPr>
        <w:spacing w:line="420" w:lineRule="exact"/>
        <w:ind w:firstLine="480" w:firstLineChars="200"/>
        <w:rPr>
          <w:rFonts w:hint="eastAsia" w:ascii="宋体" w:hAnsi="宋体" w:cs="宋体"/>
          <w:bCs/>
          <w:color w:val="000000"/>
          <w:sz w:val="24"/>
          <w:szCs w:val="24"/>
        </w:rPr>
      </w:pPr>
      <w:r>
        <w:rPr>
          <w:rFonts w:hint="eastAsia" w:ascii="宋体" w:hAnsi="宋体" w:cs="宋体"/>
          <w:bCs/>
          <w:color w:val="000000"/>
          <w:sz w:val="24"/>
          <w:szCs w:val="24"/>
        </w:rPr>
        <w:t>5.第二信封开标时，若有投标人没有提交报价电子版（U盘）或修改了招标人提供的工程量固化清单电子文件中的数据、格式和运算定义的或U盘内数据不能被读取，开标现场不宣布为废标，投标报价进入评标基准价的计算。评标委员会评标时，应按评标办法的相关规定处理。</w:t>
      </w:r>
    </w:p>
    <w:p>
      <w:pPr>
        <w:spacing w:line="420" w:lineRule="exact"/>
        <w:ind w:firstLine="480" w:firstLineChars="200"/>
        <w:rPr>
          <w:rFonts w:hint="eastAsia" w:ascii="宋体" w:hAnsi="宋体" w:cs="宋体"/>
          <w:bCs/>
          <w:color w:val="000000"/>
          <w:sz w:val="24"/>
          <w:szCs w:val="24"/>
        </w:rPr>
      </w:pPr>
      <w:r>
        <w:rPr>
          <w:rFonts w:hint="eastAsia" w:ascii="宋体" w:hAnsi="宋体" w:cs="宋体"/>
          <w:bCs/>
          <w:color w:val="000000"/>
          <w:sz w:val="24"/>
          <w:szCs w:val="24"/>
        </w:rPr>
        <w:t>6.投标文件第二信封（报价文件）中须包括工程量清单说明、已标价的工程量清单表、计日工表、暂估价表、投标报价汇总表、工程量清单单价分析表整套资料（工程量清单单价分析表见《公路工程标准施工招标文件》（</w:t>
      </w:r>
      <w:r>
        <w:rPr>
          <w:rFonts w:hint="eastAsia" w:ascii="宋体" w:hAnsi="宋体" w:cs="宋体"/>
          <w:bCs/>
          <w:color w:val="000000"/>
          <w:sz w:val="24"/>
          <w:szCs w:val="24"/>
          <w:lang w:eastAsia="zh-CN"/>
        </w:rPr>
        <w:t>2019年版</w:t>
      </w:r>
      <w:r>
        <w:rPr>
          <w:rFonts w:hint="eastAsia" w:ascii="宋体" w:hAnsi="宋体" w:cs="宋体"/>
          <w:bCs/>
          <w:color w:val="000000"/>
          <w:sz w:val="24"/>
          <w:szCs w:val="24"/>
        </w:rPr>
        <w:t>）。</w:t>
      </w:r>
    </w:p>
    <w:p>
      <w:pPr>
        <w:rPr>
          <w:rFonts w:hint="eastAsia"/>
          <w:color w:val="000000"/>
        </w:rPr>
      </w:pPr>
    </w:p>
    <w:p>
      <w:pPr>
        <w:pStyle w:val="34"/>
        <w:tabs>
          <w:tab w:val="left" w:pos="1572"/>
        </w:tabs>
        <w:autoSpaceDE w:val="0"/>
        <w:autoSpaceDN w:val="0"/>
        <w:spacing w:line="440" w:lineRule="exact"/>
        <w:ind w:left="0" w:right="391" w:firstLineChars="200"/>
        <w:jc w:val="left"/>
        <w:rPr>
          <w:sz w:val="24"/>
          <w:szCs w:val="24"/>
          <w:lang w:val="en-US"/>
        </w:rPr>
      </w:pPr>
    </w:p>
    <w:p/>
    <w:p/>
    <w:p/>
    <w:sectPr>
      <w:footerReference r:id="rId1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5u89kbAgAAIwQAAA4AAABkcnMvZTJvRG9jLnhtbK1Ty47TMBTdI/EP&#10;lvc0aRFDVT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xu7eUaKYwo9OP76efD6df3wj+AFBr/Qx2GwvL0L0zHYyHf4/P2HdX&#10;ORVvdESgB9THC7yiC4RHp+lkOs2h4tAND8TPHt2t8+G9MIpEoaAO80uwssPah950MInZtFk1UqYZ&#10;Sk3agl69fpMnh4sGwaWOtiKx4RwmttSXHqXQbbtzn1tTHtGmMz1TvOWrBqWsmQ/3zIEaKB90D3c4&#10;KmmQ0pwlSmrjvv7tP9pjYtBS0oJqBdXYBUrkB41JRlYOghuE7SDovbox4O4Ya2R5EuHgghzEyhn1&#10;BTuwjDmgYpojU0HDIN6Enu7YIS6Wy2S0t67Z1b0DeGhZWOuN5TFNhMrb5T4A2oR4BKhHBZOKDzAx&#10;zey8NZHqT9/J6nG3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G5u89kbAgAAIwQAAA4A&#10;AAAAAAAAAQAgAAAAHwEAAGRycy9lMm9Eb2MueG1sUEsFBgAAAAAGAAYAWQEAAKw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19</w:t>
                    </w:r>
                    <w:r>
                      <w:fldChar w:fldCharType="end"/>
                    </w:r>
                  </w:p>
                </w:txbxContent>
              </v:textbox>
            </v:shape>
          </w:pict>
        </mc:Fallback>
      </mc:AlternateContent>
    </w:r>
    <w:r>
      <w:rPr>
        <w:rFonts w:hint="eastAsia" w:ascii="仿宋_GB2312" w:eastAsia="仿宋_GB2312"/>
        <w:sz w:val="21"/>
        <w:szCs w:val="21"/>
      </w:rPr>
      <w:t xml:space="preserve">                   </w:t>
    </w:r>
  </w:p>
  <w:p>
    <w:pPr>
      <w:pStyle w:val="12"/>
      <w:tabs>
        <w:tab w:val="left" w:pos="480"/>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977265</wp:posOffset>
              </wp:positionH>
              <wp:positionV relativeFrom="page">
                <wp:posOffset>10007600</wp:posOffset>
              </wp:positionV>
              <wp:extent cx="224790" cy="152400"/>
              <wp:effectExtent l="0" t="0" r="0" b="0"/>
              <wp:wrapNone/>
              <wp:docPr id="274" name="文本框 274"/>
              <wp:cNvGraphicFramePr/>
              <a:graphic xmlns:a="http://schemas.openxmlformats.org/drawingml/2006/main">
                <a:graphicData uri="http://schemas.microsoft.com/office/word/2010/wordprocessingShape">
                  <wps:wsp>
                    <wps:cNvSpPr txBox="1"/>
                    <wps:spPr>
                      <a:xfrm>
                        <a:off x="0" y="0"/>
                        <a:ext cx="224790" cy="152400"/>
                      </a:xfrm>
                      <a:prstGeom prst="rect">
                        <a:avLst/>
                      </a:prstGeom>
                      <a:noFill/>
                      <a:ln w="9525">
                        <a:noFill/>
                      </a:ln>
                      <a:effectLst/>
                    </wps:spPr>
                    <wps:txbx>
                      <w:txbxContent>
                        <w:p>
                          <w:pPr>
                            <w:spacing w:before="12"/>
                            <w:ind w:left="40"/>
                            <w:jc w:val="left"/>
                            <w:rPr>
                              <w:sz w:val="18"/>
                            </w:rPr>
                          </w:pPr>
                          <w:r>
                            <w:fldChar w:fldCharType="begin"/>
                          </w:r>
                          <w:r>
                            <w:rPr>
                              <w:sz w:val="18"/>
                            </w:rPr>
                            <w:instrText xml:space="preserve"> PAGE </w:instrText>
                          </w:r>
                          <w:r>
                            <w:fldChar w:fldCharType="separate"/>
                          </w:r>
                          <w:r>
                            <w:t>232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76.95pt;margin-top:788pt;height:12pt;width:17.7pt;mso-position-horizontal-relative:page;mso-position-vertical-relative:page;z-index:-251658240;mso-width-relative:page;mso-height-relative:page;" filled="f" stroked="f" coordsize="21600,21600" o:gfxdata="UEsDBAoAAAAAAIdO4kAAAAAAAAAAAAAAAAAEAAAAZHJzL1BLAwQUAAAACACHTuJAsRygQNkAAAAN&#10;AQAADwAAAGRycy9kb3ducmV2LnhtbE2PzU7DMBCE70i8g7VI3KhdKkIT4lQIwQkJkYYDRyfeJlHj&#10;dYjdH96ezYneZrSfZmfyzdkN4ohT6D1pWC4UCKTG255aDV/V290aRIiGrBk8oYZfDLAprq9yk1l/&#10;ohKP29gKDqGQGQ1djGMmZWg6dCYs/IjEt52fnIlsp1bayZw43A3yXqlEOtMTf+jMiC8dNvvtwWl4&#10;/qbytf/5qD/LXdlXVaroPdlrfXuzVE8gIp7jPwxzfa4OBXeq/YFsEAP7h1XK6CweE141I+t0BaJm&#10;kSilQBa5vFxR/AFQSwMEFAAAAAgAh07iQAJqtZWvAQAAPgMAAA4AAABkcnMvZTJvRG9jLnhtbK1S&#10;QW7bMBC8F8gfCN5jyoLdNILlAEWQokDRBEj7AJoiLQIklyAZS/5A+4Oecum97/I7smQsN2huQS/U&#10;cnc5mpnd1dVoDdnJEDW4ls5nFSXSCei027b0+7eb8w+UxMRdxw042dK9jPRqffZuNfhG1tCD6WQg&#10;COJiM/iW9in5hrEoeml5nIGXDosKguUJr2HLusAHRLeG1VX1ng0QOh9AyBgxe/1cpOuCr5QU6Vap&#10;KBMxLUVuqZyhnJt8svWKN9vAfa/FkQZ/AwvLtcOfnqCueeLkIehXUFaLABFUmgmwDJTSQhYNqGZe&#10;/aPmvudeFi1oTvQnm+L/gxVfd3eB6K6l9cWCEsctDunw6+fh8c/h9w+Sk2jR4GODnfcee9P4EUYc&#10;9ZSPmMzKRxVs/qImgnU0e38yWI6JCEzW9eLiEisCS/NlvajKANjfxz7E9EmCJTloacD5FVv57ktM&#10;SARbp5b8Lwc32pgyQ+PI0NLLZb0sD04VfGFc7pVlG44wWdAz8RylcTMeVW6g26NI89mhyXlhpiBM&#10;wWYKHnzQ2x5ZFitYBsIhFY7Hhcpb8PKO8cu1X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Ryg&#10;QNkAAAANAQAADwAAAAAAAAABACAAAAAiAAAAZHJzL2Rvd25yZXYueG1sUEsBAhQAFAAAAAgAh07i&#10;QAJqtZWvAQAAPgMAAA4AAAAAAAAAAQAgAAAAKAEAAGRycy9lMm9Eb2MueG1sUEsFBgAAAAAGAAYA&#10;WQEAAEkFAAAAAA==&#10;">
              <v:fill on="f" focussize="0,0"/>
              <v:stroke on="f"/>
              <v:imagedata o:title=""/>
              <o:lock v:ext="edit" aspectratio="f"/>
              <v:textbox inset="0mm,0mm,0mm,0mm">
                <w:txbxContent>
                  <w:p>
                    <w:pPr>
                      <w:spacing w:before="12"/>
                      <w:ind w:left="40"/>
                      <w:jc w:val="left"/>
                      <w:rPr>
                        <w:sz w:val="18"/>
                      </w:rPr>
                    </w:pPr>
                    <w:r>
                      <w:fldChar w:fldCharType="begin"/>
                    </w:r>
                    <w:r>
                      <w:rPr>
                        <w:sz w:val="18"/>
                      </w:rPr>
                      <w:instrText xml:space="preserve"> PAGE </w:instrText>
                    </w:r>
                    <w:r>
                      <w:fldChar w:fldCharType="separate"/>
                    </w:r>
                    <w:r>
                      <w:t>232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gqBcbAgAAIwQAAA4AAABkcnMvZTJvRG9jLnhtbK1Ty47TMBTdI/EP&#10;lvc0aUe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bE7K4o0UxhRqcf308/f59+fSP4A0Ct9TPYbSwsQ/fOdDAe/j0+Y99d&#10;5VS80RGBHlAfL/CKLhAenaaT6TSHikM3PBA/e3K3zof3wigShYI6zC/Byg5rH3rTwSRm02bVSJlm&#10;KDVpC3p99TZPDhcNgksdbUViwzlMbKkvPUqh23bnPremPKJNZ3qmeMtXDUpZMx8emAM1UD7oHu5x&#10;VNIgpTlLlNTGff3bf7THxKClpAXVCqqxC5TIDxqTjKwcBDcI20HQe3VrwN0x1sjyJMLBBTmIlTPq&#10;C3ZgGXNAxTRHpoKGQbwNPd2xQ1wsl8lob12zq3sH8NCysNYby2OaCJW3y30AtAnxCFCPCiYVH2Bi&#10;mtl5ayLV/3wnq6fd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KugqBcbAgAAIwQAAA4A&#10;AAAAAAAAAQAgAAAAHwEAAGRycy9lMm9Eb2MueG1sUEsFBgAAAAAGAAYAWQEAAKw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95</w:t>
                    </w:r>
                    <w:r>
                      <w:fldChar w:fldCharType="end"/>
                    </w:r>
                  </w:p>
                </w:txbxContent>
              </v:textbox>
            </v:shape>
          </w:pict>
        </mc:Fallback>
      </mc:AlternateContent>
    </w:r>
    <w:r>
      <mc:AlternateContent>
        <mc:Choice Requires="wps">
          <w:drawing>
            <wp:anchor distT="0" distB="0" distL="114300" distR="114300" simplePos="0" relativeHeight="251658240" behindDoc="1" locked="0" layoutInCell="1" allowOverlap="1">
              <wp:simplePos x="0" y="0"/>
              <wp:positionH relativeFrom="page">
                <wp:posOffset>1031240</wp:posOffset>
              </wp:positionH>
              <wp:positionV relativeFrom="page">
                <wp:posOffset>9605645</wp:posOffset>
              </wp:positionV>
              <wp:extent cx="4657090" cy="149225"/>
              <wp:effectExtent l="0" t="0" r="0" b="0"/>
              <wp:wrapNone/>
              <wp:docPr id="277" name="文本框 277"/>
              <wp:cNvGraphicFramePr/>
              <a:graphic xmlns:a="http://schemas.openxmlformats.org/drawingml/2006/main">
                <a:graphicData uri="http://schemas.microsoft.com/office/word/2010/wordprocessingShape">
                  <wps:wsp>
                    <wps:cNvSpPr txBox="1"/>
                    <wps:spPr>
                      <a:xfrm>
                        <a:off x="0" y="0"/>
                        <a:ext cx="4657090" cy="149225"/>
                      </a:xfrm>
                      <a:prstGeom prst="rect">
                        <a:avLst/>
                      </a:prstGeom>
                      <a:noFill/>
                      <a:ln w="9525">
                        <a:noFill/>
                      </a:ln>
                      <a:effectLst/>
                    </wps:spPr>
                    <wps:txbx>
                      <w:txbxContent>
                        <w:p>
                          <w:pPr>
                            <w:spacing w:before="9" w:line="225" w:lineRule="exact"/>
                            <w:jc w:val="left"/>
                            <w:rPr>
                              <w:sz w:val="18"/>
                            </w:rPr>
                          </w:pPr>
                          <w:r>
                            <w:rPr>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81.2pt;margin-top:756.35pt;height:11.75pt;width:366.7pt;mso-position-horizontal-relative:page;mso-position-vertical-relative:page;z-index:-251658240;mso-width-relative:page;mso-height-relative:page;" filled="f" stroked="f" coordsize="21600,21600" o:gfxdata="UEsDBAoAAAAAAIdO4kAAAAAAAAAAAAAAAAAEAAAAZHJzL1BLAwQUAAAACACHTuJAY8Xfq9sAAAAN&#10;AQAADwAAAGRycy9kb3ducmV2LnhtbE2PzU7DMBCE70i8g7WVuFE7gYY2jVMhBCck1DQcODqxm1iN&#10;1yF2f3h7tie47eyOZr8pNhc3sJOZgvUoIZkLYAZbry12Ej7rt/slsBAVajV4NBJ+TIBNeXtTqFz7&#10;M1bmtIsdoxAMuZLQxzjmnIe2N06FuR8N0m3vJ6ciyanjelJnCncDT4XIuFMW6UOvRvPSm/awOzoJ&#10;z19Yvdrvj2Zb7Stb1yuB79lByrtZItbAornEPzNc8QkdSmJq/BF1YAPpLH0kKw2LJH0CRpblakFt&#10;muvqIUuBlwX/36L8BVBLAwQUAAAACACHTuJASqp/oK0BAAA/AwAADgAAAGRycy9lMm9Eb2MueG1s&#10;rVJLjhMxEN0jcQfLe+JOazIhrXRGQqNBSAiQBg7guO20Jf9U9qQ7F4AbsGLDnnPlHJSddBhmdoiN&#10;u/yq+rneq1rfjNaQvYSovWvpfFZRIp3wnXa7ln75fPfqNSUxcddx451s6UFGerN5+WI9hEbWvvem&#10;k0CQxMVmCC3tUwoNY1H00vI480E6TCoPlie8wo51wAdkt4bVVXXNBg9dAC9kjIjenpJ0U/iVkiJ9&#10;VCrKRExLsbdUTijnNp9ss+bNDnjotTi3wf+hC8u1w0cvVLc8cfIA+hmV1QJ89CrNhLfMK6WFLBpQ&#10;zbx6oua+50EWLWhODBeb4v+jFR/2n4DorqX1ckmJ4xaHdPz+7fjj1/HnV5JBtGgIscHK+4C1aXzj&#10;Rxz1hEcEs/JRgc1f1EQwj2YfLgbLMRGB4NX1YlmtMCUwN79a1fUi07A/fweI6a30luSgpYADLL7y&#10;/fuYTqVTSX7M+TttTBmicWRo6WqBlH9lkNy4jMiyDmearOjUeY7SuB3PMre+O6BK886hy3ljpgCm&#10;YDsFDwH0rscuixcsE+GUipzzRuU1eHzH+PHeb3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8Xf&#10;q9sAAAANAQAADwAAAAAAAAABACAAAAAiAAAAZHJzL2Rvd25yZXYueG1sUEsBAhQAFAAAAAgAh07i&#10;QEqqf6CtAQAAPwMAAA4AAAAAAAAAAQAgAAAAKgEAAGRycy9lMm9Eb2MueG1sUEsFBgAAAAAGAAYA&#10;WQEAAEkFAAAAAA==&#10;">
              <v:fill on="f" focussize="0,0"/>
              <v:stroke on="f"/>
              <v:imagedata o:title=""/>
              <o:lock v:ext="edit" aspectratio="f"/>
              <v:textbox inset="0mm,0mm,0mm,0mm">
                <w:txbxContent>
                  <w:p>
                    <w:pPr>
                      <w:spacing w:before="9" w:line="225" w:lineRule="exact"/>
                      <w:jc w:val="left"/>
                      <w:rPr>
                        <w:sz w:val="18"/>
                      </w:rPr>
                    </w:pPr>
                    <w:r>
                      <w:rPr>
                        <w:sz w:val="18"/>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1043940</wp:posOffset>
              </wp:positionH>
              <wp:positionV relativeFrom="page">
                <wp:posOffset>9431655</wp:posOffset>
              </wp:positionV>
              <wp:extent cx="1828800" cy="0"/>
              <wp:effectExtent l="0" t="0" r="0" b="0"/>
              <wp:wrapNone/>
              <wp:docPr id="279" name="直接连接符 279"/>
              <wp:cNvGraphicFramePr/>
              <a:graphic xmlns:a="http://schemas.openxmlformats.org/drawingml/2006/main">
                <a:graphicData uri="http://schemas.microsoft.com/office/word/2010/wordprocessingShape">
                  <wps:wsp>
                    <wps:cNvCnPr/>
                    <wps:spPr>
                      <a:xfrm>
                        <a:off x="0" y="0"/>
                        <a:ext cx="1828800" cy="0"/>
                      </a:xfrm>
                      <a:prstGeom prst="line">
                        <a:avLst/>
                      </a:prstGeom>
                      <a:ln w="6096"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2.2pt;margin-top:742.65pt;height:0pt;width:144pt;mso-position-horizontal-relative:page;mso-position-vertical-relative:page;z-index:-251658240;mso-width-relative:page;mso-height-relative:page;" filled="f" stroked="t" coordsize="21600,21600" o:gfxdata="UEsDBAoAAAAAAIdO4kAAAAAAAAAAAAAAAAAEAAAAZHJzL1BLAwQUAAAACACHTuJApKtfvdkAAAAN&#10;AQAADwAAAGRycy9kb3ducmV2LnhtbE2PQU/DMAyF70j8h8hI3Fi60Y3QNd0BBNIOCLFNnLPGa0sb&#10;p2qydfv3mAOCm9/z0/PnfHV2nTjhEBpPGqaTBARS6W1DlYbd9uVOgQjRkDWdJ9RwwQCr4voqN5n1&#10;I33gaRMrwSUUMqOhjrHPpAxljc6Eie+ReHfwgzOR5VBJO5iRy10nZ0mykM40xBdq0+NTjWW7OToN&#10;b0o++/f2s7x8jdtXpdbt48N6p/XtzTRZgoh4jn9h+MFndCiYae+PZIPoWC/SlKM8pGp+D4Ij6XzG&#10;1v7XkkUu/39RfANQSwMEFAAAAAgAh07iQOhl2krhAQAAqAMAAA4AAABkcnMvZTJvRG9jLnhtbK1T&#10;S44TMRDdI3EHy3vSnSxCppXOLCYMGwSRgANUbHe3Jf/k8qSTS3ABJHawYsme2zAcg7KTCcPMBiGy&#10;cMququd6z6+Xl3tr2E5F1N61fDqpOVNOeKld3/L3766fLTjDBE6C8U61/KCQX66ePlmOoVEzP3gj&#10;VWQE4rAZQ8uHlEJTVSgGZQEnPihHyc5HC4m2sa9khJHQralmdT2vRh9liF4oRDpdH5N8VfC7Ton0&#10;putQJWZaTrOlssaybvNarZbQ9BHCoMVpDPiHKSxoR5eeodaQgN1E/QjKahE9+i5NhLeV7zotVOFA&#10;bKb1AzZvBwiqcCFxMJxlwv8HK17vNpFp2fLZ8wvOHFh6pNuP3358+Pzz+ydab79+YTlFQo0BG6q/&#10;cpt42mHYxMx630Wb/4kP2xdxD2dx1T4xQYfTxWyxqOkNxF2u+t0YIqaXyluWg5Yb7TJvaGD3ChNd&#10;RqV3JfnYODa2fF5fzAkOyDadgUShDUQEXV960Rstr7UxuQNjv70yke0gG6H8MiXC/aMsX7IGHI51&#10;JXW0yKBAvnCSpUMggRx5mecRrJKcGUXWzxEBQpNAm7+ppKuNyw2q2PTEM2t8VDVHWy8P9Dw3Iep+&#10;IF2mZeacITuU6U/WzX67v6f4/ge2+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kq1+92QAAAA0B&#10;AAAPAAAAAAAAAAEAIAAAACIAAABkcnMvZG93bnJldi54bWxQSwECFAAUAAAACACHTuJA6GXaSuEB&#10;AACoAwAADgAAAAAAAAABACAAAAAoAQAAZHJzL2Uyb0RvYy54bWxQSwUGAAAAAAYABgBZAQAAewUA&#10;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58240" behindDoc="1" locked="0" layoutInCell="1" allowOverlap="1">
              <wp:simplePos x="0" y="0"/>
              <wp:positionH relativeFrom="page">
                <wp:posOffset>1031240</wp:posOffset>
              </wp:positionH>
              <wp:positionV relativeFrom="page">
                <wp:posOffset>9605645</wp:posOffset>
              </wp:positionV>
              <wp:extent cx="4657090" cy="149225"/>
              <wp:effectExtent l="0" t="0" r="0" b="0"/>
              <wp:wrapNone/>
              <wp:docPr id="280" name="文本框 280"/>
              <wp:cNvGraphicFramePr/>
              <a:graphic xmlns:a="http://schemas.openxmlformats.org/drawingml/2006/main">
                <a:graphicData uri="http://schemas.microsoft.com/office/word/2010/wordprocessingShape">
                  <wps:wsp>
                    <wps:cNvSpPr txBox="1"/>
                    <wps:spPr>
                      <a:xfrm>
                        <a:off x="0" y="0"/>
                        <a:ext cx="4657090" cy="149225"/>
                      </a:xfrm>
                      <a:prstGeom prst="rect">
                        <a:avLst/>
                      </a:prstGeom>
                      <a:noFill/>
                      <a:ln w="9525">
                        <a:noFill/>
                      </a:ln>
                      <a:effectLst/>
                    </wps:spPr>
                    <wps:txbx>
                      <w:txbxContent>
                        <w:p>
                          <w:pPr>
                            <w:spacing w:before="9" w:line="225" w:lineRule="exact"/>
                            <w:ind w:left="20"/>
                            <w:jc w:val="left"/>
                            <w:rPr>
                              <w:sz w:val="18"/>
                            </w:rPr>
                          </w:pPr>
                          <w:r>
                            <w:rPr>
                              <w:position w:val="9"/>
                              <w:sz w:val="9"/>
                            </w:rPr>
                            <w:t>①</w:t>
                          </w:r>
                          <w:r>
                            <w:rPr>
                              <w:sz w:val="9"/>
                            </w:rPr>
                            <w:t xml:space="preserve"> </w:t>
                          </w:r>
                          <w:r>
                            <w:rPr>
                              <w:sz w:val="18"/>
                            </w:rPr>
                            <w:t xml:space="preserve">本表仅适用于特别复杂的特大桥梁和特长隧道项目主体工程以及其他有特殊要求的工程。 </w:t>
                          </w:r>
                        </w:p>
                      </w:txbxContent>
                    </wps:txbx>
                    <wps:bodyPr lIns="0" tIns="0" rIns="0" bIns="0" upright="1"/>
                  </wps:wsp>
                </a:graphicData>
              </a:graphic>
            </wp:anchor>
          </w:drawing>
        </mc:Choice>
        <mc:Fallback>
          <w:pict>
            <v:shape id="_x0000_s1026" o:spid="_x0000_s1026" o:spt="202" type="#_x0000_t202" style="position:absolute;left:0pt;margin-left:81.2pt;margin-top:756.35pt;height:11.75pt;width:366.7pt;mso-position-horizontal-relative:page;mso-position-vertical-relative:page;z-index:-251658240;mso-width-relative:page;mso-height-relative:page;" filled="f" stroked="f" coordsize="21600,21600" o:gfxdata="UEsDBAoAAAAAAIdO4kAAAAAAAAAAAAAAAAAEAAAAZHJzL1BLAwQUAAAACACHTuJAY8Xfq9sAAAAN&#10;AQAADwAAAGRycy9kb3ducmV2LnhtbE2PzU7DMBCE70i8g7WVuFE7gYY2jVMhBCck1DQcODqxm1iN&#10;1yF2f3h7tie47eyOZr8pNhc3sJOZgvUoIZkLYAZbry12Ej7rt/slsBAVajV4NBJ+TIBNeXtTqFz7&#10;M1bmtIsdoxAMuZLQxzjmnIe2N06FuR8N0m3vJ6ciyanjelJnCncDT4XIuFMW6UOvRvPSm/awOzoJ&#10;z19Yvdrvj2Zb7Stb1yuB79lByrtZItbAornEPzNc8QkdSmJq/BF1YAPpLH0kKw2LJH0CRpblakFt&#10;muvqIUuBlwX/36L8BVBLAwQUAAAACACHTuJANx+0bawBAAA/AwAADgAAAGRycy9lMm9Eb2MueG1s&#10;rVLBbhMxEL0j9R8s34k3q6Y0q2wqoaoVEgKkwgc4XjtryfZYtpvd/ED7B5y4cOe78h2MnWwocENc&#10;vOM3s8/z3szqZrSG7GSIGlxL57OKEukEdNptW/rl893ra0pi4q7jBpxs6V5GerO+eLUafCNr6MF0&#10;MhAkcbEZfEv7lHzDWBS9tDzOwEuHSQXB8oTXsGVd4AOyW8PqqrpiA4TOBxAyRkRvj0m6LvxKSZE+&#10;KhVlIqal2FsqZyjnJp9sveLNNnDfa3Fqg/9DF5Zrh4+eqW554uQx6L+orBYBIqg0E2AZKKWFLBpQ&#10;zbz6Q81Dz70sWtCc6M82xf9HKz7sPgWiu5bW1+iP4xaHdPj6fPj24/D9iWQQLRp8bLDywWNtGt/C&#10;iKOe8IhgVj6qYPMXNRHMI9n+bLAcExEIXl4t3lRLTAnMzS+Xdb3INOzX3z7EdC/Bkhy0NOAAi698&#10;9z6mY+lUkh9zcKeNKUM0jgwtXS6Q8rcMkhuXEVnW4USTFR07z1EaN+NJ5ga6Pao07xy6nDdmCsIU&#10;bKbg0Qe97bHL4gXLRDilIue0UXkNXt4xfrn36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jxd+r&#10;2wAAAA0BAAAPAAAAAAAAAAEAIAAAACIAAABkcnMvZG93bnJldi54bWxQSwECFAAUAAAACACHTuJA&#10;Nx+0bawBAAA/AwAADgAAAAAAAAABACAAAAAqAQAAZHJzL2Uyb0RvYy54bWxQSwUGAAAAAAYABgBZ&#10;AQAASAUAAAAA&#10;">
              <v:fill on="f" focussize="0,0"/>
              <v:stroke on="f"/>
              <v:imagedata o:title=""/>
              <o:lock v:ext="edit" aspectratio="f"/>
              <v:textbox inset="0mm,0mm,0mm,0mm">
                <w:txbxContent>
                  <w:p>
                    <w:pPr>
                      <w:spacing w:before="9" w:line="225" w:lineRule="exact"/>
                      <w:ind w:left="20"/>
                      <w:jc w:val="left"/>
                      <w:rPr>
                        <w:sz w:val="18"/>
                      </w:rPr>
                    </w:pPr>
                    <w:r>
                      <w:rPr>
                        <w:position w:val="9"/>
                        <w:sz w:val="9"/>
                      </w:rPr>
                      <w:t>①</w:t>
                    </w:r>
                    <w:r>
                      <w:rPr>
                        <w:sz w:val="9"/>
                      </w:rPr>
                      <w:t xml:space="preserve"> </w:t>
                    </w:r>
                    <w:r>
                      <w:rPr>
                        <w:sz w:val="18"/>
                      </w:rPr>
                      <w:t xml:space="preserve">本表仅适用于特别复杂的特大桥梁和特长隧道项目主体工程以及其他有特殊要求的工程。 </w:t>
                    </w:r>
                  </w:p>
                </w:txbxContent>
              </v:textbox>
            </v:shape>
          </w:pict>
        </mc:Fallback>
      </mc:AlternateContent>
    </w:r>
    <w:r>
      <mc:AlternateContent>
        <mc:Choice Requires="wps">
          <w:drawing>
            <wp:anchor distT="0" distB="0" distL="114300" distR="114300" simplePos="0" relativeHeight="251658240" behindDoc="1" locked="0" layoutInCell="1" allowOverlap="1">
              <wp:simplePos x="0" y="0"/>
              <wp:positionH relativeFrom="page">
                <wp:posOffset>977265</wp:posOffset>
              </wp:positionH>
              <wp:positionV relativeFrom="page">
                <wp:posOffset>10007600</wp:posOffset>
              </wp:positionV>
              <wp:extent cx="224790" cy="152400"/>
              <wp:effectExtent l="0" t="0" r="0" b="0"/>
              <wp:wrapNone/>
              <wp:docPr id="281" name="文本框 281"/>
              <wp:cNvGraphicFramePr/>
              <a:graphic xmlns:a="http://schemas.openxmlformats.org/drawingml/2006/main">
                <a:graphicData uri="http://schemas.microsoft.com/office/word/2010/wordprocessingShape">
                  <wps:wsp>
                    <wps:cNvSpPr txBox="1"/>
                    <wps:spPr>
                      <a:xfrm>
                        <a:off x="0" y="0"/>
                        <a:ext cx="224790" cy="152400"/>
                      </a:xfrm>
                      <a:prstGeom prst="rect">
                        <a:avLst/>
                      </a:prstGeom>
                      <a:noFill/>
                      <a:ln w="9525">
                        <a:noFill/>
                      </a:ln>
                      <a:effectLst/>
                    </wps:spPr>
                    <wps:txbx>
                      <w:txbxContent>
                        <w:p>
                          <w:pPr>
                            <w:spacing w:before="12"/>
                            <w:ind w:left="40"/>
                            <w:jc w:val="left"/>
                            <w:rPr>
                              <w:sz w:val="18"/>
                            </w:rPr>
                          </w:pPr>
                          <w:r>
                            <w:fldChar w:fldCharType="begin"/>
                          </w:r>
                          <w:r>
                            <w:rPr>
                              <w:sz w:val="18"/>
                            </w:rPr>
                            <w:instrText xml:space="preserve"> PAGE </w:instrText>
                          </w:r>
                          <w:r>
                            <w:fldChar w:fldCharType="separate"/>
                          </w:r>
                          <w:r>
                            <w:t>236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76.95pt;margin-top:788pt;height:12pt;width:17.7pt;mso-position-horizontal-relative:page;mso-position-vertical-relative:page;z-index:-251658240;mso-width-relative:page;mso-height-relative:page;" filled="f" stroked="f" coordsize="21600,21600" o:gfxdata="UEsDBAoAAAAAAIdO4kAAAAAAAAAAAAAAAAAEAAAAZHJzL1BLAwQUAAAACACHTuJAsRygQNkAAAAN&#10;AQAADwAAAGRycy9kb3ducmV2LnhtbE2PzU7DMBCE70i8g7VI3KhdKkIT4lQIwQkJkYYDRyfeJlHj&#10;dYjdH96ezYneZrSfZmfyzdkN4ohT6D1pWC4UCKTG255aDV/V290aRIiGrBk8oYZfDLAprq9yk1l/&#10;ohKP29gKDqGQGQ1djGMmZWg6dCYs/IjEt52fnIlsp1bayZw43A3yXqlEOtMTf+jMiC8dNvvtwWl4&#10;/qbytf/5qD/LXdlXVaroPdlrfXuzVE8gIp7jPwxzfa4OBXeq/YFsEAP7h1XK6CweE141I+t0BaJm&#10;kSilQBa5vFxR/AFQSwMEFAAAAAgAh07iQC/o47CvAQAAPgMAAA4AAABkcnMvZTJvRG9jLnhtbK1S&#10;QW7bMBC8F8gfCN5jykLcJILlAEGQokDRFEj7AJoiLQIklyAZS/5A+4Oecsm97/I7umQsN2huQS7U&#10;cnc5mpnd5dVoDdnKEDW4ls5nFSXSCei027T0x/fb0wtKYuKu4wacbOlORnq1OvmwHHwja+jBdDIQ&#10;BHGxGXxL+5R8w1gUvbQ8zsBLh0UFwfKE17BhXeADolvD6qr6yAYInQ8gZIyYvXku0lXBV0qKdKdU&#10;lImYliK3VM5QznU+2WrJm03gvtfiQIO/gYXl2uFPj1A3PHHyEPQrKKtFgAgqzQRYBkppIYsGVDOv&#10;/lNz33MvixY0J/qjTfH9YMXX7bdAdNfS+mJOieMWh7T//Wv/+Gf/9JPkJFo0+Nhg573H3jRew4ij&#10;nvIRk1n5qILNX9REsI5m744GyzERgcm6Pju/xIrA0nxRn1VlAOzfYx9i+iTBkhy0NOD8iq18+yUm&#10;JIKtU0v+l4NbbUyZoXFkaOnlol6UB8cKvjAu98qyDQeYLOiZeI7SuB4PKtfQ7VCk+ezQ5LwwUxCm&#10;YD0FDz7oTY8sixUsA+GQCsfDQuUteHnH+OXar/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Ryg&#10;QNkAAAANAQAADwAAAAAAAAABACAAAAAiAAAAZHJzL2Rvd25yZXYueG1sUEsBAhQAFAAAAAgAh07i&#10;QC/o47CvAQAAPgMAAA4AAAAAAAAAAQAgAAAAKAEAAGRycy9lMm9Eb2MueG1sUEsFBgAAAAAGAAYA&#10;WQEAAEkFAAAAAA==&#10;">
              <v:fill on="f" focussize="0,0"/>
              <v:stroke on="f"/>
              <v:imagedata o:title=""/>
              <o:lock v:ext="edit" aspectratio="f"/>
              <v:textbox inset="0mm,0mm,0mm,0mm">
                <w:txbxContent>
                  <w:p>
                    <w:pPr>
                      <w:spacing w:before="12"/>
                      <w:ind w:left="40"/>
                      <w:jc w:val="left"/>
                      <w:rPr>
                        <w:sz w:val="18"/>
                      </w:rPr>
                    </w:pPr>
                    <w:r>
                      <w:fldChar w:fldCharType="begin"/>
                    </w:r>
                    <w:r>
                      <w:rPr>
                        <w:sz w:val="18"/>
                      </w:rPr>
                      <w:instrText xml:space="preserve"> PAGE </w:instrText>
                    </w:r>
                    <w:r>
                      <w:fldChar w:fldCharType="separate"/>
                    </w:r>
                    <w:r>
                      <w:t>236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KZlMbAgAAIwQAAA4AAABkcnMvZTJvRG9jLnhtbK1Ty47TMBTdI/EP&#10;lvc0adG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bE7K4o0UxhRqcf308/f59+fSP4A0Ct9TPYbSwsQ/fOdDAe/j0+Y99d&#10;5VS80RGBHlAfL/CKLhAenaaT6TSHikM3PBA/e3K3zof3wigShYI6zC/Byg5rH3rTwSRm02bVSJlm&#10;KDVpC3r99ipPDhcNgksdbUViwzlMbKkvPUqh23bnPremPKJNZ3qmeMtXDUpZMx8emAM1UD7oHu5x&#10;VNIgpTlLlNTGff3bf7THxKClpAXVCqqxC5TIDxqTjKwcBDcI20HQe3VrwN0x1sjyJMLBBTmIlTPq&#10;C3ZgGXNAxTRHpoKGQbwNPd2xQ1wsl8lob12zq3sH8NCysNYby2OaCJW3y30AtAnxCFCPCiYVH2Bi&#10;mtl5ayLV/3wnq6fd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wKZlMbAgAAIwQAAA4A&#10;AAAAAAAAAQAgAAAAHwEAAGRycy9lMm9Eb2MueG1sUEsFBgAAAAAGAAYAWQEAAKw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300" w:lineRule="exact"/>
      <w:rPr>
        <w:sz w:val="20"/>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tsZ8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YVKaKczo8vXL5duPy/fPBH8AqLV+AbudhWXoXpsOxuO/x2fsu6uc&#10;ijc6ItAD6vMVXtEFwqPTfDaf51Bx6MYH4mdP7tb58EYYRaJQUIf5JVjZaetDbzqaxGzabBop0wyl&#10;Jm1Bb16+ypPDVYPgUkdbkdgwhIkt9aVHKXT7buhzb8oz2nSmZ4q3fNOglC3z4ZE5UAPlg+7hAUcl&#10;DVKaQaKkNu7T3/6jPSYGLSUtqFZQjV2gRL7VmGRk5Si4UdiPgj6qOwPuTrFGlicRDi7IUaycUR+x&#10;A+uYAyqmOTIVNIziXejpjh3iYr1ORkfrmkPdO4CHloWt3lke00SovF0fA6BNiEeAelQwqfgAE9PM&#10;hq2JVP/1nayednv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D7bGfGQIAACMEAAAOAAAA&#10;AAAAAAEAIAAAAB8BAABkcnMvZTJvRG9jLnhtbFBLBQYAAAAABgAGAFkBAACq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46</w:t>
                    </w:r>
                    <w:r>
                      <w:fldChar w:fldCharType="end"/>
                    </w:r>
                  </w:p>
                </w:txbxContent>
              </v:textbox>
            </v:shape>
          </w:pict>
        </mc:Fallback>
      </mc:AlternateContent>
    </w: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Fi7YbAgAAIQQAAA4AAABkcnMvZTJvRG9jLnhtbK1TzW4TMRC+I/EO&#10;lu9kN0FUa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OFi7YbAgAAIQQAAA4A&#10;AAAAAAAAAQAgAAAAHwEAAGRycy9lMm9Eb2MueG1sUEsFBgAAAAAGAAYAWQEAAKwFAAAAAA==&#10;">
              <v:fill on="f" focussize="0,0"/>
              <v:stroke on="f" weight="0.5pt"/>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1018540</wp:posOffset>
              </wp:positionH>
              <wp:positionV relativeFrom="page">
                <wp:posOffset>10012045</wp:posOffset>
              </wp:positionV>
              <wp:extent cx="224790" cy="152400"/>
              <wp:effectExtent l="0" t="0" r="0" b="0"/>
              <wp:wrapNone/>
              <wp:docPr id="219" name="文本框 219"/>
              <wp:cNvGraphicFramePr/>
              <a:graphic xmlns:a="http://schemas.openxmlformats.org/drawingml/2006/main">
                <a:graphicData uri="http://schemas.microsoft.com/office/word/2010/wordprocessingShape">
                  <wps:wsp>
                    <wps:cNvSpPr txBox="1"/>
                    <wps:spPr>
                      <a:xfrm>
                        <a:off x="0" y="0"/>
                        <a:ext cx="224790" cy="152400"/>
                      </a:xfrm>
                      <a:prstGeom prst="rect">
                        <a:avLst/>
                      </a:prstGeom>
                      <a:noFill/>
                      <a:ln w="9525">
                        <a:noFill/>
                      </a:ln>
                      <a:effectLst/>
                    </wps:spPr>
                    <wps:txbx>
                      <w:txbxContent>
                        <w:p>
                          <w:pPr>
                            <w:spacing w:before="12"/>
                            <w:ind w:left="40"/>
                            <w:jc w:val="left"/>
                            <w:rPr>
                              <w:sz w:val="18"/>
                            </w:rPr>
                          </w:pPr>
                          <w:r>
                            <w:fldChar w:fldCharType="begin"/>
                          </w:r>
                          <w:r>
                            <w:rPr>
                              <w:sz w:val="18"/>
                            </w:rPr>
                            <w:instrText xml:space="preserve"> PAGE </w:instrText>
                          </w:r>
                          <w:r>
                            <w:fldChar w:fldCharType="separate"/>
                          </w:r>
                          <w:r>
                            <w:t>166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80.2pt;margin-top:788.35pt;height:12pt;width:17.7pt;mso-position-horizontal-relative:page;mso-position-vertical-relative:page;z-index:-251658240;mso-width-relative:page;mso-height-relative:page;" filled="f" stroked="f" coordsize="21600,21600" o:gfxdata="UEsDBAoAAAAAAIdO4kAAAAAAAAAAAAAAAAAEAAAAZHJzL1BLAwQUAAAACACHTuJAw9ozMNkAAAAN&#10;AQAADwAAAGRycy9kb3ducmV2LnhtbE2PzU7DMBCE70i8g7VI3KhdRBMa4lQIwQmpahoOHJ14m0SN&#10;1yF2f3h7tlzgtqP5NDuTr85uEEecQu9Jw3ymQCA13vbUavio3u4eQYRoyJrBE2r4xgCr4voqN5n1&#10;JyrxuI2t4BAKmdHQxThmUoamQ2fCzI9I7O385ExkObXSTubE4W6Q90ol0pme+ENnRnzpsNlvD07D&#10;8yeVr/3Xut6Uu7KvqqWi92Sv9e3NXD2BiHiOfzBc6nN1KLhT7Q9kgxhYJ+qBUT4WaZKCuCDLBa+p&#10;fz2Vgixy+X9F8QNQSwMEFAAAAAgAh07iQGFwO16vAQAAPgMAAA4AAABkcnMvZTJvRG9jLnhtbK1S&#10;QW7bMBC8F+gfCN5rykLc1oLlAEWQokDRBkj6AJoiLQIklyAZS/5A+4Occum97/I7smQsN0huQS7U&#10;cnc5mpnd1floDdnJEDW4ls5nFSXSCei027b0183lh8+UxMRdxw042dK9jPR8/f7davCNrKEH08lA&#10;EMTFZvAt7VPyDWNR9NLyOAMvHRYVBMsTXsOWdYEPiG4Nq6vqIxsgdD6AkDFi9uKxSNcFXykp0k+l&#10;okzEtBS5pXKGcm7yydYr3mwD970WRxr8FSws1w5/eoK64ImT26BfQFktAkRQaSbAMlBKC1k0oJp5&#10;9UzNdc+9LFrQnOhPNsW3gxU/dleB6K6l9XxJieMWh3S4+3O4/3f4+5vkJFo0+Nhg57XH3jR+gRFH&#10;PeUjJrPyUQWbv6iJYB3N3p8MlmMiApN1ffZpiRWBpfmiPqvKANj/xz7E9FWCJTloacD5FVv57ntM&#10;SARbp5b8LweX2pgyQ+PI0NLlol6UB6cKvjAu98qyDUeYLOiReI7SuBmPKjfQ7VGk+ebQ5LwwUxCm&#10;YDMFtz7obY8sixUsA+GQCsfjQuUteHrH+Onarx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9oz&#10;MNkAAAANAQAADwAAAAAAAAABACAAAAAiAAAAZHJzL2Rvd25yZXYueG1sUEsBAhQAFAAAAAgAh07i&#10;QGFwO16vAQAAPgMAAA4AAAAAAAAAAQAgAAAAKAEAAGRycy9lMm9Eb2MueG1sUEsFBgAAAAAGAAYA&#10;WQEAAEkFAAAAAA==&#10;">
              <v:fill on="f" focussize="0,0"/>
              <v:stroke on="f"/>
              <v:imagedata o:title=""/>
              <o:lock v:ext="edit" aspectratio="f"/>
              <v:textbox inset="0mm,0mm,0mm,0mm">
                <w:txbxContent>
                  <w:p>
                    <w:pPr>
                      <w:spacing w:before="12"/>
                      <w:ind w:left="40"/>
                      <w:jc w:val="left"/>
                      <w:rPr>
                        <w:sz w:val="18"/>
                      </w:rPr>
                    </w:pPr>
                    <w:r>
                      <w:fldChar w:fldCharType="begin"/>
                    </w:r>
                    <w:r>
                      <w:rPr>
                        <w:sz w:val="18"/>
                      </w:rPr>
                      <w:instrText xml:space="preserve"> PAGE </w:instrText>
                    </w:r>
                    <w:r>
                      <w:fldChar w:fldCharType="separate"/>
                    </w:r>
                    <w:r>
                      <w:t>166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720"/>
        <w:tab w:val="center" w:pos="4320"/>
        <w:tab w:val="right" w:pos="8820"/>
        <w:tab w:val="clear" w:pos="4153"/>
        <w:tab w:val="clear" w:pos="8306"/>
      </w:tabs>
      <w:ind w:right="-109"/>
      <w:jc w:val="both"/>
      <w:rPr>
        <w:rFonts w:ascii="宋体"/>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75</w:t>
                    </w:r>
                    <w:r>
                      <w:fldChar w:fldCharType="end"/>
                    </w:r>
                  </w:p>
                </w:txbxContent>
              </v:textbox>
            </v:shape>
          </w:pict>
        </mc:Fallback>
      </mc:AlternateContent>
    </w:r>
  </w:p>
  <w:p>
    <w:pPr>
      <w:pStyle w:val="12"/>
      <w:tabs>
        <w:tab w:val="left" w:pos="720"/>
        <w:tab w:val="center" w:pos="4320"/>
        <w:tab w:val="right" w:pos="8820"/>
        <w:tab w:val="clear" w:pos="4153"/>
        <w:tab w:val="clear" w:pos="8306"/>
      </w:tabs>
      <w:ind w:right="-109"/>
      <w:jc w:val="both"/>
      <w:rPr>
        <w:rFonts w:ascii="宋体"/>
        <w:sz w:val="21"/>
        <w:szCs w:val="21"/>
      </w:rPr>
    </w:pPr>
  </w:p>
  <w:p>
    <w:pPr>
      <w:pStyle w:val="12"/>
      <w:tabs>
        <w:tab w:val="left" w:pos="5826"/>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720"/>
        <w:tab w:val="center" w:pos="4320"/>
        <w:tab w:val="right" w:pos="8820"/>
        <w:tab w:val="clear" w:pos="4153"/>
        <w:tab w:val="clear" w:pos="8306"/>
      </w:tabs>
      <w:ind w:right="-109"/>
      <w:jc w:val="both"/>
      <w:rPr>
        <w:rFonts w:ascii="宋体"/>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uZwaAgAAIw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CVmN6VEM4UZnb9/O//4df75leAPALXWz2G3tbAM3VvTwXj49/iMfXeV&#10;U/FGRwR6QH26wiu6QHh0mk1msxwqDt3wQPzs0d06H94Jo0gUCuowvwQrO2586E0Hk5hNm3UjZZqh&#10;1KQt6PT1mzw5XDUILnW0FYkNlzCxpb70KIVu11363JnyhDad6ZniLV83KGXDfHhgDtRA+aB7uMdR&#10;SYOU5iJRUhv35bn/aI+JQUtJC6oVVGMXKJHvNSYZWTkIbhB2g6AP6taAu2OskeVJhIMLchArZ9Rn&#10;7MAq5oCKaY5MBQ2DeBt6umOHuFitktHBumZf9w7goWVho7eWxzQRKm9XhwBoE+IRoB4VTCo+wMQ0&#10;s8vWRKr/+U5Wj7u9/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T9y5nBoCAAAjBAAADgAA&#10;AAAAAAABACAAAAAfAQAAZHJzL2Uyb0RvYy54bWxQSwUGAAAAAAYABgBZAQAAq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84</w:t>
                    </w:r>
                    <w:r>
                      <w:fldChar w:fldCharType="end"/>
                    </w:r>
                  </w:p>
                </w:txbxContent>
              </v:textbox>
            </v:shape>
          </w:pict>
        </mc:Fallback>
      </mc:AlternateContent>
    </w:r>
  </w:p>
  <w:p>
    <w:pPr>
      <w:pStyle w:val="12"/>
      <w:tabs>
        <w:tab w:val="left" w:pos="720"/>
        <w:tab w:val="center" w:pos="4320"/>
        <w:tab w:val="right" w:pos="8820"/>
        <w:tab w:val="clear" w:pos="4153"/>
        <w:tab w:val="clear" w:pos="8306"/>
      </w:tabs>
      <w:ind w:right="-109"/>
      <w:jc w:val="both"/>
      <w:rPr>
        <w:rFonts w:ascii="宋体"/>
        <w:sz w:val="21"/>
        <w:szCs w:val="21"/>
      </w:rPr>
    </w:pPr>
  </w:p>
  <w:p>
    <w:pPr>
      <w:pStyle w:val="12"/>
      <w:tabs>
        <w:tab w:val="left" w:pos="5826"/>
        <w:tab w:val="clear" w:pos="4153"/>
        <w:tab w:val="clear" w:pos="8306"/>
      </w:tabs>
    </w:pPr>
    <w:r>
      <w:rPr>
        <w:rFonts w:hint="eastAsia" w:ascii="宋体"/>
        <w:sz w:val="21"/>
        <w:szCs w:val="21"/>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EPZ0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TSnRTGFGl69fLt9+XL5/JvgDQK31C9jtLCxD99p0MB7/PT5j313l&#10;VLzREYEeUJ+v8IouEB6d5rP5PIeKQzc+ED97crfOhzfCKBKFgjrML8HKTlsfetPRJGbTZtNImWYo&#10;NWkLevPyVZ4crhoElzraisSGIUxsqS89SqHbd0Ofe1Oe0aYzPVO85ZsGpWyZD4/MgRooH3QPDzgq&#10;aZDSDBIltXGf/vYf7TExaClpQbWCauwCJfKtxiQjK0fBjcJ+FPRR3RlwF8NBLUmEgwtyFCtn1Efs&#10;wDrmgIppjkwFDaN4F3q6Y4e4WK+T0dG65lD3DuChZWGrd5bHNBEqb9fHAGgT4hGgHhVMKj7AxDSz&#10;YWsi1X99J6un3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DpxD2dGQIAACMEAAAOAAAA&#10;AAAAAAEAIAAAAB8BAABkcnMvZTJvRG9jLnhtbFBLBQYAAAAABgAGAFkBAACq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86</w:t>
                    </w:r>
                    <w:r>
                      <w:fldChar w:fldCharType="end"/>
                    </w:r>
                  </w:p>
                </w:txbxContent>
              </v:textbox>
            </v:shape>
          </w:pict>
        </mc:Fallback>
      </mc:AlternateContent>
    </w:r>
    <w:r>
      <mc:AlternateContent>
        <mc:Choice Requires="wps">
          <w:drawing>
            <wp:anchor distT="0" distB="0" distL="114300" distR="114300" simplePos="0" relativeHeight="251658240" behindDoc="1" locked="0" layoutInCell="1" allowOverlap="1">
              <wp:simplePos x="0" y="0"/>
              <wp:positionH relativeFrom="page">
                <wp:posOffset>6369050</wp:posOffset>
              </wp:positionH>
              <wp:positionV relativeFrom="page">
                <wp:posOffset>9992360</wp:posOffset>
              </wp:positionV>
              <wp:extent cx="199390" cy="152400"/>
              <wp:effectExtent l="0" t="0" r="0" b="0"/>
              <wp:wrapNone/>
              <wp:docPr id="273" name="文本框 273"/>
              <wp:cNvGraphicFramePr/>
              <a:graphic xmlns:a="http://schemas.openxmlformats.org/drawingml/2006/main">
                <a:graphicData uri="http://schemas.microsoft.com/office/word/2010/wordprocessingShape">
                  <wps:wsp>
                    <wps:cNvSpPr txBox="1"/>
                    <wps:spPr>
                      <a:xfrm>
                        <a:off x="0" y="0"/>
                        <a:ext cx="199390" cy="152400"/>
                      </a:xfrm>
                      <a:prstGeom prst="rect">
                        <a:avLst/>
                      </a:prstGeom>
                      <a:noFill/>
                      <a:ln w="9525">
                        <a:noFill/>
                      </a:ln>
                      <a:effectLst/>
                    </wps:spPr>
                    <wps:txbx>
                      <w:txbxContent>
                        <w:p>
                          <w:pPr>
                            <w:spacing w:before="12"/>
                            <w:jc w:val="left"/>
                            <w:rPr>
                              <w:sz w:val="18"/>
                            </w:rPr>
                          </w:pPr>
                        </w:p>
                      </w:txbxContent>
                    </wps:txbx>
                    <wps:bodyPr lIns="0" tIns="0" rIns="0" bIns="0" upright="1"/>
                  </wps:wsp>
                </a:graphicData>
              </a:graphic>
            </wp:anchor>
          </w:drawing>
        </mc:Choice>
        <mc:Fallback>
          <w:pict>
            <v:shape id="_x0000_s1026" o:spid="_x0000_s1026" o:spt="202" type="#_x0000_t202" style="position:absolute;left:0pt;margin-left:501.5pt;margin-top:786.8pt;height:12pt;width:15.7pt;mso-position-horizontal-relative:page;mso-position-vertical-relative:page;z-index:-251658240;mso-width-relative:page;mso-height-relative:page;" filled="f" stroked="f" coordsize="21600,21600" o:gfxdata="UEsDBAoAAAAAAIdO4kAAAAAAAAAAAAAAAAAEAAAAZHJzL1BLAwQUAAAACACHTuJAVAkC2NwAAAAP&#10;AQAADwAAAGRycy9kb3ducmV2LnhtbE2PzU7DMBCE70i8g7VI3KhdUtI2jVMhBCckRBoOHJ3YTazG&#10;6xC7P7w9m1O57eyOZr/JtxfXs5MZg/UoYT4TwAw2XltsJXxVbw8rYCEq1Kr3aCT8mgDb4vYmV5n2&#10;ZyzNaRdbRiEYMiWhi3HIOA9NZ5wKMz8YpNvej05FkmPL9ajOFO56/ihEyp2ySB86NZiXzjSH3dFJ&#10;eP7G8tX+fNSf5b60VbUW+J4epLy/m4sNsGgu8WqGCZ/QoSCm2h9RB9aTFiKhMpGmp2WSAps8Ilks&#10;gNXTbr1MgRc5/9+j+ANQSwMEFAAAAAgAh07iQM+AF6CuAQAAPgMAAA4AAABkcnMvZTJvRG9jLnht&#10;bK1SS27bMBDdB8gdCO5jykrdxILlAEWQokDRBkhzAJoiLQL8YchY8gXaG3TVTfc5l8/RIWO5Qbsr&#10;uiGH83mc92ZWN6M1ZCchau9aOp9VlEgnfKfdtqWPX+4urimJibuOG+9kS/cy0pv1+dlqCI2sfe9N&#10;J4EgiIvNEFrapxQaxqLopeVx5oN0GFQeLE/4hC3rgA+Ibg2rq+otGzx0AbyQMaL39iVI1wVfKSnS&#10;Z6WiTMS0FHtL5YRybvLJ1ivebIGHXotjG/wfurBcO/z0BHXLEydPoP+CslqAj16lmfCWeaW0kIUD&#10;splXf7B56HmQhQuKE8NJpvj/YMWn3T0Q3bW0vrqkxHGLQzp8/3b48Xz4+ZVkJ0o0hNhg5kPA3DS+&#10;8yOOevJHdGbmowKbb+REMI5i708CyzERkYuWy8slRgSG5ov6TVUGwH4XB4jpvfSWZKOlgPMrsvLd&#10;x5iwEUydUvJfzt9pY8oMjSNDS5eLelEKThGsMC7nyrINR5hM6KXxbKVxMx5Zbny3R5Lmg0OR88JM&#10;BkzGZjKeAuhtj10WKVgGwiGVHo8Llbfg9Rvt12u//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U&#10;CQLY3AAAAA8BAAAPAAAAAAAAAAEAIAAAACIAAABkcnMvZG93bnJldi54bWxQSwECFAAUAAAACACH&#10;TuJAz4AXoK4BAAA+AwAADgAAAAAAAAABACAAAAArAQAAZHJzL2Uyb0RvYy54bWxQSwUGAAAAAAYA&#10;BgBZAQAASwUAAAAA&#10;">
              <v:fill on="f" focussize="0,0"/>
              <v:stroke on="f"/>
              <v:imagedata o:title=""/>
              <o:lock v:ext="edit" aspectratio="f"/>
              <v:textbox inset="0mm,0mm,0mm,0mm">
                <w:txbxContent>
                  <w:p>
                    <w:pPr>
                      <w:spacing w:before="12"/>
                      <w:jc w:val="left"/>
                      <w:rPr>
                        <w:sz w:val="18"/>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989965</wp:posOffset>
              </wp:positionH>
              <wp:positionV relativeFrom="page">
                <wp:posOffset>10007600</wp:posOffset>
              </wp:positionV>
              <wp:extent cx="199390" cy="152400"/>
              <wp:effectExtent l="0" t="0" r="0" b="0"/>
              <wp:wrapNone/>
              <wp:docPr id="272" name="文本框 272"/>
              <wp:cNvGraphicFramePr/>
              <a:graphic xmlns:a="http://schemas.openxmlformats.org/drawingml/2006/main">
                <a:graphicData uri="http://schemas.microsoft.com/office/word/2010/wordprocessingShape">
                  <wps:wsp>
                    <wps:cNvSpPr txBox="1"/>
                    <wps:spPr>
                      <a:xfrm>
                        <a:off x="0" y="0"/>
                        <a:ext cx="199390" cy="152400"/>
                      </a:xfrm>
                      <a:prstGeom prst="rect">
                        <a:avLst/>
                      </a:prstGeom>
                      <a:noFill/>
                      <a:ln w="9525">
                        <a:noFill/>
                      </a:ln>
                      <a:effectLst/>
                    </wps:spPr>
                    <wps:txbx>
                      <w:txbxContent>
                        <w:p>
                          <w:pPr>
                            <w:spacing w:before="12"/>
                            <w:ind w:left="20"/>
                            <w:jc w:val="left"/>
                            <w:rPr>
                              <w:sz w:val="18"/>
                            </w:rPr>
                          </w:pPr>
                          <w:r>
                            <w:rPr>
                              <w:sz w:val="18"/>
                            </w:rPr>
                            <w:t>230</w:t>
                          </w:r>
                        </w:p>
                      </w:txbxContent>
                    </wps:txbx>
                    <wps:bodyPr lIns="0" tIns="0" rIns="0" bIns="0" upright="1"/>
                  </wps:wsp>
                </a:graphicData>
              </a:graphic>
            </wp:anchor>
          </w:drawing>
        </mc:Choice>
        <mc:Fallback>
          <w:pict>
            <v:shape id="_x0000_s1026" o:spid="_x0000_s1026" o:spt="202" type="#_x0000_t202" style="position:absolute;left:0pt;margin-left:77.95pt;margin-top:788pt;height:12pt;width:15.7pt;mso-position-horizontal-relative:page;mso-position-vertical-relative:page;z-index:-251658240;mso-width-relative:page;mso-height-relative:page;" filled="f" stroked="f" coordsize="21600,21600" o:gfxdata="UEsDBAoAAAAAAIdO4kAAAAAAAAAAAAAAAAAEAAAAZHJzL1BLAwQUAAAACACHTuJAaKamZNkAAAAN&#10;AQAADwAAAGRycy9kb3ducmV2LnhtbE2PzU7DMBCE70i8g7VI3KhdUNM2xKkQghNS1TQcODrxNoka&#10;r0Ps/vD2bE5wm9F+mp3JNlfXizOOofOkYT5TIJBqbztqNHyW7w8rECEasqb3hBp+MMAmv73JTGr9&#10;hQo872MjOIRCajS0MQ6plKFu0Zkw8wMS3w5+dCayHRtpR3PhcNfLR6US6UxH/KE1A762WB/3J6fh&#10;5YuKt+57W+2KQ9GV5VrRR3LU+v5urp5BRLzGPxim+lwdcu5U+RPZIHr2i8Wa0UksE141IavlE4iK&#10;RaKUApln8v+K/BdQSwMEFAAAAAgAh07iQKM25byuAQAAPgMAAA4AAABkcnMvZTJvRG9jLnhtbK1S&#10;zW4bIRC+R+o7IO41623dxCuvI1VRqkpRGynpA2AWvEjAICDe9Qs0b9BTL73nufwcGYjXjdpb1QsM&#10;8/Mx3zezuhytITsZogbX0vmsokQ6AZ1225Z+u79+e0FJTNx13ICTLd3LSC/Xb85Wg29kDT2YTgaC&#10;IC42g29pn5JvGIuil5bHGXjpMKggWJ7wGbasC3xAdGtYXVUf2ACh8wGEjBG9Vy9Bui74SkmRvioV&#10;ZSKmpdhbKmco5yafbL3izTZw32txbIP/QxeWa4efnqCueOLkIei/oKwWASKoNBNgGSilhSwckM28&#10;+oPNXc+9LFxQnOhPMsX/Byu+7G4D0V1L6/OaEsctDunw4/Hw8+nw6zvJTpRo8LHBzDuPuWn8CCOO&#10;evJHdGbmowo238iJYBzF3p8ElmMiIhctl++WGBEYmi/q91UZAPtd7ENMnyRYko2WBpxfkZXvbmLC&#10;RjB1Ssl/ObjWxpQZGkeGli4X9aIUnCJYYVzOlWUbjjCZ0Evj2UrjZjyy3EC3R5Lms0OR88JMRpiM&#10;zWQ8+KC3PXZZpGAZCIdUejwuVN6C12+0X6/9+h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opqZk&#10;2QAAAA0BAAAPAAAAAAAAAAEAIAAAACIAAABkcnMvZG93bnJldi54bWxQSwECFAAUAAAACACHTuJA&#10;ozblvK4BAAA+AwAADgAAAAAAAAABACAAAAAoAQAAZHJzL2Uyb0RvYy54bWxQSwUGAAAAAAYABgBZ&#10;AQAASAUAAAAA&#10;">
              <v:fill on="f" focussize="0,0"/>
              <v:stroke on="f"/>
              <v:imagedata o:title=""/>
              <o:lock v:ext="edit" aspectratio="f"/>
              <v:textbox inset="0mm,0mm,0mm,0mm">
                <w:txbxContent>
                  <w:p>
                    <w:pPr>
                      <w:spacing w:before="12"/>
                      <w:ind w:left="20"/>
                      <w:jc w:val="left"/>
                      <w:rPr>
                        <w:sz w:val="18"/>
                      </w:rPr>
                    </w:pPr>
                    <w:r>
                      <w:rPr>
                        <w:sz w:val="18"/>
                      </w:rPr>
                      <w:t>230</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S4lI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zSjRTGFGl69fLt9+XL5/JvgDQK31C9jtLCxD99p0MB7/PT5j313l&#10;VLzREYEeUJ+v8IouEB6d5rP5PIeKQzc+ED97crfOhzfCKBKFgjrML8HKTlsfetPRJGbTZtNImWYo&#10;NWkLevPyVZ4crhoElzraisSGIUxsqS89SqHbd0Ofe1Oe0aYzPVO85ZsGpWyZD4/MgRooH3QPDzgq&#10;aZDSDBIltXGf/vYf7TExaClpQbWCauwCJfKtxiQjK0fBjcJ+FPRR3Rlwd4o1sjyJcHBBjmLljPqI&#10;HVjHHFAxzZGpoGEU70JPd+wQF+t1Mjpa1xzq3gE8tCxs9c7ymCZC5e36GABtQjwC1KOCScUHmJhm&#10;NmxNpPqv72T1tNu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KEuJSGQIAACMEAAAOAAAA&#10;AAAAAAEAIAAAAB8BAABkcnMvZTJvRG9jLnhtbFBLBQYAAAAABgAGAFkBAACq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spacing w:line="450" w:lineRule="atLeast"/>
        <w:ind w:firstLine="420" w:firstLineChars="200"/>
        <w:rPr>
          <w:rFonts w:ascii="微软雅黑" w:hAnsi="微软雅黑" w:eastAsia="微软雅黑"/>
          <w:color w:val="333333"/>
          <w:szCs w:val="21"/>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p>
    <w:pPr>
      <w:pStyle w:val="10"/>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1025525</wp:posOffset>
              </wp:positionH>
              <wp:positionV relativeFrom="page">
                <wp:posOffset>737235</wp:posOffset>
              </wp:positionV>
              <wp:extent cx="5424805" cy="0"/>
              <wp:effectExtent l="0" t="0" r="0" b="0"/>
              <wp:wrapNone/>
              <wp:docPr id="215" name="直接连接符 215"/>
              <wp:cNvGraphicFramePr/>
              <a:graphic xmlns:a="http://schemas.openxmlformats.org/drawingml/2006/main">
                <a:graphicData uri="http://schemas.microsoft.com/office/word/2010/wordprocessingShape">
                  <wps:wsp>
                    <wps:cNvCnPr/>
                    <wps:spPr>
                      <a:xfrm>
                        <a:off x="0" y="0"/>
                        <a:ext cx="5424805" cy="0"/>
                      </a:xfrm>
                      <a:prstGeom prst="line">
                        <a:avLst/>
                      </a:prstGeom>
                      <a:ln w="6096"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0.75pt;margin-top:58.05pt;height:0pt;width:427.15pt;mso-position-horizontal-relative:page;mso-position-vertical-relative:page;z-index:-251658240;mso-width-relative:page;mso-height-relative:page;" filled="f" stroked="t" coordsize="21600,21600" o:gfxdata="UEsDBAoAAAAAAIdO4kAAAAAAAAAAAAAAAAAEAAAAZHJzL1BLAwQUAAAACACHTuJAo63PxtYAAAAM&#10;AQAADwAAAGRycy9kb3ducmV2LnhtbE1PwWrCQBS8F/yH5Qm91d0UtGmajQelBQ+lVKXnNfuapMm+&#10;DdnV6N/3CQV7m3kzzJvJl2fXiRMOofGkIZkpEEiltw1VGva714cURIiGrOk8oYYLBlgWk7vcZNaP&#10;9ImnbawEh1DIjIY6xj6TMpQ1OhNmvkdi7dsPzkSmQyXtYEYOd518VGohnWmIP9Smx1WNZbs9Og3v&#10;qVz7j/arvPyMu7c03bTPT5u91vfTRL2AiHiONzNc63N1KLjTwR/JBtExXyRztjJgBOLqUMmc1xz+&#10;TrLI5f8RxS9QSwMEFAAAAAgAh07iQLoiyMjiAQAAqAMAAA4AAABkcnMvZTJvRG9jLnhtbK1TzY7T&#10;MBC+I/EOlu80abVbLVHTPWxZLggqAQ8wtZ3Ekv/k8TbtS/ACSNzgxJE7b8PyGIzdbtldLgiRgzP2&#10;jL+Z78uXxeXOGrZVEbV3LZ9Oas6UE15q17f8/bvrZxecYQInwXinWr5XyC+XT58sxtComR+8kSoy&#10;AnHYjKHlQ0qhqSoUg7KAEx+Uo2Tno4VE29hXMsJI6NZUs7qeV6OPMkQvFCKdrg5Jviz4XadEetN1&#10;qBIzLafZUlljWTd5rZYLaPoIYdDiOAb8wxQWtKOmJ6gVJGA3Uf8BZbWIHn2XJsLbynedFqpwIDbT&#10;+hGbtwMEVbiQOBhOMuH/gxWvt+vItGz5bHrOmQNLH+n247cfHz7//P6J1tuvX1hOkVBjwIbqr9w6&#10;HncY1jGz3nXR5jfxYbsi7v4krtolJujw/Gx2dlFTD3GXq35fDBHTS+Uty0HLjXaZNzSwfYWJmlHp&#10;XUk+No6NLZ/Xz+cEB2SbzkCi0AYigq4vd9EbLa+1MfkGxn5zZSLbQjZCeTIlwn1QlpusAIdDXUkd&#10;LDIokC+cZGkfSCBHXuZ5BKskZ0aR9XNEgNAk0OZvKqm1cfmCKjY98swaH1TN0cbLPX2emxB1P5Au&#10;0zJzzpAdyvRH62a/3d9TfP8HW/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63PxtYAAAAMAQAA&#10;DwAAAAAAAAABACAAAAAiAAAAZHJzL2Rvd25yZXYueG1sUEsBAhQAFAAAAAgAh07iQLoiyMjiAQAA&#10;qAMAAA4AAAAAAAAAAQAgAAAAJQEAAGRycy9lMm9Eb2MueG1sUEsFBgAAAAAGAAYAWQEAAHkFAAAA&#10;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58240" behindDoc="1" locked="0" layoutInCell="1" allowOverlap="1">
              <wp:simplePos x="0" y="0"/>
              <wp:positionH relativeFrom="page">
                <wp:posOffset>1031240</wp:posOffset>
              </wp:positionH>
              <wp:positionV relativeFrom="page">
                <wp:posOffset>543560</wp:posOffset>
              </wp:positionV>
              <wp:extent cx="2577465" cy="180975"/>
              <wp:effectExtent l="0" t="0" r="0" b="0"/>
              <wp:wrapNone/>
              <wp:docPr id="216" name="文本框 216"/>
              <wp:cNvGraphicFramePr/>
              <a:graphic xmlns:a="http://schemas.openxmlformats.org/drawingml/2006/main">
                <a:graphicData uri="http://schemas.microsoft.com/office/word/2010/wordprocessingShape">
                  <wps:wsp>
                    <wps:cNvSpPr txBox="1"/>
                    <wps:spPr>
                      <a:xfrm>
                        <a:off x="0" y="0"/>
                        <a:ext cx="2577465" cy="180975"/>
                      </a:xfrm>
                      <a:prstGeom prst="rect">
                        <a:avLst/>
                      </a:prstGeom>
                      <a:noFill/>
                      <a:ln w="9525">
                        <a:noFill/>
                      </a:ln>
                      <a:effectLst/>
                    </wps:spPr>
                    <wps:txbx>
                      <w:txbxContent>
                        <w:p>
                          <w:pPr>
                            <w:spacing w:line="279" w:lineRule="exact"/>
                            <w:ind w:left="20"/>
                            <w:jc w:val="left"/>
                            <w:rPr>
                              <w:rFonts w:ascii="黑体" w:eastAsia="黑体"/>
                              <w:sz w:val="22"/>
                            </w:rPr>
                          </w:pPr>
                          <w:r>
                            <w:rPr>
                              <w:rFonts w:hint="eastAsia" w:ascii="黑体" w:eastAsia="黑体"/>
                              <w:sz w:val="22"/>
                            </w:rPr>
                            <w:t>公路工程标准施工</w:t>
                          </w:r>
                          <w:r>
                            <w:rPr>
                              <w:rFonts w:hint="eastAsia" w:ascii="黑体" w:eastAsia="黑体"/>
                              <w:sz w:val="22"/>
                              <w:lang w:eastAsia="zh-CN"/>
                            </w:rPr>
                            <w:t>交易文件</w:t>
                          </w:r>
                          <w:r>
                            <w:rPr>
                              <w:rFonts w:hint="eastAsia" w:ascii="黑体" w:eastAsia="黑体"/>
                              <w:sz w:val="22"/>
                            </w:rPr>
                            <w:t>（</w:t>
                          </w:r>
                          <w:r>
                            <w:rPr>
                              <w:rFonts w:eastAsia="Times New Roman"/>
                              <w:sz w:val="22"/>
                            </w:rPr>
                            <w:t xml:space="preserve">2018 </w:t>
                          </w:r>
                          <w:r>
                            <w:rPr>
                              <w:rFonts w:hint="eastAsia" w:ascii="黑体" w:eastAsia="黑体"/>
                              <w:sz w:val="22"/>
                            </w:rPr>
                            <w:t>年版）</w:t>
                          </w:r>
                        </w:p>
                      </w:txbxContent>
                    </wps:txbx>
                    <wps:bodyPr lIns="0" tIns="0" rIns="0" bIns="0" upright="1"/>
                  </wps:wsp>
                </a:graphicData>
              </a:graphic>
            </wp:anchor>
          </w:drawing>
        </mc:Choice>
        <mc:Fallback>
          <w:pict>
            <v:shape id="_x0000_s1026" o:spid="_x0000_s1026" o:spt="202" type="#_x0000_t202" style="position:absolute;left:0pt;margin-left:81.2pt;margin-top:42.8pt;height:14.25pt;width:202.95pt;mso-position-horizontal-relative:page;mso-position-vertical-relative:page;z-index:-251658240;mso-width-relative:page;mso-height-relative:page;" filled="f" stroked="f" coordsize="21600,21600" o:gfxdata="UEsDBAoAAAAAAIdO4kAAAAAAAAAAAAAAAAAEAAAAZHJzL1BLAwQUAAAACACHTuJALKiyItgAAAAK&#10;AQAADwAAAGRycy9kb3ducmV2LnhtbE2Py07DMBBF90j8gzVI7Kid0lohxKkQghUSIg0Llk7sJlbj&#10;cYjdB3/PsCrLq3t050y5OfuRHe0cXUAF2UIAs9gF47BX8Nm83uXAYtJo9BjQKvixETbV9VWpCxNO&#10;WNvjNvWMRjAWWsGQ0lRwHrvBeh0XYbJI3S7MXieKc8/NrE807ke+FEJyrx3ShUFP9nmw3X578Aqe&#10;vrB+cd/v7Ue9q13TPAh8k3ulbm8y8Qgs2XO6wPCnT+pQkVMbDmgiGynL5YpQBflaAiNgLfN7YC01&#10;2SoDXpX8/wvVL1BLAwQUAAAACACHTuJAhTnPh68BAAA/AwAADgAAAGRycy9lMm9Eb2MueG1srVJL&#10;btswEN0H6B0I7mvKQmXHguUARZAgQNEGSHIAmiItAvyBZCz5Au0Nssqm+5zL58iQtpyg3QXZDIcz&#10;w8d5b2Z5MWiFttwHaU2Dp5MCI26YbaXZNPjh/urrOUYhUtNSZQ1v8I4HfLH6crbsXc1L21nVco8A&#10;xIS6dw3uYnQ1IYF1XNMwsY4bSArrNY1w9RvSetoDulakLIoZ6a1vnbeMhwDRy0MSrzK+EJzFX0IE&#10;HpFqMPQWs/XZrpMlqyWtN566TrJjG/QDXWgqDXx6grqkkaJHL/+D0pJ5G6yIE2Y1sUJIxjMHYDMt&#10;/mFz11HHMxcQJ7iTTOHzYNnP7a1Hsm1wOZ1hZKiGIe2f/uyfX/Z/f6MUBIl6F2qovHNQG4fvdoBR&#10;j/EAwcR8EF6nEzghyIPYu5PAfIiIQbCs5vNvswojBrnpebGYVwmGvL12PsRrbjVKToM9DDDrSrc/&#10;QjyUjiXpM2OvpFJ5iMqgvsGLqqzyg1MGwJVJtTyvwxEmMTp0nrw4rIcjzbVtd8BS3RhQOW3M6PjR&#10;WY/Oo/Ny00GXWQuSgGBKmc5xo9IavL+D/37vV6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sqLIi&#10;2AAAAAoBAAAPAAAAAAAAAAEAIAAAACIAAABkcnMvZG93bnJldi54bWxQSwECFAAUAAAACACHTuJA&#10;hTnPh68BAAA/AwAADgAAAAAAAAABACAAAAAnAQAAZHJzL2Uyb0RvYy54bWxQSwUGAAAAAAYABgBZ&#10;AQAASAUAAAAA&#10;">
              <v:fill on="f" focussize="0,0"/>
              <v:stroke on="f"/>
              <v:imagedata o:title=""/>
              <o:lock v:ext="edit" aspectratio="f"/>
              <v:textbox inset="0mm,0mm,0mm,0mm">
                <w:txbxContent>
                  <w:p>
                    <w:pPr>
                      <w:spacing w:line="279" w:lineRule="exact"/>
                      <w:ind w:left="20"/>
                      <w:jc w:val="left"/>
                      <w:rPr>
                        <w:rFonts w:ascii="黑体" w:eastAsia="黑体"/>
                        <w:sz w:val="22"/>
                      </w:rPr>
                    </w:pPr>
                    <w:r>
                      <w:rPr>
                        <w:rFonts w:hint="eastAsia" w:ascii="黑体" w:eastAsia="黑体"/>
                        <w:sz w:val="22"/>
                      </w:rPr>
                      <w:t>公路工程标准施工</w:t>
                    </w:r>
                    <w:r>
                      <w:rPr>
                        <w:rFonts w:hint="eastAsia" w:ascii="黑体" w:eastAsia="黑体"/>
                        <w:sz w:val="22"/>
                        <w:lang w:eastAsia="zh-CN"/>
                      </w:rPr>
                      <w:t>交易文件</w:t>
                    </w:r>
                    <w:r>
                      <w:rPr>
                        <w:rFonts w:hint="eastAsia" w:ascii="黑体" w:eastAsia="黑体"/>
                        <w:sz w:val="22"/>
                      </w:rPr>
                      <w:t>（</w:t>
                    </w:r>
                    <w:r>
                      <w:rPr>
                        <w:rFonts w:eastAsia="Times New Roman"/>
                        <w:sz w:val="22"/>
                      </w:rPr>
                      <w:t xml:space="preserve">2018 </w:t>
                    </w:r>
                    <w:r>
                      <w:rPr>
                        <w:rFonts w:hint="eastAsia" w:ascii="黑体" w:eastAsia="黑体"/>
                        <w:sz w:val="22"/>
                      </w:rPr>
                      <w:t>年版）</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spacing w:line="600" w:lineRule="exact"/>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62769C"/>
    <w:multiLevelType w:val="multilevel"/>
    <w:tmpl w:val="A362769C"/>
    <w:lvl w:ilvl="0" w:tentative="0">
      <w:start w:val="2"/>
      <w:numFmt w:val="decimal"/>
      <w:lvlText w:val="%1."/>
      <w:lvlJc w:val="left"/>
      <w:pPr>
        <w:ind w:left="843"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1694" w:hanging="160"/>
      </w:pPr>
      <w:rPr>
        <w:rFonts w:hint="default"/>
        <w:lang w:val="zh-CN" w:eastAsia="zh-CN" w:bidi="zh-CN"/>
      </w:rPr>
    </w:lvl>
    <w:lvl w:ilvl="2" w:tentative="0">
      <w:start w:val="0"/>
      <w:numFmt w:val="bullet"/>
      <w:lvlText w:val="•"/>
      <w:lvlJc w:val="left"/>
      <w:pPr>
        <w:ind w:left="2549" w:hanging="160"/>
      </w:pPr>
      <w:rPr>
        <w:rFonts w:hint="default"/>
        <w:lang w:val="zh-CN" w:eastAsia="zh-CN" w:bidi="zh-CN"/>
      </w:rPr>
    </w:lvl>
    <w:lvl w:ilvl="3" w:tentative="0">
      <w:start w:val="0"/>
      <w:numFmt w:val="bullet"/>
      <w:lvlText w:val="•"/>
      <w:lvlJc w:val="left"/>
      <w:pPr>
        <w:ind w:left="3403" w:hanging="160"/>
      </w:pPr>
      <w:rPr>
        <w:rFonts w:hint="default"/>
        <w:lang w:val="zh-CN" w:eastAsia="zh-CN" w:bidi="zh-CN"/>
      </w:rPr>
    </w:lvl>
    <w:lvl w:ilvl="4" w:tentative="0">
      <w:start w:val="0"/>
      <w:numFmt w:val="bullet"/>
      <w:lvlText w:val="•"/>
      <w:lvlJc w:val="left"/>
      <w:pPr>
        <w:ind w:left="4258" w:hanging="160"/>
      </w:pPr>
      <w:rPr>
        <w:rFonts w:hint="default"/>
        <w:lang w:val="zh-CN" w:eastAsia="zh-CN" w:bidi="zh-CN"/>
      </w:rPr>
    </w:lvl>
    <w:lvl w:ilvl="5" w:tentative="0">
      <w:start w:val="0"/>
      <w:numFmt w:val="bullet"/>
      <w:lvlText w:val="•"/>
      <w:lvlJc w:val="left"/>
      <w:pPr>
        <w:ind w:left="5113" w:hanging="160"/>
      </w:pPr>
      <w:rPr>
        <w:rFonts w:hint="default"/>
        <w:lang w:val="zh-CN" w:eastAsia="zh-CN" w:bidi="zh-CN"/>
      </w:rPr>
    </w:lvl>
    <w:lvl w:ilvl="6" w:tentative="0">
      <w:start w:val="0"/>
      <w:numFmt w:val="bullet"/>
      <w:lvlText w:val="•"/>
      <w:lvlJc w:val="left"/>
      <w:pPr>
        <w:ind w:left="5967" w:hanging="160"/>
      </w:pPr>
      <w:rPr>
        <w:rFonts w:hint="default"/>
        <w:lang w:val="zh-CN" w:eastAsia="zh-CN" w:bidi="zh-CN"/>
      </w:rPr>
    </w:lvl>
    <w:lvl w:ilvl="7" w:tentative="0">
      <w:start w:val="0"/>
      <w:numFmt w:val="bullet"/>
      <w:lvlText w:val="•"/>
      <w:lvlJc w:val="left"/>
      <w:pPr>
        <w:ind w:left="6822" w:hanging="160"/>
      </w:pPr>
      <w:rPr>
        <w:rFonts w:hint="default"/>
        <w:lang w:val="zh-CN" w:eastAsia="zh-CN" w:bidi="zh-CN"/>
      </w:rPr>
    </w:lvl>
    <w:lvl w:ilvl="8" w:tentative="0">
      <w:start w:val="0"/>
      <w:numFmt w:val="bullet"/>
      <w:lvlText w:val="•"/>
      <w:lvlJc w:val="left"/>
      <w:pPr>
        <w:ind w:left="7677" w:hanging="160"/>
      </w:pPr>
      <w:rPr>
        <w:rFonts w:hint="default"/>
        <w:lang w:val="zh-CN" w:eastAsia="zh-CN" w:bidi="zh-CN"/>
      </w:rPr>
    </w:lvl>
  </w:abstractNum>
  <w:abstractNum w:abstractNumId="1">
    <w:nsid w:val="AD37AD84"/>
    <w:multiLevelType w:val="multilevel"/>
    <w:tmpl w:val="AD37AD84"/>
    <w:lvl w:ilvl="0" w:tentative="0">
      <w:start w:val="2"/>
      <w:numFmt w:val="decimal"/>
      <w:lvlText w:val="%1."/>
      <w:lvlJc w:val="left"/>
      <w:pPr>
        <w:ind w:left="843"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1420" w:hanging="160"/>
      </w:pPr>
      <w:rPr>
        <w:rFonts w:hint="default"/>
        <w:lang w:val="zh-CN" w:eastAsia="zh-CN" w:bidi="zh-CN"/>
      </w:rPr>
    </w:lvl>
    <w:lvl w:ilvl="2" w:tentative="0">
      <w:start w:val="0"/>
      <w:numFmt w:val="bullet"/>
      <w:lvlText w:val="•"/>
      <w:lvlJc w:val="left"/>
      <w:pPr>
        <w:ind w:left="2305" w:hanging="160"/>
      </w:pPr>
      <w:rPr>
        <w:rFonts w:hint="default"/>
        <w:lang w:val="zh-CN" w:eastAsia="zh-CN" w:bidi="zh-CN"/>
      </w:rPr>
    </w:lvl>
    <w:lvl w:ilvl="3" w:tentative="0">
      <w:start w:val="0"/>
      <w:numFmt w:val="bullet"/>
      <w:lvlText w:val="•"/>
      <w:lvlJc w:val="left"/>
      <w:pPr>
        <w:ind w:left="3190" w:hanging="160"/>
      </w:pPr>
      <w:rPr>
        <w:rFonts w:hint="default"/>
        <w:lang w:val="zh-CN" w:eastAsia="zh-CN" w:bidi="zh-CN"/>
      </w:rPr>
    </w:lvl>
    <w:lvl w:ilvl="4" w:tentative="0">
      <w:start w:val="0"/>
      <w:numFmt w:val="bullet"/>
      <w:lvlText w:val="•"/>
      <w:lvlJc w:val="left"/>
      <w:pPr>
        <w:ind w:left="4075" w:hanging="160"/>
      </w:pPr>
      <w:rPr>
        <w:rFonts w:hint="default"/>
        <w:lang w:val="zh-CN" w:eastAsia="zh-CN" w:bidi="zh-CN"/>
      </w:rPr>
    </w:lvl>
    <w:lvl w:ilvl="5" w:tentative="0">
      <w:start w:val="0"/>
      <w:numFmt w:val="bullet"/>
      <w:lvlText w:val="•"/>
      <w:lvlJc w:val="left"/>
      <w:pPr>
        <w:ind w:left="4960" w:hanging="160"/>
      </w:pPr>
      <w:rPr>
        <w:rFonts w:hint="default"/>
        <w:lang w:val="zh-CN" w:eastAsia="zh-CN" w:bidi="zh-CN"/>
      </w:rPr>
    </w:lvl>
    <w:lvl w:ilvl="6" w:tentative="0">
      <w:start w:val="0"/>
      <w:numFmt w:val="bullet"/>
      <w:lvlText w:val="•"/>
      <w:lvlJc w:val="left"/>
      <w:pPr>
        <w:ind w:left="5845" w:hanging="160"/>
      </w:pPr>
      <w:rPr>
        <w:rFonts w:hint="default"/>
        <w:lang w:val="zh-CN" w:eastAsia="zh-CN" w:bidi="zh-CN"/>
      </w:rPr>
    </w:lvl>
    <w:lvl w:ilvl="7" w:tentative="0">
      <w:start w:val="0"/>
      <w:numFmt w:val="bullet"/>
      <w:lvlText w:val="•"/>
      <w:lvlJc w:val="left"/>
      <w:pPr>
        <w:ind w:left="6730" w:hanging="160"/>
      </w:pPr>
      <w:rPr>
        <w:rFonts w:hint="default"/>
        <w:lang w:val="zh-CN" w:eastAsia="zh-CN" w:bidi="zh-CN"/>
      </w:rPr>
    </w:lvl>
    <w:lvl w:ilvl="8" w:tentative="0">
      <w:start w:val="0"/>
      <w:numFmt w:val="bullet"/>
      <w:lvlText w:val="•"/>
      <w:lvlJc w:val="left"/>
      <w:pPr>
        <w:ind w:left="7616" w:hanging="160"/>
      </w:pPr>
      <w:rPr>
        <w:rFonts w:hint="default"/>
        <w:lang w:val="zh-CN" w:eastAsia="zh-CN" w:bidi="zh-CN"/>
      </w:rPr>
    </w:lvl>
  </w:abstractNum>
  <w:abstractNum w:abstractNumId="2">
    <w:nsid w:val="C9C05784"/>
    <w:multiLevelType w:val="multilevel"/>
    <w:tmpl w:val="C9C05784"/>
    <w:lvl w:ilvl="0" w:tentative="0">
      <w:start w:val="1"/>
      <w:numFmt w:val="decimal"/>
      <w:lvlText w:val="（%1）"/>
      <w:lvlJc w:val="left"/>
      <w:pPr>
        <w:ind w:left="1305"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88" w:hanging="601"/>
      </w:pPr>
      <w:rPr>
        <w:rFonts w:hint="default"/>
        <w:lang w:val="zh-CN" w:eastAsia="zh-CN" w:bidi="zh-CN"/>
      </w:rPr>
    </w:lvl>
    <w:lvl w:ilvl="2" w:tentative="0">
      <w:start w:val="0"/>
      <w:numFmt w:val="bullet"/>
      <w:lvlText w:val="•"/>
      <w:lvlJc w:val="left"/>
      <w:pPr>
        <w:ind w:left="2877" w:hanging="601"/>
      </w:pPr>
      <w:rPr>
        <w:rFonts w:hint="default"/>
        <w:lang w:val="zh-CN" w:eastAsia="zh-CN" w:bidi="zh-CN"/>
      </w:rPr>
    </w:lvl>
    <w:lvl w:ilvl="3" w:tentative="0">
      <w:start w:val="0"/>
      <w:numFmt w:val="bullet"/>
      <w:lvlText w:val="•"/>
      <w:lvlJc w:val="left"/>
      <w:pPr>
        <w:ind w:left="3665" w:hanging="601"/>
      </w:pPr>
      <w:rPr>
        <w:rFonts w:hint="default"/>
        <w:lang w:val="zh-CN" w:eastAsia="zh-CN" w:bidi="zh-CN"/>
      </w:rPr>
    </w:lvl>
    <w:lvl w:ilvl="4" w:tentative="0">
      <w:start w:val="0"/>
      <w:numFmt w:val="bullet"/>
      <w:lvlText w:val="•"/>
      <w:lvlJc w:val="left"/>
      <w:pPr>
        <w:ind w:left="4454" w:hanging="601"/>
      </w:pPr>
      <w:rPr>
        <w:rFonts w:hint="default"/>
        <w:lang w:val="zh-CN" w:eastAsia="zh-CN" w:bidi="zh-CN"/>
      </w:rPr>
    </w:lvl>
    <w:lvl w:ilvl="5" w:tentative="0">
      <w:start w:val="0"/>
      <w:numFmt w:val="bullet"/>
      <w:lvlText w:val="•"/>
      <w:lvlJc w:val="left"/>
      <w:pPr>
        <w:ind w:left="5243" w:hanging="601"/>
      </w:pPr>
      <w:rPr>
        <w:rFonts w:hint="default"/>
        <w:lang w:val="zh-CN" w:eastAsia="zh-CN" w:bidi="zh-CN"/>
      </w:rPr>
    </w:lvl>
    <w:lvl w:ilvl="6" w:tentative="0">
      <w:start w:val="0"/>
      <w:numFmt w:val="bullet"/>
      <w:lvlText w:val="•"/>
      <w:lvlJc w:val="left"/>
      <w:pPr>
        <w:ind w:left="6031" w:hanging="601"/>
      </w:pPr>
      <w:rPr>
        <w:rFonts w:hint="default"/>
        <w:lang w:val="zh-CN" w:eastAsia="zh-CN" w:bidi="zh-CN"/>
      </w:rPr>
    </w:lvl>
    <w:lvl w:ilvl="7" w:tentative="0">
      <w:start w:val="0"/>
      <w:numFmt w:val="bullet"/>
      <w:lvlText w:val="•"/>
      <w:lvlJc w:val="left"/>
      <w:pPr>
        <w:ind w:left="6820" w:hanging="601"/>
      </w:pPr>
      <w:rPr>
        <w:rFonts w:hint="default"/>
        <w:lang w:val="zh-CN" w:eastAsia="zh-CN" w:bidi="zh-CN"/>
      </w:rPr>
    </w:lvl>
    <w:lvl w:ilvl="8" w:tentative="0">
      <w:start w:val="0"/>
      <w:numFmt w:val="bullet"/>
      <w:lvlText w:val="•"/>
      <w:lvlJc w:val="left"/>
      <w:pPr>
        <w:ind w:left="7609" w:hanging="601"/>
      </w:pPr>
      <w:rPr>
        <w:rFonts w:hint="default"/>
        <w:lang w:val="zh-CN" w:eastAsia="zh-CN" w:bidi="zh-CN"/>
      </w:rPr>
    </w:lvl>
  </w:abstractNum>
  <w:abstractNum w:abstractNumId="3">
    <w:nsid w:val="00000005"/>
    <w:multiLevelType w:val="multilevel"/>
    <w:tmpl w:val="00000005"/>
    <w:lvl w:ilvl="0" w:tentative="0">
      <w:start w:val="1"/>
      <w:numFmt w:val="decimal"/>
      <w:lvlText w:val="%1"/>
      <w:lvlJc w:val="left"/>
      <w:rPr>
        <w:rFonts w:cs="Times New Roman"/>
      </w:rPr>
    </w:lvl>
    <w:lvl w:ilvl="1" w:tentative="0">
      <w:start w:val="3"/>
      <w:numFmt w:val="decimal"/>
      <w:lvlText w:val="1.%2"/>
      <w:lvlJc w:val="left"/>
      <w:rPr>
        <w:rFonts w:cs="Times New Roman"/>
      </w:rPr>
    </w:lvl>
    <w:lvl w:ilvl="2" w:tentative="0">
      <w:start w:val="1"/>
      <w:numFmt w:val="decimal"/>
      <w:lvlText w:val="1.3.%3"/>
      <w:lvlJc w:val="left"/>
      <w:rPr>
        <w:rFonts w:cs="Times New Roman"/>
      </w:rPr>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2C9424EE"/>
    <w:multiLevelType w:val="multilevel"/>
    <w:tmpl w:val="2C9424EE"/>
    <w:lvl w:ilvl="0" w:tentative="0">
      <w:start w:val="1"/>
      <w:numFmt w:val="decimal"/>
      <w:lvlText w:val="（%1）"/>
      <w:lvlJc w:val="left"/>
      <w:pPr>
        <w:ind w:left="107" w:hanging="535"/>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791" w:hanging="535"/>
      </w:pPr>
      <w:rPr>
        <w:rFonts w:hint="default"/>
        <w:lang w:val="zh-CN" w:eastAsia="zh-CN" w:bidi="zh-CN"/>
      </w:rPr>
    </w:lvl>
    <w:lvl w:ilvl="2" w:tentative="0">
      <w:start w:val="0"/>
      <w:numFmt w:val="bullet"/>
      <w:lvlText w:val="•"/>
      <w:lvlJc w:val="left"/>
      <w:pPr>
        <w:ind w:left="1482" w:hanging="535"/>
      </w:pPr>
      <w:rPr>
        <w:rFonts w:hint="default"/>
        <w:lang w:val="zh-CN" w:eastAsia="zh-CN" w:bidi="zh-CN"/>
      </w:rPr>
    </w:lvl>
    <w:lvl w:ilvl="3" w:tentative="0">
      <w:start w:val="0"/>
      <w:numFmt w:val="bullet"/>
      <w:lvlText w:val="•"/>
      <w:lvlJc w:val="left"/>
      <w:pPr>
        <w:ind w:left="2173" w:hanging="535"/>
      </w:pPr>
      <w:rPr>
        <w:rFonts w:hint="default"/>
        <w:lang w:val="zh-CN" w:eastAsia="zh-CN" w:bidi="zh-CN"/>
      </w:rPr>
    </w:lvl>
    <w:lvl w:ilvl="4" w:tentative="0">
      <w:start w:val="0"/>
      <w:numFmt w:val="bullet"/>
      <w:lvlText w:val="•"/>
      <w:lvlJc w:val="left"/>
      <w:pPr>
        <w:ind w:left="2864" w:hanging="535"/>
      </w:pPr>
      <w:rPr>
        <w:rFonts w:hint="default"/>
        <w:lang w:val="zh-CN" w:eastAsia="zh-CN" w:bidi="zh-CN"/>
      </w:rPr>
    </w:lvl>
    <w:lvl w:ilvl="5" w:tentative="0">
      <w:start w:val="0"/>
      <w:numFmt w:val="bullet"/>
      <w:lvlText w:val="•"/>
      <w:lvlJc w:val="left"/>
      <w:pPr>
        <w:ind w:left="3555" w:hanging="535"/>
      </w:pPr>
      <w:rPr>
        <w:rFonts w:hint="default"/>
        <w:lang w:val="zh-CN" w:eastAsia="zh-CN" w:bidi="zh-CN"/>
      </w:rPr>
    </w:lvl>
    <w:lvl w:ilvl="6" w:tentative="0">
      <w:start w:val="0"/>
      <w:numFmt w:val="bullet"/>
      <w:lvlText w:val="•"/>
      <w:lvlJc w:val="left"/>
      <w:pPr>
        <w:ind w:left="4246" w:hanging="535"/>
      </w:pPr>
      <w:rPr>
        <w:rFonts w:hint="default"/>
        <w:lang w:val="zh-CN" w:eastAsia="zh-CN" w:bidi="zh-CN"/>
      </w:rPr>
    </w:lvl>
    <w:lvl w:ilvl="7" w:tentative="0">
      <w:start w:val="0"/>
      <w:numFmt w:val="bullet"/>
      <w:lvlText w:val="•"/>
      <w:lvlJc w:val="left"/>
      <w:pPr>
        <w:ind w:left="4937" w:hanging="535"/>
      </w:pPr>
      <w:rPr>
        <w:rFonts w:hint="default"/>
        <w:lang w:val="zh-CN" w:eastAsia="zh-CN" w:bidi="zh-CN"/>
      </w:rPr>
    </w:lvl>
    <w:lvl w:ilvl="8" w:tentative="0">
      <w:start w:val="0"/>
      <w:numFmt w:val="bullet"/>
      <w:lvlText w:val="•"/>
      <w:lvlJc w:val="left"/>
      <w:pPr>
        <w:ind w:left="5628" w:hanging="535"/>
      </w:pPr>
      <w:rPr>
        <w:rFonts w:hint="default"/>
        <w:lang w:val="zh-CN" w:eastAsia="zh-CN" w:bidi="zh-CN"/>
      </w:rPr>
    </w:lvl>
  </w:abstractNum>
  <w:abstractNum w:abstractNumId="5">
    <w:nsid w:val="39E83B05"/>
    <w:multiLevelType w:val="multilevel"/>
    <w:tmpl w:val="39E83B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3D68054"/>
    <w:multiLevelType w:val="multilevel"/>
    <w:tmpl w:val="43D68054"/>
    <w:lvl w:ilvl="0" w:tentative="0">
      <w:start w:val="1"/>
      <w:numFmt w:val="decimal"/>
      <w:lvlText w:val="%1."/>
      <w:lvlJc w:val="left"/>
      <w:pPr>
        <w:ind w:left="224" w:hanging="361"/>
        <w:jc w:val="left"/>
      </w:pPr>
      <w:rPr>
        <w:rFonts w:hint="default" w:ascii="Times New Roman" w:hAnsi="Times New Roman" w:eastAsia="Times New Roman" w:cs="Times New Roman"/>
        <w:spacing w:val="-121"/>
        <w:w w:val="100"/>
        <w:sz w:val="22"/>
        <w:szCs w:val="22"/>
        <w:lang w:val="zh-CN" w:eastAsia="zh-CN" w:bidi="zh-CN"/>
      </w:rPr>
    </w:lvl>
    <w:lvl w:ilvl="1" w:tentative="0">
      <w:start w:val="0"/>
      <w:numFmt w:val="bullet"/>
      <w:lvlText w:val="•"/>
      <w:lvlJc w:val="left"/>
      <w:pPr>
        <w:ind w:left="1116" w:hanging="361"/>
      </w:pPr>
      <w:rPr>
        <w:rFonts w:hint="default"/>
        <w:lang w:val="zh-CN" w:eastAsia="zh-CN" w:bidi="zh-CN"/>
      </w:rPr>
    </w:lvl>
    <w:lvl w:ilvl="2" w:tentative="0">
      <w:start w:val="0"/>
      <w:numFmt w:val="bullet"/>
      <w:lvlText w:val="•"/>
      <w:lvlJc w:val="left"/>
      <w:pPr>
        <w:ind w:left="2013" w:hanging="361"/>
      </w:pPr>
      <w:rPr>
        <w:rFonts w:hint="default"/>
        <w:lang w:val="zh-CN" w:eastAsia="zh-CN" w:bidi="zh-CN"/>
      </w:rPr>
    </w:lvl>
    <w:lvl w:ilvl="3" w:tentative="0">
      <w:start w:val="0"/>
      <w:numFmt w:val="bullet"/>
      <w:lvlText w:val="•"/>
      <w:lvlJc w:val="left"/>
      <w:pPr>
        <w:ind w:left="2909" w:hanging="361"/>
      </w:pPr>
      <w:rPr>
        <w:rFonts w:hint="default"/>
        <w:lang w:val="zh-CN" w:eastAsia="zh-CN" w:bidi="zh-CN"/>
      </w:rPr>
    </w:lvl>
    <w:lvl w:ilvl="4" w:tentative="0">
      <w:start w:val="0"/>
      <w:numFmt w:val="bullet"/>
      <w:lvlText w:val="•"/>
      <w:lvlJc w:val="left"/>
      <w:pPr>
        <w:ind w:left="3806" w:hanging="361"/>
      </w:pPr>
      <w:rPr>
        <w:rFonts w:hint="default"/>
        <w:lang w:val="zh-CN" w:eastAsia="zh-CN" w:bidi="zh-CN"/>
      </w:rPr>
    </w:lvl>
    <w:lvl w:ilvl="5" w:tentative="0">
      <w:start w:val="0"/>
      <w:numFmt w:val="bullet"/>
      <w:lvlText w:val="•"/>
      <w:lvlJc w:val="left"/>
      <w:pPr>
        <w:ind w:left="4703" w:hanging="361"/>
      </w:pPr>
      <w:rPr>
        <w:rFonts w:hint="default"/>
        <w:lang w:val="zh-CN" w:eastAsia="zh-CN" w:bidi="zh-CN"/>
      </w:rPr>
    </w:lvl>
    <w:lvl w:ilvl="6" w:tentative="0">
      <w:start w:val="0"/>
      <w:numFmt w:val="bullet"/>
      <w:lvlText w:val="•"/>
      <w:lvlJc w:val="left"/>
      <w:pPr>
        <w:ind w:left="5599" w:hanging="361"/>
      </w:pPr>
      <w:rPr>
        <w:rFonts w:hint="default"/>
        <w:lang w:val="zh-CN" w:eastAsia="zh-CN" w:bidi="zh-CN"/>
      </w:rPr>
    </w:lvl>
    <w:lvl w:ilvl="7" w:tentative="0">
      <w:start w:val="0"/>
      <w:numFmt w:val="bullet"/>
      <w:lvlText w:val="•"/>
      <w:lvlJc w:val="left"/>
      <w:pPr>
        <w:ind w:left="6496" w:hanging="361"/>
      </w:pPr>
      <w:rPr>
        <w:rFonts w:hint="default"/>
        <w:lang w:val="zh-CN" w:eastAsia="zh-CN" w:bidi="zh-CN"/>
      </w:rPr>
    </w:lvl>
    <w:lvl w:ilvl="8" w:tentative="0">
      <w:start w:val="0"/>
      <w:numFmt w:val="bullet"/>
      <w:lvlText w:val="•"/>
      <w:lvlJc w:val="left"/>
      <w:pPr>
        <w:ind w:left="7393" w:hanging="361"/>
      </w:pPr>
      <w:rPr>
        <w:rFonts w:hint="default"/>
        <w:lang w:val="zh-CN" w:eastAsia="zh-CN" w:bidi="zh-CN"/>
      </w:rPr>
    </w:lvl>
  </w:abstractNum>
  <w:abstractNum w:abstractNumId="7">
    <w:nsid w:val="57284270"/>
    <w:multiLevelType w:val="singleLevel"/>
    <w:tmpl w:val="57284270"/>
    <w:lvl w:ilvl="0" w:tentative="0">
      <w:start w:val="4"/>
      <w:numFmt w:val="chineseCounting"/>
      <w:suff w:val="nothing"/>
      <w:lvlText w:val="%1、"/>
      <w:lvlJc w:val="left"/>
    </w:lvl>
  </w:abstractNum>
  <w:abstractNum w:abstractNumId="8">
    <w:nsid w:val="5F098F1B"/>
    <w:multiLevelType w:val="multilevel"/>
    <w:tmpl w:val="5F098F1B"/>
    <w:lvl w:ilvl="0" w:tentative="0">
      <w:start w:val="2"/>
      <w:numFmt w:val="decimal"/>
      <w:lvlText w:val="%1."/>
      <w:lvlJc w:val="left"/>
      <w:pPr>
        <w:ind w:left="843"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1694" w:hanging="160"/>
      </w:pPr>
      <w:rPr>
        <w:rFonts w:hint="default"/>
        <w:lang w:val="zh-CN" w:eastAsia="zh-CN" w:bidi="zh-CN"/>
      </w:rPr>
    </w:lvl>
    <w:lvl w:ilvl="2" w:tentative="0">
      <w:start w:val="0"/>
      <w:numFmt w:val="bullet"/>
      <w:lvlText w:val="•"/>
      <w:lvlJc w:val="left"/>
      <w:pPr>
        <w:ind w:left="2549" w:hanging="160"/>
      </w:pPr>
      <w:rPr>
        <w:rFonts w:hint="default"/>
        <w:lang w:val="zh-CN" w:eastAsia="zh-CN" w:bidi="zh-CN"/>
      </w:rPr>
    </w:lvl>
    <w:lvl w:ilvl="3" w:tentative="0">
      <w:start w:val="0"/>
      <w:numFmt w:val="bullet"/>
      <w:lvlText w:val="•"/>
      <w:lvlJc w:val="left"/>
      <w:pPr>
        <w:ind w:left="3403" w:hanging="160"/>
      </w:pPr>
      <w:rPr>
        <w:rFonts w:hint="default"/>
        <w:lang w:val="zh-CN" w:eastAsia="zh-CN" w:bidi="zh-CN"/>
      </w:rPr>
    </w:lvl>
    <w:lvl w:ilvl="4" w:tentative="0">
      <w:start w:val="0"/>
      <w:numFmt w:val="bullet"/>
      <w:lvlText w:val="•"/>
      <w:lvlJc w:val="left"/>
      <w:pPr>
        <w:ind w:left="4258" w:hanging="160"/>
      </w:pPr>
      <w:rPr>
        <w:rFonts w:hint="default"/>
        <w:lang w:val="zh-CN" w:eastAsia="zh-CN" w:bidi="zh-CN"/>
      </w:rPr>
    </w:lvl>
    <w:lvl w:ilvl="5" w:tentative="0">
      <w:start w:val="0"/>
      <w:numFmt w:val="bullet"/>
      <w:lvlText w:val="•"/>
      <w:lvlJc w:val="left"/>
      <w:pPr>
        <w:ind w:left="5113" w:hanging="160"/>
      </w:pPr>
      <w:rPr>
        <w:rFonts w:hint="default"/>
        <w:lang w:val="zh-CN" w:eastAsia="zh-CN" w:bidi="zh-CN"/>
      </w:rPr>
    </w:lvl>
    <w:lvl w:ilvl="6" w:tentative="0">
      <w:start w:val="0"/>
      <w:numFmt w:val="bullet"/>
      <w:lvlText w:val="•"/>
      <w:lvlJc w:val="left"/>
      <w:pPr>
        <w:ind w:left="5967" w:hanging="160"/>
      </w:pPr>
      <w:rPr>
        <w:rFonts w:hint="default"/>
        <w:lang w:val="zh-CN" w:eastAsia="zh-CN" w:bidi="zh-CN"/>
      </w:rPr>
    </w:lvl>
    <w:lvl w:ilvl="7" w:tentative="0">
      <w:start w:val="0"/>
      <w:numFmt w:val="bullet"/>
      <w:lvlText w:val="•"/>
      <w:lvlJc w:val="left"/>
      <w:pPr>
        <w:ind w:left="6822" w:hanging="160"/>
      </w:pPr>
      <w:rPr>
        <w:rFonts w:hint="default"/>
        <w:lang w:val="zh-CN" w:eastAsia="zh-CN" w:bidi="zh-CN"/>
      </w:rPr>
    </w:lvl>
    <w:lvl w:ilvl="8" w:tentative="0">
      <w:start w:val="0"/>
      <w:numFmt w:val="bullet"/>
      <w:lvlText w:val="•"/>
      <w:lvlJc w:val="left"/>
      <w:pPr>
        <w:ind w:left="7677" w:hanging="160"/>
      </w:pPr>
      <w:rPr>
        <w:rFonts w:hint="default"/>
        <w:lang w:val="zh-CN" w:eastAsia="zh-CN" w:bidi="zh-CN"/>
      </w:rPr>
    </w:lvl>
  </w:abstractNum>
  <w:num w:numId="1">
    <w:abstractNumId w:val="3"/>
  </w:num>
  <w:num w:numId="2">
    <w:abstractNumId w:val="6"/>
  </w:num>
  <w:num w:numId="3">
    <w:abstractNumId w:val="2"/>
  </w:num>
  <w:num w:numId="4">
    <w:abstractNumId w:val="7"/>
  </w:num>
  <w:num w:numId="5">
    <w:abstractNumId w:val="4"/>
  </w:num>
  <w:num w:numId="6">
    <w:abstractNumId w:val="1"/>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7E518A"/>
    <w:rsid w:val="0364498D"/>
    <w:rsid w:val="03D1307B"/>
    <w:rsid w:val="03D76063"/>
    <w:rsid w:val="0404110F"/>
    <w:rsid w:val="045271BA"/>
    <w:rsid w:val="0483631C"/>
    <w:rsid w:val="06645C9E"/>
    <w:rsid w:val="078F08AF"/>
    <w:rsid w:val="08B63FC1"/>
    <w:rsid w:val="0B7E0CA3"/>
    <w:rsid w:val="0D1F0F63"/>
    <w:rsid w:val="0DD10C67"/>
    <w:rsid w:val="0F154012"/>
    <w:rsid w:val="0F154698"/>
    <w:rsid w:val="118925C3"/>
    <w:rsid w:val="196B14C3"/>
    <w:rsid w:val="1AED012F"/>
    <w:rsid w:val="1BA63049"/>
    <w:rsid w:val="1E086C6B"/>
    <w:rsid w:val="1E9D3B1B"/>
    <w:rsid w:val="1EEC7003"/>
    <w:rsid w:val="21351D62"/>
    <w:rsid w:val="28785128"/>
    <w:rsid w:val="29B4012E"/>
    <w:rsid w:val="2C741A4B"/>
    <w:rsid w:val="2E3513B4"/>
    <w:rsid w:val="2EC86FDF"/>
    <w:rsid w:val="2ED709C3"/>
    <w:rsid w:val="31141B22"/>
    <w:rsid w:val="317E1749"/>
    <w:rsid w:val="31FC5EB6"/>
    <w:rsid w:val="343A3323"/>
    <w:rsid w:val="3464730C"/>
    <w:rsid w:val="359505D8"/>
    <w:rsid w:val="369E0BF1"/>
    <w:rsid w:val="37F33DCD"/>
    <w:rsid w:val="380E4B6F"/>
    <w:rsid w:val="38AB5084"/>
    <w:rsid w:val="3A3F0FA5"/>
    <w:rsid w:val="3B7C3B39"/>
    <w:rsid w:val="3C1440FA"/>
    <w:rsid w:val="3C2F591B"/>
    <w:rsid w:val="3CDA645E"/>
    <w:rsid w:val="3E572EE4"/>
    <w:rsid w:val="429556D2"/>
    <w:rsid w:val="42D75827"/>
    <w:rsid w:val="450F14F7"/>
    <w:rsid w:val="457C6096"/>
    <w:rsid w:val="465A7FE1"/>
    <w:rsid w:val="473F7665"/>
    <w:rsid w:val="47447C34"/>
    <w:rsid w:val="486D2F91"/>
    <w:rsid w:val="48E7719E"/>
    <w:rsid w:val="49911F0B"/>
    <w:rsid w:val="4A1235D0"/>
    <w:rsid w:val="4A4D1ACE"/>
    <w:rsid w:val="4B8E18BC"/>
    <w:rsid w:val="4BA06C75"/>
    <w:rsid w:val="4D5A39C6"/>
    <w:rsid w:val="4E4E3468"/>
    <w:rsid w:val="4F1978EE"/>
    <w:rsid w:val="4FA81186"/>
    <w:rsid w:val="51F012BB"/>
    <w:rsid w:val="531206E4"/>
    <w:rsid w:val="55076587"/>
    <w:rsid w:val="56733E11"/>
    <w:rsid w:val="57612909"/>
    <w:rsid w:val="57E61320"/>
    <w:rsid w:val="593F3AA0"/>
    <w:rsid w:val="59DF65ED"/>
    <w:rsid w:val="5A1821EE"/>
    <w:rsid w:val="5A7E518A"/>
    <w:rsid w:val="5AD714BE"/>
    <w:rsid w:val="5B654627"/>
    <w:rsid w:val="5EC97713"/>
    <w:rsid w:val="5F343AA7"/>
    <w:rsid w:val="63603ABA"/>
    <w:rsid w:val="63B94A59"/>
    <w:rsid w:val="644975DE"/>
    <w:rsid w:val="64710F32"/>
    <w:rsid w:val="65356ECA"/>
    <w:rsid w:val="661517B6"/>
    <w:rsid w:val="67514AED"/>
    <w:rsid w:val="6C8A4FE2"/>
    <w:rsid w:val="6D464398"/>
    <w:rsid w:val="6DFE031F"/>
    <w:rsid w:val="6E7B018B"/>
    <w:rsid w:val="6EE875FD"/>
    <w:rsid w:val="708D7D16"/>
    <w:rsid w:val="72131490"/>
    <w:rsid w:val="73577A4D"/>
    <w:rsid w:val="74991C3F"/>
    <w:rsid w:val="76F93200"/>
    <w:rsid w:val="77674B4B"/>
    <w:rsid w:val="795828B9"/>
    <w:rsid w:val="796D721D"/>
    <w:rsid w:val="79914535"/>
    <w:rsid w:val="79C42AA7"/>
    <w:rsid w:val="79C9314B"/>
    <w:rsid w:val="7B0C2967"/>
    <w:rsid w:val="7C384E49"/>
    <w:rsid w:val="7CA47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1"/>
    <w:basedOn w:val="1"/>
    <w:next w:val="1"/>
    <w:link w:val="35"/>
    <w:qFormat/>
    <w:uiPriority w:val="0"/>
    <w:pPr>
      <w:adjustRightInd w:val="0"/>
      <w:spacing w:line="720" w:lineRule="atLeast"/>
      <w:jc w:val="center"/>
      <w:textAlignment w:val="baseline"/>
      <w:outlineLvl w:val="0"/>
    </w:pPr>
    <w:rPr>
      <w:b/>
      <w:sz w:val="28"/>
    </w:rPr>
  </w:style>
  <w:style w:type="paragraph" w:styleId="5">
    <w:name w:val="heading 2"/>
    <w:basedOn w:val="1"/>
    <w:next w:val="6"/>
    <w:qFormat/>
    <w:uiPriority w:val="0"/>
    <w:pPr>
      <w:adjustRightInd w:val="0"/>
      <w:spacing w:line="420" w:lineRule="atLeast"/>
      <w:jc w:val="center"/>
      <w:textAlignment w:val="baseline"/>
      <w:outlineLvl w:val="1"/>
    </w:pPr>
    <w:rPr>
      <w:rFonts w:ascii="黑体" w:eastAsia="黑体"/>
      <w:b/>
      <w:sz w:val="24"/>
    </w:rPr>
  </w:style>
  <w:style w:type="paragraph" w:styleId="7">
    <w:name w:val="heading 7"/>
    <w:basedOn w:val="1"/>
    <w:next w:val="1"/>
    <w:qFormat/>
    <w:uiPriority w:val="0"/>
    <w:pPr>
      <w:keepNext/>
      <w:keepLines/>
      <w:widowControl/>
      <w:tabs>
        <w:tab w:val="left" w:pos="2520"/>
      </w:tabs>
      <w:spacing w:line="316" w:lineRule="auto"/>
      <w:ind w:left="1296" w:hanging="1296"/>
      <w:jc w:val="left"/>
      <w:outlineLvl w:val="6"/>
    </w:pPr>
    <w:rPr>
      <w:rFonts w:ascii="宋体"/>
      <w:b/>
      <w:bCs/>
      <w:color w:val="000000"/>
      <w:sz w:val="24"/>
      <w:szCs w:val="24"/>
    </w:rPr>
  </w:style>
  <w:style w:type="paragraph" w:styleId="8">
    <w:name w:val="heading 9"/>
    <w:basedOn w:val="1"/>
    <w:next w:val="1"/>
    <w:qFormat/>
    <w:uiPriority w:val="0"/>
    <w:pPr>
      <w:keepNext/>
      <w:keepLines/>
      <w:widowControl/>
      <w:tabs>
        <w:tab w:val="left" w:pos="1584"/>
      </w:tabs>
      <w:spacing w:line="316" w:lineRule="auto"/>
      <w:ind w:left="1584" w:hanging="1584"/>
      <w:jc w:val="left"/>
      <w:outlineLvl w:val="8"/>
    </w:pPr>
    <w:rPr>
      <w:rFonts w:ascii="Arial" w:hAnsi="Arial" w:eastAsia="黑体"/>
      <w:color w:val="000000"/>
      <w:szCs w:val="21"/>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200" w:hanging="200" w:hangingChars="200"/>
    </w:pPr>
    <w:rPr>
      <w:sz w:val="20"/>
      <w:szCs w:val="24"/>
    </w:rPr>
  </w:style>
  <w:style w:type="paragraph" w:styleId="3">
    <w:name w:val="Body Text Indent"/>
    <w:basedOn w:val="1"/>
    <w:qFormat/>
    <w:uiPriority w:val="0"/>
    <w:pPr>
      <w:widowControl/>
      <w:ind w:firstLine="573"/>
    </w:pPr>
    <w:rPr>
      <w:rFonts w:ascii="楷体_GB2312" w:eastAsia="楷体_GB2312"/>
      <w:kern w:val="0"/>
      <w:sz w:val="24"/>
      <w:szCs w:val="20"/>
    </w:rPr>
  </w:style>
  <w:style w:type="paragraph" w:styleId="6">
    <w:name w:val="Normal Indent"/>
    <w:basedOn w:val="1"/>
    <w:qFormat/>
    <w:uiPriority w:val="0"/>
    <w:pPr>
      <w:ind w:firstLine="420"/>
    </w:pPr>
  </w:style>
  <w:style w:type="paragraph" w:styleId="9">
    <w:name w:val="annotation text"/>
    <w:basedOn w:val="1"/>
    <w:qFormat/>
    <w:uiPriority w:val="0"/>
    <w:rPr>
      <w:rFonts w:asciiTheme="minorHAnsi" w:hAnsiTheme="minorHAnsi" w:cstheme="minorBidi"/>
    </w:rPr>
  </w:style>
  <w:style w:type="paragraph" w:styleId="10">
    <w:name w:val="Body Text"/>
    <w:basedOn w:val="1"/>
    <w:qFormat/>
    <w:uiPriority w:val="0"/>
  </w:style>
  <w:style w:type="paragraph" w:styleId="11">
    <w:name w:val="Plain Text"/>
    <w:basedOn w:val="1"/>
    <w:qFormat/>
    <w:uiPriority w:val="0"/>
    <w:rPr>
      <w:rFonts w:asci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footnote text"/>
    <w:basedOn w:val="1"/>
    <w:qFormat/>
    <w:uiPriority w:val="0"/>
    <w:pPr>
      <w:snapToGrid w:val="0"/>
      <w:jc w:val="left"/>
    </w:pPr>
    <w:rPr>
      <w:sz w:val="18"/>
      <w:szCs w:val="18"/>
    </w:rPr>
  </w:style>
  <w:style w:type="paragraph" w:styleId="15">
    <w:name w:val="Normal (Web)"/>
    <w:basedOn w:val="1"/>
    <w:qFormat/>
    <w:uiPriority w:val="0"/>
    <w:pPr>
      <w:spacing w:beforeAutospacing="1" w:afterAutospacing="1"/>
      <w:jc w:val="left"/>
    </w:pPr>
    <w:rPr>
      <w:kern w:val="0"/>
      <w:sz w:val="24"/>
    </w:rPr>
  </w:style>
  <w:style w:type="character" w:styleId="18">
    <w:name w:val="Strong"/>
    <w:basedOn w:val="17"/>
    <w:qFormat/>
    <w:uiPriority w:val="0"/>
    <w:rPr>
      <w:b/>
    </w:rPr>
  </w:style>
  <w:style w:type="character" w:styleId="19">
    <w:name w:val="FollowedHyperlink"/>
    <w:basedOn w:val="17"/>
    <w:qFormat/>
    <w:uiPriority w:val="0"/>
    <w:rPr>
      <w:color w:val="800080"/>
      <w:u w:val="none"/>
    </w:rPr>
  </w:style>
  <w:style w:type="character" w:styleId="20">
    <w:name w:val="Emphasis"/>
    <w:basedOn w:val="17"/>
    <w:qFormat/>
    <w:uiPriority w:val="0"/>
  </w:style>
  <w:style w:type="character" w:styleId="21">
    <w:name w:val="HTML Definition"/>
    <w:basedOn w:val="17"/>
    <w:qFormat/>
    <w:uiPriority w:val="0"/>
  </w:style>
  <w:style w:type="character" w:styleId="22">
    <w:name w:val="HTML Typewriter"/>
    <w:basedOn w:val="17"/>
    <w:qFormat/>
    <w:uiPriority w:val="0"/>
    <w:rPr>
      <w:rFonts w:hint="default" w:ascii="monospace" w:hAnsi="monospace" w:eastAsia="monospace" w:cs="monospace"/>
      <w:sz w:val="20"/>
    </w:rPr>
  </w:style>
  <w:style w:type="character" w:styleId="23">
    <w:name w:val="HTML Acronym"/>
    <w:basedOn w:val="17"/>
    <w:qFormat/>
    <w:uiPriority w:val="0"/>
  </w:style>
  <w:style w:type="character" w:styleId="24">
    <w:name w:val="HTML Variable"/>
    <w:basedOn w:val="17"/>
    <w:qFormat/>
    <w:uiPriority w:val="0"/>
  </w:style>
  <w:style w:type="character" w:styleId="25">
    <w:name w:val="Hyperlink"/>
    <w:basedOn w:val="17"/>
    <w:qFormat/>
    <w:uiPriority w:val="0"/>
    <w:rPr>
      <w:color w:val="000000"/>
      <w:u w:val="none"/>
    </w:rPr>
  </w:style>
  <w:style w:type="character" w:styleId="26">
    <w:name w:val="HTML Code"/>
    <w:basedOn w:val="17"/>
    <w:qFormat/>
    <w:uiPriority w:val="0"/>
    <w:rPr>
      <w:rFonts w:ascii="monospace" w:hAnsi="monospace" w:eastAsia="monospace" w:cs="monospace"/>
      <w:sz w:val="20"/>
    </w:rPr>
  </w:style>
  <w:style w:type="character" w:styleId="27">
    <w:name w:val="HTML Cite"/>
    <w:basedOn w:val="17"/>
    <w:qFormat/>
    <w:uiPriority w:val="0"/>
  </w:style>
  <w:style w:type="character" w:styleId="28">
    <w:name w:val="HTML Keyboard"/>
    <w:basedOn w:val="17"/>
    <w:qFormat/>
    <w:uiPriority w:val="0"/>
    <w:rPr>
      <w:rFonts w:hint="default" w:ascii="monospace" w:hAnsi="monospace" w:eastAsia="monospace" w:cs="monospace"/>
      <w:sz w:val="20"/>
    </w:rPr>
  </w:style>
  <w:style w:type="character" w:styleId="29">
    <w:name w:val="HTML Sample"/>
    <w:basedOn w:val="17"/>
    <w:qFormat/>
    <w:uiPriority w:val="0"/>
    <w:rPr>
      <w:rFonts w:hint="default" w:ascii="monospace" w:hAnsi="monospace" w:eastAsia="monospace" w:cs="monospace"/>
    </w:rPr>
  </w:style>
  <w:style w:type="paragraph" w:customStyle="1" w:styleId="30">
    <w:name w:val="列出段落1"/>
    <w:basedOn w:val="1"/>
    <w:qFormat/>
    <w:uiPriority w:val="99"/>
    <w:pPr>
      <w:ind w:firstLine="420" w:firstLineChars="200"/>
    </w:pPr>
  </w:style>
  <w:style w:type="paragraph" w:customStyle="1" w:styleId="31">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32">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Calibri" w:eastAsia="宋体" w:cs="Times New Roman"/>
      <w:kern w:val="0"/>
      <w:sz w:val="21"/>
      <w:szCs w:val="20"/>
      <w:lang w:val="en-US" w:eastAsia="zh-CN" w:bidi="ar-SA"/>
    </w:rPr>
  </w:style>
  <w:style w:type="paragraph" w:customStyle="1" w:styleId="33">
    <w:name w:val="Table Paragraph"/>
    <w:basedOn w:val="1"/>
    <w:qFormat/>
    <w:uiPriority w:val="1"/>
    <w:rPr>
      <w:rFonts w:ascii="宋体" w:hAnsi="宋体" w:cs="宋体"/>
      <w:lang w:val="zh-CN" w:bidi="zh-CN"/>
    </w:rPr>
  </w:style>
  <w:style w:type="paragraph" w:styleId="34">
    <w:name w:val="List Paragraph"/>
    <w:basedOn w:val="1"/>
    <w:qFormat/>
    <w:uiPriority w:val="1"/>
    <w:pPr>
      <w:ind w:left="424" w:firstLine="480"/>
    </w:pPr>
    <w:rPr>
      <w:rFonts w:ascii="宋体" w:hAnsi="宋体" w:cs="宋体"/>
      <w:lang w:val="zh-CN" w:bidi="zh-CN"/>
    </w:rPr>
  </w:style>
  <w:style w:type="character" w:customStyle="1" w:styleId="35">
    <w:name w:val="标题 1 Char"/>
    <w:basedOn w:val="17"/>
    <w:link w:val="4"/>
    <w:qFormat/>
    <w:uiPriority w:val="0"/>
    <w:rPr>
      <w:b/>
      <w:sz w:val="28"/>
    </w:rPr>
  </w:style>
  <w:style w:type="paragraph" w:customStyle="1" w:styleId="36">
    <w:name w:val="Char"/>
    <w:basedOn w:val="1"/>
    <w:qFormat/>
    <w:uiPriority w:val="0"/>
    <w:pPr>
      <w:autoSpaceDE w:val="0"/>
      <w:autoSpaceDN w:val="0"/>
      <w:adjustRightInd w:val="0"/>
      <w:spacing w:line="240" w:lineRule="atLeast"/>
      <w:ind w:left="420" w:firstLine="420"/>
      <w:jc w:val="left"/>
    </w:pPr>
    <w:rPr>
      <w:rFonts w:ascii="仿宋_GB2312" w:eastAsia="仿宋_GB2312"/>
      <w:sz w:val="32"/>
      <w:szCs w:val="24"/>
    </w:rPr>
  </w:style>
  <w:style w:type="character" w:customStyle="1" w:styleId="37">
    <w:name w:val="cur1"/>
    <w:basedOn w:val="17"/>
    <w:qFormat/>
    <w:uiPriority w:val="0"/>
    <w:rPr>
      <w:color w:val="FF9C00"/>
    </w:rPr>
  </w:style>
  <w:style w:type="character" w:customStyle="1" w:styleId="38">
    <w:name w:val="cur"/>
    <w:basedOn w:val="17"/>
    <w:qFormat/>
    <w:uiPriority w:val="0"/>
    <w:rPr>
      <w:color w:val="FF9C00"/>
    </w:rPr>
  </w:style>
  <w:style w:type="character" w:customStyle="1" w:styleId="39">
    <w:name w:val="fontstrikethrough"/>
    <w:basedOn w:val="17"/>
    <w:qFormat/>
    <w:uiPriority w:val="0"/>
    <w:rPr>
      <w:strike/>
    </w:rPr>
  </w:style>
  <w:style w:type="character" w:customStyle="1" w:styleId="40">
    <w:name w:val="fontborder"/>
    <w:basedOn w:val="17"/>
    <w:qFormat/>
    <w:uiPriority w:val="0"/>
    <w:rPr>
      <w:bdr w:val="single" w:color="000000" w:sz="6" w:space="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2018-11-19T07:29:00Z</dcterms:created>
  <dc:creator>Administrator</dc:creator>
  <cp:lastModifiedBy>Administrator</cp:lastModifiedBy>
  <cp:lastPrinted>2019-11-28T04:08:00Z</cp:lastPrinted>
  <dcterms:modified xsi:type="dcterms:W3CDTF">2019-11-29T06:59:32Z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