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_GBK" w:hAnsi="方正小标宋_GBK" w:eastAsia="方正小标宋_GBK" w:cs="方正小标宋_GBK"/>
          <w:b/>
          <w:bCs/>
          <w:color w:val="auto"/>
          <w:sz w:val="40"/>
          <w:szCs w:val="40"/>
          <w:shd w:val="clear" w:color="auto" w:fill="FFFFFF"/>
          <w:lang w:val="en-US" w:eastAsia="zh-CN"/>
        </w:rPr>
      </w:pPr>
      <w:r>
        <w:rPr>
          <w:rFonts w:hint="eastAsia" w:ascii="方正小标宋_GBK" w:hAnsi="方正小标宋_GBK" w:eastAsia="方正小标宋_GBK" w:cs="方正小标宋_GBK"/>
          <w:b/>
          <w:bCs/>
          <w:color w:val="auto"/>
          <w:sz w:val="40"/>
          <w:szCs w:val="40"/>
          <w:shd w:val="clear" w:color="auto" w:fill="FFFFFF"/>
          <w:lang w:val="en-US" w:eastAsia="zh-CN"/>
        </w:rPr>
        <w:t>2024年双牌县“揭榜挂帅”重大科技项目榜单详情</w:t>
      </w:r>
    </w:p>
    <w:tbl>
      <w:tblPr>
        <w:tblStyle w:val="3"/>
        <w:tblW w:w="14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2041"/>
        <w:gridCol w:w="6495"/>
        <w:gridCol w:w="3315"/>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70" w:type="dxa"/>
            <w:noWrap w:val="0"/>
            <w:vAlign w:val="center"/>
          </w:tcPr>
          <w:p>
            <w:pPr>
              <w:jc w:val="center"/>
              <w:rPr>
                <w:rFonts w:hint="eastAsia" w:ascii="Times New Roman" w:hAnsi="Times New Roman" w:eastAsia="仿宋_GB2312" w:cs="Times New Roman"/>
                <w:color w:val="auto"/>
                <w:sz w:val="28"/>
                <w:szCs w:val="28"/>
                <w:shd w:val="clear" w:color="auto" w:fill="FFFFFF"/>
                <w:vertAlign w:val="baseline"/>
                <w:lang w:eastAsia="zh-CN"/>
              </w:rPr>
            </w:pPr>
            <w:bookmarkStart w:id="0" w:name="_GoBack"/>
            <w:bookmarkEnd w:id="0"/>
            <w:r>
              <w:rPr>
                <w:rFonts w:hint="eastAsia" w:ascii="Times New Roman" w:hAnsi="Times New Roman" w:eastAsia="仿宋_GB2312" w:cs="Times New Roman"/>
                <w:color w:val="auto"/>
                <w:sz w:val="28"/>
                <w:szCs w:val="28"/>
                <w:shd w:val="clear" w:color="auto" w:fill="FFFFFF"/>
                <w:vertAlign w:val="baseline"/>
                <w:lang w:eastAsia="zh-CN"/>
              </w:rPr>
              <w:t>序号</w:t>
            </w:r>
          </w:p>
        </w:tc>
        <w:tc>
          <w:tcPr>
            <w:tcW w:w="2041" w:type="dxa"/>
            <w:noWrap w:val="0"/>
            <w:vAlign w:val="center"/>
          </w:tcPr>
          <w:p>
            <w:pPr>
              <w:jc w:val="center"/>
              <w:rPr>
                <w:rFonts w:hint="default" w:ascii="Times New Roman" w:hAnsi="Times New Roman" w:eastAsia="仿宋_GB2312" w:cs="Times New Roman"/>
                <w:color w:val="auto"/>
                <w:sz w:val="28"/>
                <w:szCs w:val="28"/>
                <w:shd w:val="clear" w:color="auto" w:fill="FFFFFF"/>
                <w:vertAlign w:val="baseline"/>
              </w:rPr>
            </w:pPr>
            <w:r>
              <w:rPr>
                <w:rFonts w:hint="default" w:ascii="Times New Roman" w:hAnsi="Times New Roman" w:eastAsia="仿宋_GB2312" w:cs="Times New Roman"/>
                <w:color w:val="auto"/>
                <w:sz w:val="28"/>
                <w:szCs w:val="28"/>
                <w:shd w:val="clear" w:color="auto" w:fill="FFFFFF"/>
                <w:vertAlign w:val="baseline"/>
              </w:rPr>
              <w:t>项目</w:t>
            </w:r>
          </w:p>
        </w:tc>
        <w:tc>
          <w:tcPr>
            <w:tcW w:w="6495" w:type="dxa"/>
            <w:noWrap w:val="0"/>
            <w:vAlign w:val="center"/>
          </w:tcPr>
          <w:p>
            <w:pPr>
              <w:jc w:val="center"/>
              <w:rPr>
                <w:rFonts w:hint="default" w:ascii="Times New Roman" w:hAnsi="Times New Roman" w:eastAsia="仿宋_GB2312" w:cs="Times New Roman"/>
                <w:color w:val="auto"/>
                <w:sz w:val="28"/>
                <w:szCs w:val="28"/>
                <w:shd w:val="clear" w:color="auto" w:fill="FFFFFF"/>
                <w:vertAlign w:val="baseline"/>
              </w:rPr>
            </w:pPr>
            <w:r>
              <w:rPr>
                <w:rFonts w:hint="default" w:ascii="Times New Roman" w:hAnsi="Times New Roman" w:eastAsia="仿宋_GB2312" w:cs="Times New Roman"/>
                <w:color w:val="auto"/>
                <w:sz w:val="28"/>
                <w:szCs w:val="28"/>
                <w:shd w:val="clear" w:color="auto" w:fill="FFFFFF"/>
                <w:vertAlign w:val="baseline"/>
              </w:rPr>
              <w:t>研发攻关任务</w:t>
            </w:r>
          </w:p>
        </w:tc>
        <w:tc>
          <w:tcPr>
            <w:tcW w:w="3315" w:type="dxa"/>
            <w:noWrap w:val="0"/>
            <w:vAlign w:val="center"/>
          </w:tcPr>
          <w:p>
            <w:pPr>
              <w:jc w:val="center"/>
              <w:rPr>
                <w:rFonts w:hint="default" w:ascii="Times New Roman" w:hAnsi="Times New Roman" w:eastAsia="仿宋_GB2312" w:cs="Times New Roman"/>
                <w:color w:val="auto"/>
                <w:sz w:val="28"/>
                <w:szCs w:val="28"/>
                <w:shd w:val="clear" w:color="auto" w:fill="FFFFFF"/>
                <w:vertAlign w:val="baseline"/>
              </w:rPr>
            </w:pPr>
            <w:r>
              <w:rPr>
                <w:rFonts w:hint="default" w:ascii="Times New Roman" w:hAnsi="Times New Roman" w:eastAsia="仿宋_GB2312" w:cs="Times New Roman"/>
                <w:color w:val="auto"/>
                <w:sz w:val="28"/>
                <w:szCs w:val="28"/>
                <w:shd w:val="clear" w:color="auto" w:fill="FFFFFF"/>
                <w:vertAlign w:val="baseline"/>
              </w:rPr>
              <w:t>技术指标</w:t>
            </w:r>
          </w:p>
        </w:tc>
        <w:tc>
          <w:tcPr>
            <w:tcW w:w="2210" w:type="dxa"/>
            <w:noWrap w:val="0"/>
            <w:vAlign w:val="center"/>
          </w:tcPr>
          <w:p>
            <w:pPr>
              <w:jc w:val="center"/>
              <w:rPr>
                <w:rFonts w:hint="default" w:ascii="Times New Roman" w:hAnsi="Times New Roman" w:eastAsia="仿宋_GB2312" w:cs="Times New Roman"/>
                <w:strike w:val="0"/>
                <w:dstrike w:val="0"/>
                <w:color w:val="auto"/>
                <w:sz w:val="28"/>
                <w:szCs w:val="28"/>
                <w:shd w:val="clear" w:color="auto" w:fill="FFFFFF"/>
                <w:vertAlign w:val="baseline"/>
              </w:rPr>
            </w:pPr>
            <w:r>
              <w:rPr>
                <w:rFonts w:hint="default" w:ascii="Times New Roman" w:hAnsi="Times New Roman" w:eastAsia="仿宋_GB2312" w:cs="Times New Roman"/>
                <w:strike w:val="0"/>
                <w:dstrike w:val="0"/>
                <w:color w:val="auto"/>
                <w:sz w:val="28"/>
                <w:szCs w:val="28"/>
                <w:shd w:val="clear" w:color="auto" w:fill="FFFFFF"/>
                <w:vertAlign w:val="baseline"/>
              </w:rPr>
              <w:t>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6" w:hRule="atLeast"/>
        </w:trPr>
        <w:tc>
          <w:tcPr>
            <w:tcW w:w="870" w:type="dxa"/>
            <w:noWrap w:val="0"/>
            <w:vAlign w:val="center"/>
          </w:tcPr>
          <w:p>
            <w:pPr>
              <w:bidi w:val="0"/>
              <w:jc w:val="left"/>
              <w:rPr>
                <w:rFonts w:hint="eastAsia" w:ascii="仿宋" w:hAnsi="仿宋" w:eastAsia="仿宋" w:cs="仿宋"/>
                <w:sz w:val="22"/>
                <w:szCs w:val="28"/>
                <w:lang w:val="en-US" w:eastAsia="zh-CN"/>
              </w:rPr>
            </w:pPr>
            <w:r>
              <w:rPr>
                <w:rFonts w:hint="eastAsia" w:ascii="仿宋" w:hAnsi="仿宋" w:eastAsia="仿宋" w:cs="仿宋"/>
                <w:sz w:val="22"/>
                <w:szCs w:val="28"/>
                <w:lang w:val="en-US" w:eastAsia="zh-CN"/>
              </w:rPr>
              <w:t>1</w:t>
            </w:r>
          </w:p>
        </w:tc>
        <w:tc>
          <w:tcPr>
            <w:tcW w:w="2041" w:type="dxa"/>
            <w:noWrap w:val="0"/>
            <w:vAlign w:val="center"/>
          </w:tcPr>
          <w:p>
            <w:pPr>
              <w:bidi w:val="0"/>
              <w:jc w:val="left"/>
              <w:rPr>
                <w:rFonts w:hint="eastAsia" w:ascii="仿宋" w:hAnsi="仿宋" w:eastAsia="仿宋" w:cs="仿宋"/>
                <w:sz w:val="22"/>
                <w:szCs w:val="28"/>
                <w:lang w:val="en-US" w:eastAsia="zh-CN"/>
              </w:rPr>
            </w:pPr>
            <w:r>
              <w:rPr>
                <w:rFonts w:hint="eastAsia" w:ascii="仿宋" w:hAnsi="仿宋" w:eastAsia="仿宋" w:cs="仿宋"/>
                <w:sz w:val="22"/>
                <w:szCs w:val="28"/>
                <w:lang w:val="en-US" w:eastAsia="zh-CN"/>
              </w:rPr>
              <w:t>交通护栏用竹束单板层积复合材加工关键技术研发与产业化</w:t>
            </w:r>
          </w:p>
          <w:p>
            <w:pPr>
              <w:pStyle w:val="5"/>
              <w:jc w:val="both"/>
              <w:rPr>
                <w:rFonts w:hint="eastAsia" w:ascii="仿宋_GB2312" w:hAnsi="宋体" w:eastAsia="仿宋_GB2312" w:cs="仿宋_GB2312"/>
                <w:color w:val="auto"/>
                <w:kern w:val="0"/>
                <w:sz w:val="22"/>
                <w:szCs w:val="22"/>
                <w:lang w:val="en-US" w:eastAsia="zh-CN" w:bidi="ar"/>
              </w:rPr>
            </w:pPr>
            <w:r>
              <w:rPr>
                <w:rFonts w:hint="eastAsia" w:ascii="仿宋_GB2312" w:hAnsi="宋体" w:eastAsia="仿宋_GB2312" w:cs="仿宋_GB2312"/>
                <w:color w:val="auto"/>
                <w:kern w:val="0"/>
                <w:sz w:val="22"/>
                <w:szCs w:val="22"/>
                <w:lang w:val="en-US" w:eastAsia="zh-CN" w:bidi="ar"/>
              </w:rPr>
              <w:t>项目总投资1000万</w:t>
            </w:r>
          </w:p>
          <w:p>
            <w:pPr>
              <w:pStyle w:val="5"/>
              <w:jc w:val="both"/>
              <w:rPr>
                <w:rFonts w:hint="default" w:ascii="仿宋_GB2312" w:hAnsi="宋体" w:eastAsia="仿宋_GB2312" w:cs="仿宋_GB2312"/>
                <w:color w:val="auto"/>
                <w:kern w:val="0"/>
                <w:sz w:val="22"/>
                <w:szCs w:val="22"/>
                <w:lang w:val="en-US" w:eastAsia="zh-CN" w:bidi="ar"/>
              </w:rPr>
            </w:pPr>
            <w:r>
              <w:rPr>
                <w:rFonts w:hint="eastAsia" w:ascii="仿宋_GB2312" w:hAnsi="宋体" w:eastAsia="仿宋_GB2312" w:cs="仿宋_GB2312"/>
                <w:color w:val="auto"/>
                <w:kern w:val="0"/>
                <w:sz w:val="22"/>
                <w:szCs w:val="22"/>
                <w:lang w:val="en-US" w:eastAsia="zh-CN" w:bidi="ar"/>
              </w:rPr>
              <w:t>研发总额150万</w:t>
            </w:r>
          </w:p>
          <w:p>
            <w:pPr>
              <w:pStyle w:val="5"/>
              <w:jc w:val="both"/>
              <w:rPr>
                <w:rFonts w:hint="eastAsia"/>
                <w:lang w:val="en-US" w:eastAsia="zh-CN"/>
              </w:rPr>
            </w:pPr>
          </w:p>
        </w:tc>
        <w:tc>
          <w:tcPr>
            <w:tcW w:w="6495" w:type="dxa"/>
            <w:noWrap w:val="0"/>
            <w:vAlign w:val="center"/>
          </w:tcPr>
          <w:p>
            <w:pPr>
              <w:bidi w:val="0"/>
              <w:jc w:val="left"/>
              <w:rPr>
                <w:rFonts w:hint="eastAsia" w:ascii="仿宋" w:hAnsi="仿宋" w:eastAsia="仿宋" w:cs="仿宋"/>
                <w:sz w:val="22"/>
                <w:szCs w:val="28"/>
                <w:lang w:val="en-US" w:eastAsia="zh-CN"/>
              </w:rPr>
            </w:pPr>
            <w:r>
              <w:rPr>
                <w:rFonts w:hint="eastAsia" w:ascii="仿宋" w:hAnsi="仿宋" w:eastAsia="仿宋" w:cs="仿宋"/>
                <w:sz w:val="22"/>
                <w:szCs w:val="28"/>
                <w:lang w:val="en-US" w:eastAsia="zh-CN"/>
              </w:rPr>
              <w:t>1、研发交通护栏用竹束单板层积复合材加工技术：利用整张化的竹束纤维化单板与速生人工林木单板层积复合，制造出的结构可设计、性能可控制的新型竹质交通道路用工程材料；</w:t>
            </w:r>
          </w:p>
          <w:p>
            <w:pPr>
              <w:bidi w:val="0"/>
              <w:jc w:val="left"/>
              <w:rPr>
                <w:rFonts w:hint="eastAsia" w:ascii="仿宋" w:hAnsi="仿宋" w:eastAsia="仿宋" w:cs="仿宋"/>
                <w:sz w:val="22"/>
                <w:szCs w:val="28"/>
                <w:lang w:val="en-US" w:eastAsia="zh-CN"/>
              </w:rPr>
            </w:pPr>
            <w:r>
              <w:rPr>
                <w:rFonts w:hint="eastAsia" w:ascii="仿宋" w:hAnsi="仿宋" w:eastAsia="仿宋" w:cs="仿宋"/>
                <w:sz w:val="22"/>
                <w:szCs w:val="28"/>
                <w:lang w:val="en-US" w:eastAsia="zh-CN"/>
              </w:rPr>
              <w:t>2、开发耐候抗冲击型竹质交通护栏标准化、模块化组装技术：按照标准化装配的原则，重点解决交通护栏立柱板之间、立柱板与盖帽板、横档板与立柱之间的连接组装设计；</w:t>
            </w:r>
          </w:p>
          <w:p>
            <w:pPr>
              <w:bidi w:val="0"/>
              <w:jc w:val="left"/>
              <w:rPr>
                <w:rFonts w:hint="eastAsia" w:ascii="仿宋" w:hAnsi="仿宋" w:eastAsia="仿宋" w:cs="仿宋"/>
                <w:sz w:val="22"/>
                <w:szCs w:val="28"/>
                <w:lang w:val="en-US" w:eastAsia="zh-CN"/>
              </w:rPr>
            </w:pPr>
            <w:r>
              <w:rPr>
                <w:rFonts w:hint="eastAsia" w:ascii="仿宋" w:hAnsi="仿宋" w:eastAsia="仿宋" w:cs="仿宋"/>
                <w:sz w:val="22"/>
                <w:szCs w:val="28"/>
                <w:lang w:val="en-US" w:eastAsia="zh-CN"/>
              </w:rPr>
              <w:t>3、开展交通护栏用竹束单板层积复合材的耐候与抗冲击性能评价：依据户外结构材料的相关标准，开展尺寸稳定性、霉变与发霉等耐候性能评价与防护工艺改进，开展力学模量湿热衰减规律研究和不同组坯结构的冲击吸能评价；</w:t>
            </w:r>
          </w:p>
          <w:p>
            <w:pPr>
              <w:bidi w:val="0"/>
              <w:jc w:val="left"/>
              <w:rPr>
                <w:rFonts w:hint="eastAsia" w:ascii="仿宋" w:hAnsi="仿宋" w:eastAsia="仿宋" w:cs="仿宋"/>
                <w:sz w:val="22"/>
                <w:szCs w:val="28"/>
                <w:lang w:val="en-US" w:eastAsia="zh-CN"/>
              </w:rPr>
            </w:pPr>
            <w:r>
              <w:rPr>
                <w:rFonts w:hint="eastAsia" w:ascii="仿宋" w:hAnsi="仿宋" w:eastAsia="仿宋" w:cs="仿宋"/>
                <w:sz w:val="22"/>
                <w:szCs w:val="28"/>
                <w:lang w:val="en-US" w:eastAsia="zh-CN"/>
              </w:rPr>
              <w:t>4、开展竹质交通护栏的示范与应用。</w:t>
            </w:r>
          </w:p>
          <w:p>
            <w:pPr>
              <w:bidi w:val="0"/>
              <w:jc w:val="left"/>
              <w:rPr>
                <w:rFonts w:hint="eastAsia" w:ascii="仿宋" w:hAnsi="仿宋" w:eastAsia="仿宋" w:cs="仿宋"/>
                <w:sz w:val="22"/>
                <w:szCs w:val="28"/>
                <w:lang w:val="en-US" w:eastAsia="zh-CN"/>
              </w:rPr>
            </w:pPr>
          </w:p>
        </w:tc>
        <w:tc>
          <w:tcPr>
            <w:tcW w:w="3315" w:type="dxa"/>
            <w:noWrap w:val="0"/>
            <w:vAlign w:val="center"/>
          </w:tcPr>
          <w:p>
            <w:pPr>
              <w:bidi w:val="0"/>
              <w:jc w:val="left"/>
              <w:rPr>
                <w:rFonts w:hint="eastAsia" w:ascii="仿宋" w:hAnsi="仿宋" w:eastAsia="仿宋" w:cs="仿宋"/>
                <w:sz w:val="22"/>
                <w:szCs w:val="28"/>
                <w:lang w:val="en-US" w:eastAsia="zh-CN"/>
              </w:rPr>
            </w:pPr>
            <w:r>
              <w:rPr>
                <w:rFonts w:hint="eastAsia" w:ascii="仿宋" w:hAnsi="仿宋" w:eastAsia="仿宋" w:cs="仿宋"/>
                <w:sz w:val="22"/>
                <w:szCs w:val="28"/>
                <w:lang w:val="en-US" w:eastAsia="zh-CN"/>
              </w:rPr>
              <w:t>1、开发性能满足竹质道路护栏用竹束单板层积材加工工艺，其中密度控制在1.0∽1.25g/cm3，板材纵向MOR&gt; 90MPa，板材纵向MOE&gt; 8000MPa，冲击韧性&gt;80KJ/m2，24h吸水厚度膨胀率不高于10%；</w:t>
            </w:r>
          </w:p>
          <w:p>
            <w:pPr>
              <w:bidi w:val="0"/>
              <w:jc w:val="left"/>
              <w:rPr>
                <w:rFonts w:hint="eastAsia" w:ascii="仿宋" w:hAnsi="仿宋" w:eastAsia="仿宋" w:cs="仿宋"/>
                <w:sz w:val="22"/>
                <w:szCs w:val="28"/>
                <w:lang w:val="en-US" w:eastAsia="zh-CN"/>
              </w:rPr>
            </w:pPr>
            <w:r>
              <w:rPr>
                <w:rFonts w:hint="eastAsia" w:ascii="仿宋" w:hAnsi="仿宋" w:eastAsia="仿宋" w:cs="仿宋"/>
                <w:sz w:val="22"/>
                <w:szCs w:val="28"/>
                <w:lang w:val="en-US" w:eastAsia="zh-CN"/>
              </w:rPr>
              <w:t>2、改建年产能力5000m3竹质交通道路护栏用竹束单板层积复合材生产线1条；</w:t>
            </w:r>
          </w:p>
          <w:p>
            <w:pPr>
              <w:bidi w:val="0"/>
              <w:jc w:val="left"/>
              <w:rPr>
                <w:rFonts w:hint="eastAsia" w:ascii="仿宋" w:hAnsi="仿宋" w:eastAsia="仿宋" w:cs="仿宋"/>
                <w:sz w:val="22"/>
                <w:szCs w:val="28"/>
                <w:lang w:val="en-US" w:eastAsia="zh-CN"/>
              </w:rPr>
            </w:pPr>
            <w:r>
              <w:rPr>
                <w:rFonts w:hint="eastAsia" w:ascii="仿宋" w:hAnsi="仿宋" w:eastAsia="仿宋" w:cs="仿宋"/>
                <w:sz w:val="22"/>
                <w:szCs w:val="28"/>
                <w:lang w:val="en-US" w:eastAsia="zh-CN"/>
              </w:rPr>
              <w:t>3、形成一套装配式交通护栏手册；</w:t>
            </w:r>
          </w:p>
          <w:p>
            <w:pPr>
              <w:bidi w:val="0"/>
              <w:jc w:val="left"/>
              <w:rPr>
                <w:rFonts w:hint="eastAsia" w:ascii="仿宋" w:hAnsi="仿宋" w:eastAsia="仿宋" w:cs="仿宋"/>
                <w:sz w:val="22"/>
                <w:szCs w:val="28"/>
                <w:lang w:val="en-US" w:eastAsia="zh-CN"/>
              </w:rPr>
            </w:pPr>
            <w:r>
              <w:rPr>
                <w:rFonts w:hint="eastAsia" w:ascii="仿宋" w:hAnsi="仿宋" w:eastAsia="仿宋" w:cs="仿宋"/>
                <w:sz w:val="22"/>
                <w:szCs w:val="28"/>
                <w:lang w:val="en-US" w:eastAsia="zh-CN"/>
              </w:rPr>
              <w:t>4、培训技术工员10名；</w:t>
            </w:r>
          </w:p>
          <w:p>
            <w:pPr>
              <w:bidi w:val="0"/>
              <w:jc w:val="left"/>
              <w:rPr>
                <w:rFonts w:hint="eastAsia" w:ascii="仿宋" w:hAnsi="仿宋" w:eastAsia="仿宋" w:cs="仿宋"/>
                <w:sz w:val="22"/>
                <w:szCs w:val="28"/>
                <w:lang w:val="en-US" w:eastAsia="zh-CN"/>
              </w:rPr>
            </w:pPr>
            <w:r>
              <w:rPr>
                <w:rFonts w:hint="eastAsia" w:ascii="仿宋" w:hAnsi="仿宋" w:eastAsia="仿宋" w:cs="仿宋"/>
                <w:sz w:val="22"/>
                <w:szCs w:val="28"/>
                <w:lang w:val="en-US" w:eastAsia="zh-CN"/>
              </w:rPr>
              <w:t>5、发明专利1件，实用新型专利1-2件。</w:t>
            </w:r>
          </w:p>
        </w:tc>
        <w:tc>
          <w:tcPr>
            <w:tcW w:w="2210" w:type="dxa"/>
            <w:noWrap w:val="0"/>
            <w:vAlign w:val="center"/>
          </w:tcPr>
          <w:p>
            <w:pPr>
              <w:keepNext w:val="0"/>
              <w:keepLines w:val="0"/>
              <w:widowControl/>
              <w:suppressLineNumbers w:val="0"/>
              <w:jc w:val="left"/>
              <w:textAlignment w:val="center"/>
              <w:rPr>
                <w:rFonts w:hint="eastAsia" w:ascii="仿宋_GB2312" w:hAnsi="宋体" w:eastAsia="仿宋_GB2312" w:cs="仿宋_GB2312"/>
                <w:color w:val="auto"/>
                <w:kern w:val="0"/>
                <w:sz w:val="24"/>
                <w:lang w:val="en-US" w:eastAsia="zh-CN" w:bidi="ar"/>
              </w:rPr>
            </w:pPr>
            <w:r>
              <w:rPr>
                <w:rFonts w:hint="eastAsia" w:ascii="仿宋_GB2312" w:hAnsi="宋体" w:eastAsia="仿宋_GB2312" w:cs="仿宋_GB2312"/>
                <w:color w:val="auto"/>
                <w:kern w:val="0"/>
                <w:sz w:val="24"/>
                <w:lang w:val="en-US" w:eastAsia="zh-CN" w:bidi="ar"/>
              </w:rPr>
              <w:t>1、实施期限：</w:t>
            </w:r>
          </w:p>
          <w:p>
            <w:pPr>
              <w:keepNext w:val="0"/>
              <w:keepLines w:val="0"/>
              <w:widowControl/>
              <w:suppressLineNumbers w:val="0"/>
              <w:jc w:val="left"/>
              <w:textAlignment w:val="center"/>
              <w:rPr>
                <w:rFonts w:hint="eastAsia" w:ascii="仿宋_GB2312" w:hAnsi="宋体" w:eastAsia="仿宋_GB2312" w:cs="仿宋_GB2312"/>
                <w:color w:val="auto"/>
                <w:kern w:val="0"/>
                <w:sz w:val="24"/>
                <w:lang w:val="en-US" w:eastAsia="zh-CN" w:bidi="ar"/>
              </w:rPr>
            </w:pPr>
            <w:r>
              <w:rPr>
                <w:rFonts w:hint="eastAsia" w:ascii="仿宋_GB2312" w:hAnsi="宋体" w:eastAsia="仿宋_GB2312" w:cs="仿宋_GB2312"/>
                <w:color w:val="auto"/>
                <w:kern w:val="0"/>
                <w:sz w:val="24"/>
                <w:lang w:val="en-US" w:eastAsia="zh-CN" w:bidi="ar"/>
              </w:rPr>
              <w:t>2024.01-2025.12</w:t>
            </w:r>
          </w:p>
          <w:p>
            <w:pPr>
              <w:keepNext w:val="0"/>
              <w:keepLines w:val="0"/>
              <w:widowControl/>
              <w:suppressLineNumbers w:val="0"/>
              <w:jc w:val="left"/>
              <w:textAlignment w:val="center"/>
              <w:rPr>
                <w:rFonts w:hint="eastAsia" w:ascii="仿宋_GB2312" w:hAnsi="宋体" w:eastAsia="仿宋_GB2312" w:cs="仿宋_GB2312"/>
                <w:color w:val="auto"/>
                <w:kern w:val="0"/>
                <w:sz w:val="24"/>
                <w:lang w:val="en-US" w:eastAsia="zh-CN" w:bidi="ar"/>
              </w:rPr>
            </w:pPr>
            <w:r>
              <w:rPr>
                <w:rFonts w:hint="eastAsia" w:ascii="仿宋_GB2312" w:hAnsi="宋体" w:eastAsia="仿宋_GB2312" w:cs="仿宋_GB2312"/>
                <w:color w:val="auto"/>
                <w:kern w:val="0"/>
                <w:sz w:val="24"/>
                <w:lang w:val="en-US" w:eastAsia="zh-CN" w:bidi="ar"/>
              </w:rPr>
              <w:t>2、预期成效：通过本项目实施，扩大了竹材在城市交通道路领域的应用，达到“以竹代塑”，提高了竹材产品附加值。</w:t>
            </w:r>
          </w:p>
          <w:p>
            <w:pPr>
              <w:keepNext w:val="0"/>
              <w:keepLines w:val="0"/>
              <w:widowControl/>
              <w:suppressLineNumbers w:val="0"/>
              <w:jc w:val="left"/>
              <w:textAlignment w:val="center"/>
              <w:rPr>
                <w:rFonts w:hint="eastAsia" w:ascii="仿宋_GB2312" w:hAnsi="宋体" w:eastAsia="仿宋_GB2312" w:cs="仿宋_GB2312"/>
                <w:color w:val="auto"/>
                <w:kern w:val="0"/>
                <w:sz w:val="24"/>
                <w:lang w:val="en-US" w:eastAsia="zh-CN" w:bidi="ar"/>
              </w:rPr>
            </w:pPr>
            <w:r>
              <w:rPr>
                <w:rFonts w:hint="eastAsia" w:ascii="仿宋_GB2312" w:hAnsi="宋体" w:eastAsia="仿宋_GB2312" w:cs="仿宋_GB2312"/>
                <w:color w:val="auto"/>
                <w:kern w:val="0"/>
                <w:sz w:val="24"/>
                <w:lang w:val="en-US" w:eastAsia="zh-CN" w:bidi="ar"/>
              </w:rPr>
              <w:t>3、联系人：湖南省有竹科技有限公司，陈林碧18659883667；</w:t>
            </w:r>
          </w:p>
          <w:p>
            <w:pPr>
              <w:keepNext w:val="0"/>
              <w:keepLines w:val="0"/>
              <w:widowControl/>
              <w:suppressLineNumbers w:val="0"/>
              <w:jc w:val="left"/>
              <w:textAlignment w:val="center"/>
              <w:rPr>
                <w:rFonts w:hint="eastAsia" w:ascii="仿宋_GB2312" w:hAnsi="宋体" w:eastAsia="仿宋_GB2312" w:cs="仿宋_GB2312"/>
                <w:color w:val="auto"/>
                <w:kern w:val="0"/>
                <w:sz w:val="24"/>
                <w:lang w:val="en-US" w:eastAsia="zh-CN" w:bidi="ar"/>
              </w:rPr>
            </w:pPr>
            <w:r>
              <w:rPr>
                <w:rFonts w:hint="eastAsia" w:ascii="仿宋_GB2312" w:hAnsi="宋体" w:eastAsia="仿宋_GB2312" w:cs="仿宋_GB2312"/>
                <w:color w:val="auto"/>
                <w:kern w:val="0"/>
                <w:sz w:val="24"/>
                <w:lang w:val="en-US" w:eastAsia="zh-CN" w:bidi="ar"/>
              </w:rPr>
              <w:t>邮箱：634951804@qq.com</w:t>
            </w:r>
          </w:p>
          <w:p>
            <w:pPr>
              <w:widowControl/>
              <w:jc w:val="left"/>
              <w:rPr>
                <w:rFonts w:hint="eastAsia" w:ascii="仿宋_GB2312" w:hAnsi="仿宋_GB2312" w:eastAsia="仿宋_GB2312" w:cs="仿宋_GB2312"/>
                <w:b w:val="0"/>
                <w:bCs/>
                <w:strike w:val="0"/>
                <w:dstrike w:val="0"/>
                <w:color w:val="auto"/>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6" w:hRule="atLeast"/>
        </w:trPr>
        <w:tc>
          <w:tcPr>
            <w:tcW w:w="870" w:type="dxa"/>
            <w:noWrap w:val="0"/>
            <w:vAlign w:val="center"/>
          </w:tcPr>
          <w:p>
            <w:pPr>
              <w:bidi w:val="0"/>
              <w:jc w:val="center"/>
              <w:rPr>
                <w:rFonts w:hint="eastAsia" w:ascii="Calibri" w:hAnsi="Calibri" w:eastAsia="宋体" w:cs="Times New Roman"/>
                <w:kern w:val="2"/>
                <w:sz w:val="22"/>
                <w:szCs w:val="22"/>
                <w:lang w:val="en-US" w:eastAsia="zh-CN" w:bidi="ar-SA"/>
              </w:rPr>
            </w:pPr>
            <w:r>
              <w:rPr>
                <w:rFonts w:hint="eastAsia"/>
                <w:sz w:val="22"/>
                <w:szCs w:val="22"/>
                <w:lang w:val="en-US" w:eastAsia="zh-CN"/>
              </w:rPr>
              <w:t>2</w:t>
            </w:r>
          </w:p>
        </w:tc>
        <w:tc>
          <w:tcPr>
            <w:tcW w:w="2041" w:type="dxa"/>
            <w:noWrap w:val="0"/>
            <w:vAlign w:val="center"/>
          </w:tcPr>
          <w:p>
            <w:pPr>
              <w:jc w:val="left"/>
              <w:rPr>
                <w:rFonts w:hint="eastAsia" w:ascii="Times New Roman" w:hAnsi="Times New Roman" w:eastAsia="仿宋_GB2312" w:cs="Times New Roman"/>
                <w:color w:val="auto"/>
                <w:sz w:val="24"/>
                <w:szCs w:val="24"/>
                <w:shd w:val="clear" w:color="auto" w:fill="FFFFFF"/>
                <w:vertAlign w:val="baseline"/>
                <w:lang w:val="en-US" w:eastAsia="zh-CN"/>
              </w:rPr>
            </w:pPr>
            <w:r>
              <w:rPr>
                <w:rFonts w:hint="eastAsia" w:ascii="Times New Roman" w:hAnsi="Times New Roman" w:eastAsia="仿宋_GB2312" w:cs="Times New Roman"/>
                <w:color w:val="auto"/>
                <w:sz w:val="24"/>
                <w:szCs w:val="24"/>
                <w:shd w:val="clear" w:color="auto" w:fill="FFFFFF"/>
                <w:vertAlign w:val="baseline"/>
                <w:lang w:val="en-US" w:eastAsia="zh-CN"/>
              </w:rPr>
              <w:t>双牌高山野生特色茶树种质资源保护与利用关键技术研究与示范</w:t>
            </w:r>
          </w:p>
          <w:p>
            <w:pPr>
              <w:jc w:val="left"/>
              <w:rPr>
                <w:rFonts w:hint="eastAsia" w:ascii="Times New Roman" w:hAnsi="Times New Roman" w:eastAsia="仿宋_GB2312" w:cs="Times New Roman"/>
                <w:color w:val="auto"/>
                <w:sz w:val="24"/>
                <w:szCs w:val="24"/>
                <w:shd w:val="clear" w:color="auto" w:fill="FFFFFF"/>
                <w:vertAlign w:val="baseline"/>
                <w:lang w:val="en-US" w:eastAsia="zh-CN"/>
              </w:rPr>
            </w:pPr>
            <w:r>
              <w:rPr>
                <w:rFonts w:hint="eastAsia" w:ascii="Times New Roman" w:hAnsi="Times New Roman" w:eastAsia="仿宋_GB2312" w:cs="Times New Roman"/>
                <w:color w:val="auto"/>
                <w:sz w:val="24"/>
                <w:szCs w:val="24"/>
                <w:shd w:val="clear" w:color="auto" w:fill="FFFFFF"/>
                <w:vertAlign w:val="baseline"/>
                <w:lang w:val="en-US" w:eastAsia="zh-CN"/>
              </w:rPr>
              <w:t>项目总投资132万</w:t>
            </w:r>
          </w:p>
          <w:p>
            <w:pPr>
              <w:jc w:val="left"/>
              <w:rPr>
                <w:rFonts w:hint="default" w:ascii="Times New Roman" w:hAnsi="Times New Roman" w:eastAsia="仿宋_GB2312" w:cs="Times New Roman"/>
                <w:color w:val="auto"/>
                <w:sz w:val="24"/>
                <w:szCs w:val="24"/>
                <w:shd w:val="clear" w:color="auto" w:fill="FFFFFF"/>
                <w:vertAlign w:val="baseline"/>
                <w:lang w:val="en-US" w:eastAsia="zh-CN"/>
              </w:rPr>
            </w:pPr>
            <w:r>
              <w:rPr>
                <w:rFonts w:hint="eastAsia" w:ascii="Times New Roman" w:hAnsi="Times New Roman" w:eastAsia="仿宋_GB2312" w:cs="Times New Roman"/>
                <w:color w:val="auto"/>
                <w:sz w:val="24"/>
                <w:szCs w:val="24"/>
                <w:shd w:val="clear" w:color="auto" w:fill="FFFFFF"/>
                <w:vertAlign w:val="baseline"/>
                <w:lang w:val="en-US" w:eastAsia="zh-CN"/>
              </w:rPr>
              <w:t>研发总额104万</w:t>
            </w:r>
          </w:p>
          <w:p>
            <w:pPr>
              <w:jc w:val="left"/>
              <w:rPr>
                <w:rFonts w:hint="eastAsia" w:ascii="Times New Roman" w:hAnsi="Times New Roman" w:eastAsia="仿宋_GB2312" w:cs="Times New Roman"/>
                <w:color w:val="auto"/>
                <w:sz w:val="24"/>
                <w:szCs w:val="24"/>
                <w:shd w:val="clear" w:color="auto" w:fill="FFFFFF"/>
                <w:vertAlign w:val="baseline"/>
                <w:lang w:val="en-US" w:eastAsia="zh-CN"/>
              </w:rPr>
            </w:pPr>
          </w:p>
        </w:tc>
        <w:tc>
          <w:tcPr>
            <w:tcW w:w="6495" w:type="dxa"/>
            <w:noWrap w:val="0"/>
            <w:vAlign w:val="center"/>
          </w:tcPr>
          <w:p>
            <w:pPr>
              <w:jc w:val="left"/>
              <w:rPr>
                <w:rFonts w:hint="eastAsia" w:ascii="Times New Roman" w:hAnsi="Times New Roman" w:eastAsia="仿宋_GB2312" w:cs="Times New Roman"/>
                <w:color w:val="auto"/>
                <w:sz w:val="24"/>
                <w:szCs w:val="24"/>
                <w:shd w:val="clear" w:color="auto" w:fill="FFFFFF"/>
                <w:vertAlign w:val="baseline"/>
                <w:lang w:val="en-US" w:eastAsia="zh-CN"/>
              </w:rPr>
            </w:pPr>
            <w:r>
              <w:rPr>
                <w:rFonts w:hint="eastAsia" w:ascii="Times New Roman" w:hAnsi="Times New Roman" w:eastAsia="仿宋_GB2312" w:cs="Times New Roman"/>
                <w:color w:val="auto"/>
                <w:sz w:val="24"/>
                <w:szCs w:val="24"/>
                <w:shd w:val="clear" w:color="auto" w:fill="FFFFFF"/>
                <w:vertAlign w:val="baseline"/>
                <w:lang w:val="en-US" w:eastAsia="zh-CN"/>
              </w:rPr>
              <w:t>1、充分利用双牌县高山野生茶树种质资源优势，挖掘早生、高香、内含品质成分、特异等优质茶树资源，选育出特色品种，并针对特色品种研发个性化、特色化的加工工艺，开发特色新产品；</w:t>
            </w:r>
          </w:p>
          <w:p>
            <w:pPr>
              <w:jc w:val="left"/>
              <w:rPr>
                <w:rFonts w:hint="eastAsia" w:ascii="Times New Roman" w:hAnsi="Times New Roman" w:eastAsia="仿宋_GB2312" w:cs="Times New Roman"/>
                <w:color w:val="auto"/>
                <w:sz w:val="24"/>
                <w:szCs w:val="24"/>
                <w:shd w:val="clear" w:color="auto" w:fill="FFFFFF"/>
                <w:vertAlign w:val="baseline"/>
                <w:lang w:val="en-US" w:eastAsia="zh-CN"/>
              </w:rPr>
            </w:pPr>
            <w:r>
              <w:rPr>
                <w:rFonts w:hint="eastAsia" w:ascii="Times New Roman" w:hAnsi="Times New Roman" w:eastAsia="仿宋_GB2312" w:cs="Times New Roman"/>
                <w:color w:val="auto"/>
                <w:sz w:val="24"/>
                <w:szCs w:val="24"/>
                <w:shd w:val="clear" w:color="auto" w:fill="FFFFFF"/>
                <w:vertAlign w:val="baseline"/>
                <w:lang w:val="en-US" w:eastAsia="zh-CN"/>
              </w:rPr>
              <w:t>2、集成大田高效育苗茶树种苗快速繁育技术，建立优质种苗快速繁育示范基地；</w:t>
            </w:r>
            <w:r>
              <w:rPr>
                <w:rFonts w:hint="eastAsia" w:ascii="Times New Roman" w:hAnsi="Times New Roman" w:eastAsia="仿宋_GB2312" w:cs="Times New Roman"/>
                <w:color w:val="auto"/>
                <w:sz w:val="24"/>
                <w:szCs w:val="24"/>
                <w:shd w:val="clear" w:color="auto" w:fill="FFFFFF"/>
                <w:vertAlign w:val="baseline"/>
                <w:lang w:val="en-US" w:eastAsia="zh-CN"/>
              </w:rPr>
              <w:br w:type="textWrapping"/>
            </w:r>
            <w:r>
              <w:rPr>
                <w:rFonts w:hint="eastAsia" w:ascii="Times New Roman" w:hAnsi="Times New Roman" w:eastAsia="仿宋_GB2312" w:cs="Times New Roman"/>
                <w:color w:val="auto"/>
                <w:sz w:val="24"/>
                <w:szCs w:val="24"/>
                <w:shd w:val="clear" w:color="auto" w:fill="FFFFFF"/>
                <w:vertAlign w:val="baseline"/>
                <w:lang w:val="en-US" w:eastAsia="zh-CN"/>
              </w:rPr>
              <w:t>3、建立高标准茶树原种母本园和种质资源库；</w:t>
            </w:r>
            <w:r>
              <w:rPr>
                <w:rFonts w:hint="eastAsia" w:ascii="Times New Roman" w:hAnsi="Times New Roman" w:eastAsia="仿宋_GB2312" w:cs="Times New Roman"/>
                <w:color w:val="auto"/>
                <w:sz w:val="24"/>
                <w:szCs w:val="24"/>
                <w:shd w:val="clear" w:color="auto" w:fill="FFFFFF"/>
                <w:vertAlign w:val="baseline"/>
                <w:lang w:val="en-US" w:eastAsia="zh-CN"/>
              </w:rPr>
              <w:br w:type="textWrapping"/>
            </w:r>
            <w:r>
              <w:rPr>
                <w:rFonts w:hint="default" w:ascii="Times New Roman" w:hAnsi="Times New Roman" w:eastAsia="仿宋_GB2312" w:cs="Times New Roman"/>
                <w:color w:val="auto"/>
                <w:sz w:val="24"/>
                <w:szCs w:val="24"/>
                <w:shd w:val="clear" w:color="auto" w:fill="FFFFFF"/>
                <w:vertAlign w:val="baseline"/>
                <w:lang w:val="en-US" w:eastAsia="zh-CN"/>
              </w:rPr>
              <w:t>4</w:t>
            </w:r>
            <w:r>
              <w:rPr>
                <w:rFonts w:hint="eastAsia" w:ascii="Times New Roman" w:hAnsi="Times New Roman" w:eastAsia="仿宋_GB2312" w:cs="Times New Roman"/>
                <w:color w:val="auto"/>
                <w:sz w:val="24"/>
                <w:szCs w:val="24"/>
                <w:shd w:val="clear" w:color="auto" w:fill="FFFFFF"/>
                <w:vertAlign w:val="baseline"/>
                <w:lang w:val="en-US" w:eastAsia="zh-CN"/>
              </w:rPr>
              <w:t>、对现有的高山野生茶资源，采用垦覆、修剪、砍杂等措施，让其复壮；</w:t>
            </w:r>
            <w:r>
              <w:rPr>
                <w:rFonts w:hint="eastAsia" w:ascii="Times New Roman" w:hAnsi="Times New Roman" w:eastAsia="仿宋_GB2312" w:cs="Times New Roman"/>
                <w:color w:val="auto"/>
                <w:sz w:val="24"/>
                <w:szCs w:val="24"/>
                <w:shd w:val="clear" w:color="auto" w:fill="FFFFFF"/>
                <w:vertAlign w:val="baseline"/>
                <w:lang w:val="en-US" w:eastAsia="zh-CN"/>
              </w:rPr>
              <w:br w:type="textWrapping"/>
            </w:r>
            <w:r>
              <w:rPr>
                <w:rFonts w:hint="default" w:ascii="Times New Roman" w:hAnsi="Times New Roman" w:eastAsia="仿宋_GB2312" w:cs="Times New Roman"/>
                <w:color w:val="auto"/>
                <w:sz w:val="24"/>
                <w:szCs w:val="24"/>
                <w:shd w:val="clear" w:color="auto" w:fill="FFFFFF"/>
                <w:vertAlign w:val="baseline"/>
                <w:lang w:val="en-US" w:eastAsia="zh-CN"/>
              </w:rPr>
              <w:t>5</w:t>
            </w:r>
            <w:r>
              <w:rPr>
                <w:rFonts w:hint="eastAsia" w:ascii="Times New Roman" w:hAnsi="Times New Roman" w:eastAsia="仿宋_GB2312" w:cs="Times New Roman"/>
                <w:color w:val="auto"/>
                <w:sz w:val="24"/>
                <w:szCs w:val="24"/>
                <w:shd w:val="clear" w:color="auto" w:fill="FFFFFF"/>
                <w:vertAlign w:val="baseline"/>
                <w:lang w:val="en-US" w:eastAsia="zh-CN"/>
              </w:rPr>
              <w:t>、开展生态茶园建设，示范、推广、应用绿色高效生产相关技术；</w:t>
            </w:r>
            <w:r>
              <w:rPr>
                <w:rFonts w:hint="eastAsia" w:ascii="Times New Roman" w:hAnsi="Times New Roman" w:eastAsia="仿宋_GB2312" w:cs="Times New Roman"/>
                <w:color w:val="auto"/>
                <w:sz w:val="24"/>
                <w:szCs w:val="24"/>
                <w:shd w:val="clear" w:color="auto" w:fill="FFFFFF"/>
                <w:vertAlign w:val="baseline"/>
                <w:lang w:val="en-US" w:eastAsia="zh-CN"/>
              </w:rPr>
              <w:br w:type="textWrapping"/>
            </w:r>
            <w:r>
              <w:rPr>
                <w:rFonts w:hint="eastAsia" w:ascii="Times New Roman" w:hAnsi="Times New Roman" w:eastAsia="仿宋_GB2312" w:cs="Times New Roman"/>
                <w:color w:val="auto"/>
                <w:sz w:val="24"/>
                <w:szCs w:val="24"/>
                <w:shd w:val="clear" w:color="auto" w:fill="FFFFFF"/>
                <w:vertAlign w:val="baseline"/>
                <w:lang w:val="en-US" w:eastAsia="zh-CN"/>
              </w:rPr>
              <w:t>6、开展茶苗生产、生态茶园建设、高效栽培等技术培训。</w:t>
            </w:r>
          </w:p>
        </w:tc>
        <w:tc>
          <w:tcPr>
            <w:tcW w:w="3315" w:type="dxa"/>
            <w:noWrap w:val="0"/>
            <w:vAlign w:val="center"/>
          </w:tcPr>
          <w:p>
            <w:pPr>
              <w:jc w:val="left"/>
              <w:rPr>
                <w:rFonts w:hint="eastAsia" w:ascii="仿宋_GB2312" w:hAnsi="仿宋_GB2312" w:eastAsia="仿宋_GB2312" w:cs="仿宋_GB2312"/>
                <w:bCs/>
                <w:color w:val="auto"/>
                <w:kern w:val="0"/>
                <w:sz w:val="24"/>
                <w:szCs w:val="24"/>
                <w:lang w:val="en-US" w:eastAsia="zh-CN" w:bidi="ar-SA"/>
              </w:rPr>
            </w:pPr>
            <w:r>
              <w:rPr>
                <w:rFonts w:hint="eastAsia" w:ascii="Times New Roman" w:hAnsi="Times New Roman" w:eastAsia="仿宋_GB2312" w:cs="Times New Roman"/>
                <w:color w:val="auto"/>
                <w:sz w:val="24"/>
                <w:szCs w:val="24"/>
                <w:shd w:val="clear" w:color="auto" w:fill="FFFFFF"/>
                <w:vertAlign w:val="baseline"/>
                <w:lang w:val="en-US" w:eastAsia="zh-CN"/>
              </w:rPr>
              <w:t>1</w:t>
            </w:r>
            <w:r>
              <w:rPr>
                <w:rFonts w:hint="eastAsia" w:ascii="仿宋_GB2312" w:hAnsi="仿宋_GB2312" w:eastAsia="仿宋_GB2312" w:cs="仿宋_GB2312"/>
                <w:bCs/>
                <w:color w:val="auto"/>
                <w:kern w:val="0"/>
                <w:sz w:val="24"/>
                <w:szCs w:val="24"/>
                <w:lang w:val="en-US" w:eastAsia="zh-CN" w:bidi="ar-SA"/>
              </w:rPr>
              <w:t>、选育出适合在双牌县种植、加工的新品种1-2个；选育品种拟定名“双牌紫金1号”、“双牌单江2号”；</w:t>
            </w:r>
          </w:p>
          <w:p>
            <w:pPr>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bidi="ar-SA"/>
              </w:rPr>
              <w:t>2、建立种苗繁育基地2亩，新（改）建茶园200亩；</w:t>
            </w:r>
          </w:p>
          <w:p>
            <w:pPr>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bidi="ar-SA"/>
              </w:rPr>
              <w:t>3、集成应用种苗繁育、高效栽培、病虫害防控、红茶优质加工等技术3～5项；</w:t>
            </w:r>
          </w:p>
          <w:p>
            <w:pPr>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bidi="ar-SA"/>
              </w:rPr>
              <w:t>4、制定茶叶加工技术及茶叶产品技术规程1～2项，研发红茶产品2个；</w:t>
            </w:r>
          </w:p>
          <w:p>
            <w:pPr>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bidi="ar-SA"/>
              </w:rPr>
              <w:t>5、举办1～2期培训班，培训茶农和茶叶生产技术人员100人以上；</w:t>
            </w:r>
          </w:p>
          <w:p>
            <w:pPr>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bidi="ar-SA"/>
              </w:rPr>
              <w:t>6、服务双牌县主要茶叶生产企业1～2家；解决农民就业50人以上；</w:t>
            </w:r>
          </w:p>
          <w:p>
            <w:pPr>
              <w:pStyle w:val="5"/>
              <w:jc w:val="both"/>
              <w:rPr>
                <w:rFonts w:hint="eastAsia"/>
                <w:lang w:val="en-US" w:eastAsia="zh-CN"/>
              </w:rPr>
            </w:pPr>
            <w:r>
              <w:rPr>
                <w:rFonts w:hint="eastAsia" w:ascii="仿宋_GB2312" w:hAnsi="仿宋_GB2312" w:eastAsia="仿宋_GB2312" w:cs="仿宋_GB2312"/>
                <w:bCs/>
                <w:color w:val="auto"/>
                <w:sz w:val="24"/>
                <w:szCs w:val="24"/>
                <w:lang w:val="en-US" w:eastAsia="zh-CN"/>
              </w:rPr>
              <w:t>7、申请授权发明专利1项。</w:t>
            </w:r>
          </w:p>
        </w:tc>
        <w:tc>
          <w:tcPr>
            <w:tcW w:w="2210" w:type="dxa"/>
            <w:noWrap w:val="0"/>
            <w:vAlign w:val="center"/>
          </w:tcPr>
          <w:p>
            <w:pPr>
              <w:jc w:val="left"/>
              <w:rPr>
                <w:rFonts w:hint="eastAsia" w:ascii="Times New Roman" w:hAnsi="Times New Roman" w:eastAsia="仿宋_GB2312" w:cs="Times New Roman"/>
                <w:color w:val="auto"/>
                <w:sz w:val="24"/>
                <w:szCs w:val="24"/>
                <w:shd w:val="clear" w:color="auto" w:fill="FFFFFF"/>
                <w:vertAlign w:val="baseline"/>
                <w:lang w:val="en-US" w:eastAsia="zh-CN"/>
              </w:rPr>
            </w:pPr>
            <w:r>
              <w:rPr>
                <w:rFonts w:hint="eastAsia" w:ascii="Times New Roman" w:hAnsi="Times New Roman" w:eastAsia="仿宋_GB2312" w:cs="Times New Roman"/>
                <w:color w:val="auto"/>
                <w:sz w:val="24"/>
                <w:szCs w:val="24"/>
                <w:shd w:val="clear" w:color="auto" w:fill="FFFFFF"/>
                <w:vertAlign w:val="baseline"/>
                <w:lang w:val="en-US" w:eastAsia="zh-CN"/>
              </w:rPr>
              <w:t>1、实施期限：</w:t>
            </w:r>
          </w:p>
          <w:p>
            <w:pPr>
              <w:jc w:val="left"/>
              <w:rPr>
                <w:rFonts w:hint="eastAsia" w:ascii="Times New Roman" w:hAnsi="Times New Roman" w:eastAsia="仿宋_GB2312" w:cs="Times New Roman"/>
                <w:color w:val="auto"/>
                <w:sz w:val="24"/>
                <w:szCs w:val="24"/>
                <w:shd w:val="clear" w:color="auto" w:fill="FFFFFF"/>
                <w:vertAlign w:val="baseline"/>
                <w:lang w:val="en-US" w:eastAsia="zh-CN"/>
              </w:rPr>
            </w:pPr>
            <w:r>
              <w:rPr>
                <w:rFonts w:hint="eastAsia" w:ascii="Times New Roman" w:hAnsi="Times New Roman" w:eastAsia="仿宋_GB2312" w:cs="Times New Roman"/>
                <w:color w:val="auto"/>
                <w:sz w:val="24"/>
                <w:szCs w:val="24"/>
                <w:shd w:val="clear" w:color="auto" w:fill="FFFFFF"/>
                <w:vertAlign w:val="baseline"/>
                <w:lang w:val="en-US" w:eastAsia="zh-CN"/>
              </w:rPr>
              <w:t>2024.01-2025.12</w:t>
            </w:r>
          </w:p>
          <w:p>
            <w:pPr>
              <w:jc w:val="left"/>
              <w:rPr>
                <w:rFonts w:hint="eastAsia" w:ascii="Times New Roman" w:hAnsi="Times New Roman" w:eastAsia="仿宋_GB2312" w:cs="Times New Roman"/>
                <w:color w:val="auto"/>
                <w:sz w:val="24"/>
                <w:szCs w:val="24"/>
                <w:shd w:val="clear" w:color="auto" w:fill="FFFFFF"/>
                <w:vertAlign w:val="baseline"/>
                <w:lang w:val="en-US" w:eastAsia="zh-CN"/>
              </w:rPr>
            </w:pPr>
            <w:r>
              <w:rPr>
                <w:rFonts w:hint="eastAsia" w:ascii="Times New Roman" w:hAnsi="Times New Roman" w:eastAsia="仿宋_GB2312" w:cs="Times New Roman"/>
                <w:color w:val="auto"/>
                <w:sz w:val="24"/>
                <w:szCs w:val="24"/>
                <w:shd w:val="clear" w:color="auto" w:fill="FFFFFF"/>
                <w:vertAlign w:val="baseline"/>
                <w:lang w:val="en-US" w:eastAsia="zh-CN"/>
              </w:rPr>
              <w:t>预期成效：项目实施后销售种苗和野生茶实现销售收入800万元，其中种苗销售收入120万元。可以直接带动350户农户，带动面积380亩，直接解决农民就业50人以上，农户增收250万元。</w:t>
            </w:r>
          </w:p>
          <w:p>
            <w:pPr>
              <w:jc w:val="left"/>
              <w:rPr>
                <w:rFonts w:hint="eastAsia" w:ascii="Times New Roman" w:hAnsi="Times New Roman" w:eastAsia="仿宋_GB2312" w:cs="Times New Roman"/>
                <w:color w:val="auto"/>
                <w:sz w:val="24"/>
                <w:szCs w:val="24"/>
                <w:shd w:val="clear" w:color="auto" w:fill="FFFFFF"/>
                <w:vertAlign w:val="baseline"/>
                <w:lang w:val="en-US" w:eastAsia="zh-CN"/>
              </w:rPr>
            </w:pPr>
            <w:r>
              <w:rPr>
                <w:rFonts w:hint="eastAsia" w:ascii="Times New Roman" w:hAnsi="Times New Roman" w:eastAsia="仿宋_GB2312" w:cs="Times New Roman"/>
                <w:color w:val="auto"/>
                <w:sz w:val="24"/>
                <w:szCs w:val="24"/>
                <w:shd w:val="clear" w:color="auto" w:fill="FFFFFF"/>
                <w:vertAlign w:val="baseline"/>
                <w:lang w:val="en-US" w:eastAsia="zh-CN"/>
              </w:rPr>
              <w:t>联系人：双牌湖湘农林业发展有限公司，唐满玉15581378016；</w:t>
            </w:r>
          </w:p>
          <w:p>
            <w:pPr>
              <w:jc w:val="left"/>
              <w:rPr>
                <w:rFonts w:hint="eastAsia" w:ascii="Times New Roman" w:hAnsi="Times New Roman" w:eastAsia="仿宋_GB2312" w:cs="Times New Roman"/>
                <w:color w:val="auto"/>
                <w:sz w:val="24"/>
                <w:szCs w:val="24"/>
                <w:shd w:val="clear" w:color="auto" w:fill="FFFFFF"/>
                <w:vertAlign w:val="baseline"/>
                <w:lang w:val="en-US" w:eastAsia="zh-CN"/>
              </w:rPr>
            </w:pPr>
            <w:r>
              <w:rPr>
                <w:rFonts w:hint="eastAsia" w:ascii="Times New Roman" w:hAnsi="Times New Roman" w:eastAsia="仿宋_GB2312" w:cs="Times New Roman"/>
                <w:color w:val="auto"/>
                <w:sz w:val="24"/>
                <w:szCs w:val="24"/>
                <w:shd w:val="clear" w:color="auto" w:fill="FFFFFF"/>
                <w:vertAlign w:val="baseline"/>
                <w:lang w:val="en-US" w:eastAsia="zh-CN"/>
              </w:rPr>
              <w:t>邮箱：2565887204@qq.com</w:t>
            </w:r>
          </w:p>
          <w:p>
            <w:pPr>
              <w:jc w:val="left"/>
              <w:rPr>
                <w:rFonts w:hint="eastAsia" w:ascii="Times New Roman" w:hAnsi="Times New Roman" w:eastAsia="仿宋_GB2312" w:cs="Times New Roman"/>
                <w:color w:val="auto"/>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6" w:hRule="atLeast"/>
        </w:trPr>
        <w:tc>
          <w:tcPr>
            <w:tcW w:w="870" w:type="dxa"/>
            <w:noWrap w:val="0"/>
            <w:vAlign w:val="center"/>
          </w:tcPr>
          <w:p>
            <w:pPr>
              <w:jc w:val="center"/>
              <w:rPr>
                <w:rFonts w:hint="default" w:eastAsia="宋体"/>
                <w:sz w:val="22"/>
                <w:szCs w:val="22"/>
                <w:lang w:val="en-US" w:eastAsia="zh-CN"/>
              </w:rPr>
            </w:pPr>
            <w:r>
              <w:rPr>
                <w:rFonts w:hint="eastAsia"/>
                <w:sz w:val="22"/>
                <w:szCs w:val="22"/>
                <w:lang w:val="en-US" w:eastAsia="zh-CN"/>
              </w:rPr>
              <w:t>3</w:t>
            </w:r>
          </w:p>
        </w:tc>
        <w:tc>
          <w:tcPr>
            <w:tcW w:w="2041" w:type="dxa"/>
            <w:noWrap w:val="0"/>
            <w:vAlign w:val="center"/>
          </w:tcPr>
          <w:p>
            <w:pPr>
              <w:jc w:val="both"/>
              <w:rPr>
                <w:rFonts w:hint="eastAsia" w:ascii="仿宋_GB2312" w:hAnsi="Arial" w:eastAsia="仿宋_GB2312" w:cs="Arial"/>
                <w:color w:val="auto"/>
                <w:kern w:val="0"/>
                <w:sz w:val="24"/>
                <w:lang w:eastAsia="zh-CN"/>
              </w:rPr>
            </w:pPr>
            <w:r>
              <w:rPr>
                <w:rFonts w:hint="eastAsia" w:ascii="仿宋_GB2312" w:hAnsi="Arial" w:eastAsia="仿宋_GB2312" w:cs="Arial"/>
                <w:color w:val="auto"/>
                <w:kern w:val="0"/>
                <w:sz w:val="24"/>
                <w:lang w:eastAsia="zh-CN"/>
              </w:rPr>
              <w:t>绿色长效竹材防霉技术研发及应用</w:t>
            </w:r>
          </w:p>
          <w:p>
            <w:pPr>
              <w:pStyle w:val="5"/>
              <w:jc w:val="both"/>
              <w:rPr>
                <w:rFonts w:hint="eastAsia" w:ascii="仿宋_GB2312" w:hAnsi="宋体" w:eastAsia="仿宋_GB2312" w:cs="仿宋_GB2312"/>
                <w:color w:val="auto"/>
                <w:kern w:val="0"/>
                <w:sz w:val="22"/>
                <w:szCs w:val="22"/>
                <w:lang w:val="en-US" w:eastAsia="zh-CN" w:bidi="ar"/>
              </w:rPr>
            </w:pPr>
            <w:r>
              <w:rPr>
                <w:rFonts w:hint="eastAsia" w:ascii="仿宋_GB2312" w:hAnsi="宋体" w:eastAsia="仿宋_GB2312" w:cs="仿宋_GB2312"/>
                <w:color w:val="auto"/>
                <w:kern w:val="0"/>
                <w:sz w:val="22"/>
                <w:szCs w:val="22"/>
                <w:lang w:val="en-US" w:eastAsia="zh-CN" w:bidi="ar"/>
              </w:rPr>
              <w:t>项目总投资150万</w:t>
            </w:r>
          </w:p>
          <w:p>
            <w:pPr>
              <w:pStyle w:val="5"/>
              <w:jc w:val="both"/>
              <w:rPr>
                <w:rFonts w:hint="default" w:ascii="仿宋_GB2312" w:hAnsi="宋体" w:eastAsia="仿宋_GB2312" w:cs="仿宋_GB2312"/>
                <w:color w:val="auto"/>
                <w:kern w:val="0"/>
                <w:sz w:val="22"/>
                <w:szCs w:val="22"/>
                <w:lang w:val="en-US" w:eastAsia="zh-CN" w:bidi="ar"/>
              </w:rPr>
            </w:pPr>
            <w:r>
              <w:rPr>
                <w:rFonts w:hint="eastAsia" w:ascii="仿宋_GB2312" w:hAnsi="宋体" w:eastAsia="仿宋_GB2312" w:cs="仿宋_GB2312"/>
                <w:color w:val="auto"/>
                <w:kern w:val="0"/>
                <w:sz w:val="22"/>
                <w:szCs w:val="22"/>
                <w:lang w:val="en-US" w:eastAsia="zh-CN" w:bidi="ar"/>
              </w:rPr>
              <w:t>研发总额100万</w:t>
            </w:r>
          </w:p>
          <w:p>
            <w:pPr>
              <w:jc w:val="both"/>
              <w:rPr>
                <w:rFonts w:hint="eastAsia" w:ascii="Times New Roman" w:hAnsi="Times New Roman" w:eastAsia="仿宋_GB2312" w:cs="Times New Roman"/>
                <w:color w:val="auto"/>
                <w:kern w:val="2"/>
                <w:sz w:val="22"/>
                <w:szCs w:val="22"/>
                <w:shd w:val="clear" w:color="auto" w:fill="FFFFFF"/>
                <w:vertAlign w:val="baseline"/>
                <w:lang w:val="en-US" w:eastAsia="zh-CN" w:bidi="ar-SA"/>
              </w:rPr>
            </w:pPr>
          </w:p>
        </w:tc>
        <w:tc>
          <w:tcPr>
            <w:tcW w:w="6495" w:type="dxa"/>
            <w:noWrap w:val="0"/>
            <w:vAlign w:val="center"/>
          </w:tcPr>
          <w:p>
            <w:pPr>
              <w:widowControl/>
              <w:jc w:val="both"/>
              <w:rPr>
                <w:rFonts w:hint="eastAsia" w:ascii="仿宋_GB2312" w:hAnsi="宋体" w:eastAsia="仿宋_GB2312" w:cs="仿宋_GB2312"/>
                <w:color w:val="auto"/>
                <w:kern w:val="0"/>
                <w:sz w:val="24"/>
                <w:lang w:eastAsia="zh-CN" w:bidi="ar"/>
              </w:rPr>
            </w:pPr>
            <w:r>
              <w:rPr>
                <w:rFonts w:hint="eastAsia" w:ascii="仿宋_GB2312" w:hAnsi="宋体" w:eastAsia="仿宋_GB2312" w:cs="仿宋_GB2312"/>
                <w:color w:val="auto"/>
                <w:kern w:val="0"/>
                <w:sz w:val="24"/>
                <w:lang w:bidi="ar"/>
              </w:rPr>
              <w:t>1、</w:t>
            </w:r>
            <w:r>
              <w:rPr>
                <w:rFonts w:hint="eastAsia" w:ascii="仿宋_GB2312" w:hAnsi="宋体" w:eastAsia="仿宋_GB2312" w:cs="仿宋_GB2312"/>
                <w:color w:val="auto"/>
                <w:kern w:val="0"/>
                <w:sz w:val="24"/>
                <w:lang w:eastAsia="zh-CN" w:bidi="ar"/>
              </w:rPr>
              <w:t>研发</w:t>
            </w:r>
            <w:r>
              <w:rPr>
                <w:rFonts w:hint="eastAsia" w:ascii="仿宋_GB2312" w:hAnsi="宋体" w:eastAsia="仿宋_GB2312" w:cs="仿宋_GB2312"/>
                <w:color w:val="auto"/>
                <w:kern w:val="0"/>
                <w:sz w:val="24"/>
                <w:lang w:val="en-US" w:eastAsia="zh-CN" w:bidi="ar"/>
              </w:rPr>
              <w:t>1-2款防治效力高、渗透性强、稳定性高的水性绿色有机竹材防霉剂</w:t>
            </w:r>
            <w:r>
              <w:rPr>
                <w:rFonts w:hint="eastAsia" w:ascii="仿宋_GB2312" w:hAnsi="宋体" w:eastAsia="仿宋_GB2312" w:cs="仿宋_GB2312"/>
                <w:color w:val="auto"/>
                <w:kern w:val="0"/>
                <w:sz w:val="24"/>
                <w:lang w:eastAsia="zh-CN" w:bidi="ar"/>
              </w:rPr>
              <w:t>；</w:t>
            </w:r>
          </w:p>
          <w:p>
            <w:pPr>
              <w:pStyle w:val="5"/>
              <w:jc w:val="both"/>
              <w:rPr>
                <w:rFonts w:ascii="仿宋_GB2312" w:eastAsia="仿宋_GB2312"/>
                <w:color w:val="auto"/>
              </w:rPr>
            </w:pPr>
            <w:r>
              <w:rPr>
                <w:rFonts w:hint="eastAsia" w:ascii="仿宋_GB2312" w:eastAsia="仿宋_GB2312"/>
                <w:color w:val="auto"/>
              </w:rPr>
              <w:t>2、</w:t>
            </w:r>
            <w:r>
              <w:rPr>
                <w:rFonts w:hint="eastAsia" w:ascii="仿宋_GB2312" w:eastAsia="仿宋_GB2312"/>
                <w:color w:val="auto"/>
                <w:lang w:eastAsia="zh-CN"/>
              </w:rPr>
              <w:t>研究不同浸渍条件对改性竹材的霉变防治效力及流失率的内在影响，优化微乳液型有机竹材浸渍工艺参数；</w:t>
            </w:r>
          </w:p>
          <w:p>
            <w:pPr>
              <w:pStyle w:val="5"/>
              <w:jc w:val="both"/>
              <w:rPr>
                <w:rFonts w:ascii="仿宋_GB2312" w:eastAsia="仿宋_GB2312"/>
                <w:color w:val="auto"/>
              </w:rPr>
            </w:pPr>
            <w:r>
              <w:rPr>
                <w:rFonts w:hint="eastAsia" w:ascii="仿宋_GB2312" w:eastAsia="仿宋_GB2312"/>
                <w:color w:val="auto"/>
              </w:rPr>
              <w:t>3、</w:t>
            </w:r>
            <w:r>
              <w:rPr>
                <w:rFonts w:hint="eastAsia" w:ascii="仿宋_GB2312" w:eastAsia="仿宋_GB2312"/>
                <w:color w:val="auto"/>
                <w:lang w:eastAsia="zh-CN"/>
              </w:rPr>
              <w:t>建立涵盖防霉剂渗透深度、流失率及霉变防治效力的综合模型，并制定竹材防霉处理的企业标准；</w:t>
            </w:r>
          </w:p>
          <w:p>
            <w:pPr>
              <w:pStyle w:val="5"/>
              <w:jc w:val="both"/>
              <w:rPr>
                <w:rFonts w:hint="eastAsia" w:ascii="仿宋_GB2312" w:hAnsi="宋体" w:eastAsia="仿宋_GB2312" w:cs="仿宋_GB2312"/>
                <w:color w:val="auto"/>
                <w:kern w:val="0"/>
                <w:sz w:val="22"/>
                <w:szCs w:val="22"/>
                <w:lang w:val="en-US" w:eastAsia="zh-CN" w:bidi="ar"/>
              </w:rPr>
            </w:pPr>
            <w:r>
              <w:rPr>
                <w:rFonts w:hint="eastAsia" w:ascii="仿宋_GB2312" w:eastAsia="仿宋_GB2312"/>
                <w:color w:val="auto"/>
              </w:rPr>
              <w:t>4、</w:t>
            </w:r>
            <w:r>
              <w:rPr>
                <w:rFonts w:hint="eastAsia" w:ascii="仿宋_GB2312" w:eastAsia="仿宋_GB2312"/>
                <w:color w:val="auto"/>
                <w:lang w:eastAsia="zh-CN"/>
              </w:rPr>
              <w:t>揭示不同浸渍防霉改性条件对竹材表面不同性能的影响规律，系统评价微乳液型有机竹材防霉体系的综合性能</w:t>
            </w:r>
            <w:r>
              <w:rPr>
                <w:rFonts w:hint="eastAsia" w:ascii="仿宋_GB2312" w:hAnsi="仿宋_GB2312" w:eastAsia="仿宋_GB2312" w:cs="仿宋_GB2312"/>
                <w:bCs/>
                <w:color w:val="auto"/>
              </w:rPr>
              <w:t>。</w:t>
            </w:r>
          </w:p>
        </w:tc>
        <w:tc>
          <w:tcPr>
            <w:tcW w:w="3315" w:type="dxa"/>
            <w:noWrap w:val="0"/>
            <w:vAlign w:val="center"/>
          </w:tcPr>
          <w:p>
            <w:pPr>
              <w:pStyle w:val="5"/>
              <w:spacing w:line="280" w:lineRule="exact"/>
              <w:jc w:val="left"/>
              <w:rPr>
                <w:rFonts w:hint="eastAsia" w:ascii="Times New Roman" w:hAnsi="Times New Roman" w:eastAsia="仿宋_GB2312" w:cs="Times New Roman"/>
                <w:bCs/>
                <w:color w:val="auto"/>
              </w:rPr>
            </w:pPr>
            <w:r>
              <w:rPr>
                <w:rFonts w:hint="eastAsia" w:ascii="Times New Roman" w:hAnsi="Times New Roman" w:eastAsia="仿宋_GB2312" w:cs="Times New Roman"/>
                <w:bCs/>
                <w:color w:val="auto"/>
              </w:rPr>
              <w:t>1、</w:t>
            </w:r>
            <w:r>
              <w:rPr>
                <w:rFonts w:hint="eastAsia" w:ascii="Times New Roman" w:hAnsi="Times New Roman" w:eastAsia="仿宋_GB2312" w:cs="Times New Roman"/>
                <w:bCs/>
                <w:color w:val="auto"/>
                <w:lang w:eastAsia="zh-CN"/>
              </w:rPr>
              <w:t>开发</w:t>
            </w:r>
            <w:r>
              <w:rPr>
                <w:rFonts w:hint="eastAsia" w:ascii="Times New Roman" w:hAnsi="Times New Roman" w:eastAsia="仿宋_GB2312" w:cs="Times New Roman"/>
                <w:bCs/>
                <w:color w:val="auto"/>
                <w:lang w:val="en-US" w:eastAsia="zh-CN"/>
              </w:rPr>
              <w:t>1-2款绿色高效有机竹材防霉剂，杀菌有效成分含量达20%以上，实验室霉变防治效力达100%，平均粒径低于30nm，吸液率达30%，防霉剂储藏稳定性超过3个月</w:t>
            </w:r>
            <w:r>
              <w:rPr>
                <w:rFonts w:hint="eastAsia" w:ascii="Times New Roman" w:hAnsi="Times New Roman" w:eastAsia="仿宋_GB2312" w:cs="Times New Roman"/>
                <w:bCs/>
                <w:color w:val="auto"/>
              </w:rPr>
              <w:t>；</w:t>
            </w:r>
          </w:p>
          <w:p>
            <w:pPr>
              <w:pStyle w:val="5"/>
              <w:spacing w:line="280" w:lineRule="exact"/>
              <w:jc w:val="left"/>
              <w:rPr>
                <w:rFonts w:hint="eastAsia" w:ascii="Times New Roman" w:hAnsi="Times New Roman" w:eastAsia="仿宋_GB2312" w:cs="Times New Roman"/>
                <w:bCs/>
                <w:color w:val="auto"/>
              </w:rPr>
            </w:pPr>
            <w:r>
              <w:rPr>
                <w:rFonts w:hint="eastAsia" w:ascii="Times New Roman" w:hAnsi="Times New Roman" w:eastAsia="仿宋_GB2312" w:cs="Times New Roman"/>
                <w:bCs/>
                <w:color w:val="auto"/>
                <w:lang w:val="en-US" w:eastAsia="zh-CN"/>
              </w:rPr>
              <w:t>2</w:t>
            </w:r>
            <w:r>
              <w:rPr>
                <w:rFonts w:hint="eastAsia" w:ascii="Times New Roman" w:hAnsi="Times New Roman" w:eastAsia="仿宋_GB2312" w:cs="Times New Roman"/>
                <w:bCs/>
                <w:color w:val="auto"/>
              </w:rPr>
              <w:t>、</w:t>
            </w:r>
            <w:r>
              <w:rPr>
                <w:rFonts w:hint="eastAsia" w:ascii="Times New Roman" w:hAnsi="Times New Roman" w:eastAsia="仿宋_GB2312" w:cs="Times New Roman"/>
                <w:bCs/>
                <w:color w:val="auto"/>
                <w:lang w:eastAsia="zh-CN"/>
              </w:rPr>
              <w:t>制定</w:t>
            </w:r>
            <w:r>
              <w:rPr>
                <w:rFonts w:hint="eastAsia" w:ascii="Times New Roman" w:hAnsi="Times New Roman" w:eastAsia="仿宋_GB2312" w:cs="Times New Roman"/>
                <w:bCs/>
                <w:color w:val="auto"/>
                <w:lang w:val="en-US" w:eastAsia="zh-CN"/>
              </w:rPr>
              <w:t>1套竹地板防霉处理的企业标准</w:t>
            </w:r>
            <w:r>
              <w:rPr>
                <w:rFonts w:hint="eastAsia" w:ascii="Times New Roman" w:hAnsi="Times New Roman" w:eastAsia="仿宋_GB2312" w:cs="Times New Roman"/>
                <w:bCs/>
                <w:color w:val="auto"/>
              </w:rPr>
              <w:t>；</w:t>
            </w:r>
          </w:p>
          <w:p>
            <w:pPr>
              <w:pStyle w:val="5"/>
              <w:numPr>
                <w:ilvl w:val="0"/>
                <w:numId w:val="0"/>
              </w:numPr>
              <w:jc w:val="left"/>
              <w:rPr>
                <w:rFonts w:hint="eastAsia" w:ascii="仿宋_GB2312" w:hAnsi="仿宋_GB2312" w:eastAsia="仿宋_GB2312" w:cs="仿宋_GB2312"/>
                <w:color w:val="auto"/>
                <w:kern w:val="2"/>
                <w:lang w:val="en-US" w:eastAsia="zh-CN"/>
              </w:rPr>
            </w:pPr>
            <w:r>
              <w:rPr>
                <w:rFonts w:hint="eastAsia" w:ascii="仿宋_GB2312" w:hAnsi="仿宋_GB2312" w:eastAsia="仿宋_GB2312" w:cs="仿宋_GB2312"/>
                <w:color w:val="auto"/>
                <w:kern w:val="2"/>
                <w:lang w:val="en-US" w:eastAsia="zh-CN"/>
              </w:rPr>
              <w:t>3、指导建设年产3万立方防霉竹材生产线1条；</w:t>
            </w:r>
          </w:p>
          <w:p>
            <w:pPr>
              <w:pStyle w:val="5"/>
              <w:numPr>
                <w:ilvl w:val="0"/>
                <w:numId w:val="0"/>
              </w:numPr>
              <w:jc w:val="left"/>
              <w:rPr>
                <w:rFonts w:hint="default" w:ascii="仿宋_GB2312" w:hAnsi="仿宋_GB2312" w:eastAsia="仿宋_GB2312" w:cs="仿宋_GB2312"/>
                <w:color w:val="auto"/>
                <w:kern w:val="2"/>
                <w:lang w:val="en-US" w:eastAsia="zh-CN"/>
              </w:rPr>
            </w:pPr>
            <w:r>
              <w:rPr>
                <w:rFonts w:hint="eastAsia" w:ascii="仿宋_GB2312" w:hAnsi="仿宋_GB2312" w:eastAsia="仿宋_GB2312" w:cs="仿宋_GB2312"/>
                <w:color w:val="auto"/>
                <w:kern w:val="2"/>
                <w:lang w:val="en-US" w:eastAsia="zh-CN"/>
              </w:rPr>
              <w:t>4、撰写竹材防霉相关的学术论文1-2篇，申请发明专利2件。</w:t>
            </w:r>
          </w:p>
          <w:p>
            <w:pPr>
              <w:pStyle w:val="5"/>
              <w:spacing w:line="280" w:lineRule="exact"/>
              <w:ind w:firstLine="440" w:firstLineChars="200"/>
              <w:jc w:val="left"/>
              <w:rPr>
                <w:rFonts w:hint="eastAsia" w:ascii="仿宋_GB2312" w:hAnsi="宋体" w:eastAsia="仿宋_GB2312" w:cs="仿宋_GB2312"/>
                <w:color w:val="auto"/>
                <w:kern w:val="0"/>
                <w:sz w:val="22"/>
                <w:szCs w:val="22"/>
                <w:lang w:val="en-US" w:eastAsia="zh-CN" w:bidi="ar"/>
              </w:rPr>
            </w:pPr>
          </w:p>
        </w:tc>
        <w:tc>
          <w:tcPr>
            <w:tcW w:w="2210" w:type="dxa"/>
            <w:noWrap w:val="0"/>
            <w:vAlign w:val="center"/>
          </w:tcPr>
          <w:p>
            <w:pPr>
              <w:pStyle w:val="5"/>
              <w:jc w:val="left"/>
              <w:rPr>
                <w:rFonts w:hint="eastAsia" w:ascii="仿宋_GB2312" w:hAnsi="仿宋_GB2312" w:eastAsia="仿宋_GB2312" w:cs="仿宋_GB2312"/>
                <w:bCs/>
                <w:color w:val="auto"/>
              </w:rPr>
            </w:pPr>
            <w:r>
              <w:rPr>
                <w:rFonts w:hint="eastAsia" w:ascii="仿宋_GB2312" w:hAnsi="仿宋_GB2312" w:eastAsia="仿宋_GB2312" w:cs="仿宋_GB2312"/>
                <w:bCs/>
                <w:color w:val="auto"/>
              </w:rPr>
              <w:t>1、实施期限：</w:t>
            </w:r>
          </w:p>
          <w:p>
            <w:pPr>
              <w:pStyle w:val="5"/>
              <w:jc w:val="left"/>
              <w:rPr>
                <w:rFonts w:hint="eastAsia" w:ascii="仿宋_GB2312" w:hAnsi="仿宋_GB2312" w:eastAsia="仿宋_GB2312" w:cs="仿宋_GB2312"/>
                <w:bCs/>
                <w:color w:val="auto"/>
                <w:lang w:val="en-US" w:eastAsia="zh-CN"/>
              </w:rPr>
            </w:pPr>
            <w:r>
              <w:rPr>
                <w:rFonts w:hint="eastAsia" w:ascii="仿宋_GB2312" w:hAnsi="仿宋_GB2312" w:eastAsia="仿宋_GB2312" w:cs="仿宋_GB2312"/>
                <w:bCs/>
                <w:color w:val="auto"/>
              </w:rPr>
              <w:t>202</w:t>
            </w:r>
            <w:r>
              <w:rPr>
                <w:rFonts w:hint="eastAsia" w:ascii="仿宋_GB2312" w:hAnsi="仿宋_GB2312" w:eastAsia="仿宋_GB2312" w:cs="仿宋_GB2312"/>
                <w:bCs/>
                <w:color w:val="auto"/>
                <w:lang w:val="en-US" w:eastAsia="zh-CN"/>
              </w:rPr>
              <w:t>4</w:t>
            </w:r>
            <w:r>
              <w:rPr>
                <w:rFonts w:hint="eastAsia" w:ascii="仿宋_GB2312" w:hAnsi="仿宋_GB2312" w:eastAsia="仿宋_GB2312" w:cs="仿宋_GB2312"/>
                <w:bCs/>
                <w:color w:val="auto"/>
              </w:rPr>
              <w:t>.0</w:t>
            </w:r>
            <w:r>
              <w:rPr>
                <w:rFonts w:hint="eastAsia" w:ascii="仿宋_GB2312" w:hAnsi="仿宋_GB2312" w:eastAsia="仿宋_GB2312" w:cs="仿宋_GB2312"/>
                <w:bCs/>
                <w:color w:val="auto"/>
                <w:lang w:val="en-US" w:eastAsia="zh-CN"/>
              </w:rPr>
              <w:t>1</w:t>
            </w:r>
            <w:r>
              <w:rPr>
                <w:rFonts w:hint="eastAsia" w:ascii="仿宋_GB2312" w:hAnsi="仿宋_GB2312" w:eastAsia="仿宋_GB2312" w:cs="仿宋_GB2312"/>
                <w:bCs/>
                <w:color w:val="auto"/>
              </w:rPr>
              <w:t>-202</w:t>
            </w:r>
            <w:r>
              <w:rPr>
                <w:rFonts w:hint="eastAsia" w:ascii="仿宋_GB2312" w:hAnsi="仿宋_GB2312" w:eastAsia="仿宋_GB2312" w:cs="仿宋_GB2312"/>
                <w:bCs/>
                <w:color w:val="auto"/>
                <w:lang w:val="en-US" w:eastAsia="zh-CN"/>
              </w:rPr>
              <w:t>6</w:t>
            </w:r>
            <w:r>
              <w:rPr>
                <w:rFonts w:hint="eastAsia" w:ascii="仿宋_GB2312" w:hAnsi="仿宋_GB2312" w:eastAsia="仿宋_GB2312" w:cs="仿宋_GB2312"/>
                <w:bCs/>
                <w:color w:val="auto"/>
              </w:rPr>
              <w:t>.</w:t>
            </w:r>
            <w:r>
              <w:rPr>
                <w:rFonts w:hint="eastAsia" w:ascii="仿宋_GB2312" w:hAnsi="仿宋_GB2312" w:eastAsia="仿宋_GB2312" w:cs="仿宋_GB2312"/>
                <w:bCs/>
                <w:color w:val="auto"/>
                <w:lang w:val="en-US" w:eastAsia="zh-CN"/>
              </w:rPr>
              <w:t>12</w:t>
            </w:r>
          </w:p>
          <w:p>
            <w:pPr>
              <w:pStyle w:val="5"/>
              <w:jc w:val="left"/>
              <w:rPr>
                <w:rFonts w:hint="eastAsia" w:ascii="仿宋_GB2312" w:hAnsi="仿宋_GB2312" w:eastAsia="仿宋_GB2312" w:cs="仿宋_GB2312"/>
                <w:bCs/>
                <w:color w:val="auto"/>
              </w:rPr>
            </w:pPr>
            <w:r>
              <w:rPr>
                <w:rFonts w:hint="eastAsia" w:ascii="仿宋_GB2312" w:hAnsi="仿宋_GB2312" w:eastAsia="仿宋_GB2312" w:cs="仿宋_GB2312"/>
                <w:bCs/>
                <w:color w:val="auto"/>
              </w:rPr>
              <w:t>2、预期成效：新增年产值</w:t>
            </w:r>
            <w:r>
              <w:rPr>
                <w:rFonts w:hint="eastAsia" w:ascii="仿宋_GB2312" w:hAnsi="仿宋_GB2312" w:eastAsia="仿宋_GB2312" w:cs="仿宋_GB2312"/>
                <w:bCs/>
                <w:color w:val="auto"/>
                <w:lang w:val="en-US" w:eastAsia="zh-CN"/>
              </w:rPr>
              <w:t>5</w:t>
            </w:r>
            <w:r>
              <w:rPr>
                <w:rFonts w:hint="eastAsia" w:ascii="仿宋_GB2312" w:hAnsi="仿宋_GB2312" w:eastAsia="仿宋_GB2312" w:cs="仿宋_GB2312"/>
                <w:bCs/>
                <w:color w:val="auto"/>
              </w:rPr>
              <w:t>000万元；新增年税收</w:t>
            </w:r>
            <w:r>
              <w:rPr>
                <w:rFonts w:hint="eastAsia" w:ascii="仿宋_GB2312" w:hAnsi="仿宋_GB2312" w:eastAsia="仿宋_GB2312" w:cs="仿宋_GB2312"/>
                <w:bCs/>
                <w:color w:val="auto"/>
                <w:lang w:val="en-US" w:eastAsia="zh-CN"/>
              </w:rPr>
              <w:t>500</w:t>
            </w:r>
            <w:r>
              <w:rPr>
                <w:rFonts w:hint="eastAsia" w:ascii="仿宋_GB2312" w:hAnsi="仿宋_GB2312" w:eastAsia="仿宋_GB2312" w:cs="仿宋_GB2312"/>
                <w:bCs/>
                <w:color w:val="auto"/>
              </w:rPr>
              <w:t>万元。</w:t>
            </w:r>
          </w:p>
          <w:p>
            <w:pPr>
              <w:pStyle w:val="5"/>
              <w:jc w:val="left"/>
              <w:rPr>
                <w:rFonts w:hint="eastAsia" w:ascii="仿宋_GB2312" w:hAnsi="仿宋_GB2312" w:eastAsia="仿宋_GB2312" w:cs="仿宋_GB2312"/>
                <w:b w:val="0"/>
                <w:bCs/>
                <w:strike w:val="0"/>
                <w:dstrike w:val="0"/>
                <w:color w:val="auto"/>
                <w:kern w:val="2"/>
                <w:sz w:val="22"/>
                <w:szCs w:val="22"/>
                <w:lang w:val="en-US" w:eastAsia="zh-CN" w:bidi="ar-SA"/>
              </w:rPr>
            </w:pPr>
            <w:r>
              <w:rPr>
                <w:rFonts w:hint="eastAsia" w:ascii="仿宋_GB2312" w:hAnsi="仿宋_GB2312" w:eastAsia="仿宋_GB2312" w:cs="仿宋_GB2312"/>
                <w:bCs/>
                <w:color w:val="auto"/>
              </w:rPr>
              <w:t>3、联系人：</w:t>
            </w:r>
            <w:r>
              <w:rPr>
                <w:rFonts w:hint="eastAsia" w:ascii="仿宋_GB2312" w:hAnsi="仿宋_GB2312" w:eastAsia="仿宋_GB2312" w:cs="仿宋_GB2312"/>
                <w:bCs/>
                <w:color w:val="auto"/>
                <w:lang w:val="en-US" w:eastAsia="zh-CN"/>
              </w:rPr>
              <w:t>湖南阳明竹咏科技有限公司</w:t>
            </w:r>
            <w:r>
              <w:rPr>
                <w:rFonts w:hint="eastAsia" w:ascii="仿宋_GB2312" w:hAnsi="仿宋_GB2312" w:eastAsia="仿宋_GB2312" w:cs="仿宋_GB2312"/>
                <w:bCs/>
                <w:color w:val="auto"/>
                <w:lang w:eastAsia="zh-CN"/>
              </w:rPr>
              <w:t>，陶祖起，</w:t>
            </w:r>
            <w:r>
              <w:rPr>
                <w:rFonts w:hint="eastAsia" w:ascii="仿宋_GB2312" w:hAnsi="仿宋_GB2312" w:eastAsia="仿宋_GB2312" w:cs="仿宋_GB2312"/>
                <w:bCs/>
                <w:color w:val="auto"/>
                <w:lang w:val="en-US" w:eastAsia="zh-CN"/>
              </w:rPr>
              <w:t>17300749897。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6" w:hRule="atLeast"/>
        </w:trPr>
        <w:tc>
          <w:tcPr>
            <w:tcW w:w="870" w:type="dxa"/>
            <w:noWrap w:val="0"/>
            <w:vAlign w:val="center"/>
          </w:tcPr>
          <w:p>
            <w:pPr>
              <w:jc w:val="center"/>
              <w:rPr>
                <w:rFonts w:hint="default"/>
                <w:sz w:val="22"/>
                <w:szCs w:val="22"/>
                <w:lang w:val="en-US" w:eastAsia="zh-CN"/>
              </w:rPr>
            </w:pPr>
            <w:r>
              <w:rPr>
                <w:rFonts w:hint="eastAsia"/>
                <w:sz w:val="22"/>
                <w:szCs w:val="22"/>
                <w:lang w:val="en-US" w:eastAsia="zh-CN"/>
              </w:rPr>
              <w:t>4</w:t>
            </w:r>
          </w:p>
        </w:tc>
        <w:tc>
          <w:tcPr>
            <w:tcW w:w="2041" w:type="dxa"/>
            <w:noWrap w:val="0"/>
            <w:vAlign w:val="center"/>
          </w:tcPr>
          <w:p>
            <w:pPr>
              <w:jc w:val="left"/>
              <w:rPr>
                <w:rFonts w:hint="eastAsia" w:ascii="Times New Roman" w:hAnsi="Times New Roman" w:eastAsia="仿宋_GB2312" w:cs="Times New Roman"/>
                <w:color w:val="auto"/>
                <w:sz w:val="24"/>
                <w:szCs w:val="24"/>
                <w:shd w:val="clear" w:color="auto" w:fill="FFFFFF"/>
                <w:vertAlign w:val="baseline"/>
                <w:lang w:val="en-US" w:eastAsia="zh-CN"/>
              </w:rPr>
            </w:pPr>
            <w:r>
              <w:rPr>
                <w:rFonts w:hint="eastAsia" w:ascii="Times New Roman" w:hAnsi="Times New Roman" w:eastAsia="仿宋_GB2312" w:cs="Times New Roman"/>
                <w:color w:val="auto"/>
                <w:sz w:val="24"/>
                <w:szCs w:val="24"/>
                <w:shd w:val="clear" w:color="auto" w:fill="FFFFFF"/>
                <w:vertAlign w:val="baseline"/>
                <w:lang w:val="en-US" w:eastAsia="zh-CN"/>
              </w:rPr>
              <w:t>金银花及山银花提取物（绿原酸）深度开发与利用</w:t>
            </w:r>
          </w:p>
          <w:p>
            <w:pPr>
              <w:pStyle w:val="5"/>
              <w:jc w:val="both"/>
              <w:rPr>
                <w:rFonts w:hint="default"/>
                <w:color w:val="FF0000"/>
                <w:lang w:val="en-US" w:eastAsia="zh-CN"/>
              </w:rPr>
            </w:pPr>
            <w:r>
              <w:rPr>
                <w:rFonts w:hint="eastAsia" w:ascii="Times New Roman" w:hAnsi="Times New Roman" w:eastAsia="仿宋_GB2312" w:cs="Times New Roman"/>
                <w:color w:val="FF0000"/>
                <w:sz w:val="24"/>
                <w:szCs w:val="24"/>
                <w:shd w:val="clear" w:color="auto" w:fill="FFFFFF"/>
                <w:vertAlign w:val="baseline"/>
                <w:lang w:val="en-US" w:eastAsia="zh-CN"/>
              </w:rPr>
              <w:t>项目总投资120万</w:t>
            </w:r>
          </w:p>
          <w:p>
            <w:pPr>
              <w:pStyle w:val="5"/>
              <w:jc w:val="left"/>
              <w:rPr>
                <w:rFonts w:hint="eastAsia" w:ascii="Times New Roman" w:hAnsi="Times New Roman" w:eastAsia="仿宋_GB2312" w:cs="Times New Roman"/>
                <w:color w:val="auto"/>
                <w:kern w:val="2"/>
                <w:sz w:val="22"/>
                <w:szCs w:val="22"/>
                <w:shd w:val="clear" w:color="auto" w:fill="FFFFFF"/>
                <w:vertAlign w:val="baseline"/>
                <w:lang w:val="en-US" w:eastAsia="zh-CN" w:bidi="ar-SA"/>
              </w:rPr>
            </w:pPr>
            <w:r>
              <w:rPr>
                <w:rFonts w:hint="eastAsia" w:ascii="Times New Roman" w:hAnsi="Times New Roman" w:eastAsia="仿宋_GB2312" w:cs="Times New Roman"/>
                <w:color w:val="FF0000"/>
                <w:sz w:val="24"/>
                <w:szCs w:val="24"/>
                <w:shd w:val="clear" w:color="auto" w:fill="FFFFFF"/>
                <w:vertAlign w:val="baseline"/>
                <w:lang w:val="en-US" w:eastAsia="zh-CN"/>
              </w:rPr>
              <w:t>研发总额80万</w:t>
            </w:r>
          </w:p>
        </w:tc>
        <w:tc>
          <w:tcPr>
            <w:tcW w:w="6495" w:type="dxa"/>
            <w:noWrap w:val="0"/>
            <w:vAlign w:val="center"/>
          </w:tcPr>
          <w:p>
            <w:pPr>
              <w:jc w:val="left"/>
              <w:rPr>
                <w:rFonts w:hint="default" w:ascii="Times New Roman" w:hAnsi="Times New Roman" w:eastAsia="仿宋_GB2312" w:cs="Times New Roman"/>
                <w:color w:val="auto"/>
                <w:sz w:val="24"/>
                <w:szCs w:val="24"/>
                <w:shd w:val="clear" w:color="auto" w:fill="FFFFFF"/>
                <w:vertAlign w:val="baseline"/>
                <w:lang w:val="en-US" w:eastAsia="zh-CN"/>
              </w:rPr>
            </w:pPr>
            <w:r>
              <w:rPr>
                <w:rFonts w:hint="eastAsia" w:ascii="Times New Roman" w:hAnsi="Times New Roman" w:eastAsia="仿宋_GB2312" w:cs="Times New Roman"/>
                <w:color w:val="auto"/>
                <w:sz w:val="24"/>
                <w:szCs w:val="24"/>
                <w:shd w:val="clear" w:color="auto" w:fill="FFFFFF"/>
                <w:vertAlign w:val="baseline"/>
                <w:lang w:val="en-US" w:eastAsia="zh-CN"/>
              </w:rPr>
              <w:t>1、针对口服液及针剂抗菌消炎产品解决方案：解决水提金银花有效成分绿原酸水溶性不高，产品静置一段时间后出现沉淀物质和悬浮物的问题。要求取产品4克溶于100ml水中，不会出现沉淀，且总固体量绿原酸占比不低于25%；</w:t>
            </w:r>
          </w:p>
          <w:p>
            <w:pPr>
              <w:jc w:val="left"/>
              <w:rPr>
                <w:rFonts w:hint="eastAsia" w:ascii="Times New Roman" w:hAnsi="Times New Roman" w:eastAsia="仿宋_GB2312" w:cs="Times New Roman"/>
                <w:color w:val="auto"/>
                <w:sz w:val="24"/>
                <w:szCs w:val="24"/>
                <w:shd w:val="clear" w:color="auto" w:fill="FFFFFF"/>
                <w:vertAlign w:val="baseline"/>
                <w:lang w:val="en-US" w:eastAsia="zh-CN"/>
              </w:rPr>
            </w:pPr>
            <w:r>
              <w:rPr>
                <w:rFonts w:hint="eastAsia" w:ascii="Times New Roman" w:hAnsi="Times New Roman" w:eastAsia="仿宋_GB2312" w:cs="Times New Roman"/>
                <w:color w:val="auto"/>
                <w:sz w:val="24"/>
                <w:szCs w:val="24"/>
                <w:shd w:val="clear" w:color="auto" w:fill="FFFFFF"/>
                <w:vertAlign w:val="baseline"/>
                <w:lang w:val="en-US" w:eastAsia="zh-CN"/>
              </w:rPr>
              <w:t>2、针对产品得率解决方案：解决产品转移率偏低的问题，水提金银花有效成分绿原酸转移率只有60-65%，要求转移率要求达到90%；。</w:t>
            </w:r>
          </w:p>
          <w:p>
            <w:pPr>
              <w:jc w:val="left"/>
              <w:rPr>
                <w:rFonts w:hint="eastAsia" w:ascii="Times New Roman" w:hAnsi="Times New Roman" w:eastAsia="仿宋_GB2312" w:cs="Times New Roman"/>
                <w:color w:val="auto"/>
                <w:sz w:val="24"/>
                <w:szCs w:val="24"/>
                <w:shd w:val="clear" w:color="auto" w:fill="FFFFFF"/>
                <w:vertAlign w:val="baseline"/>
                <w:lang w:val="en-US" w:eastAsia="zh-CN"/>
              </w:rPr>
            </w:pPr>
            <w:r>
              <w:rPr>
                <w:rFonts w:hint="eastAsia" w:ascii="Times New Roman" w:hAnsi="Times New Roman" w:eastAsia="仿宋_GB2312" w:cs="Times New Roman"/>
                <w:color w:val="auto"/>
                <w:sz w:val="24"/>
                <w:szCs w:val="24"/>
                <w:shd w:val="clear" w:color="auto" w:fill="FFFFFF"/>
                <w:vertAlign w:val="baseline"/>
                <w:lang w:val="en-US" w:eastAsia="zh-CN"/>
              </w:rPr>
              <w:t>3、川继断皂苷与灰毡毛忍冬皂苷有效分离方案：不同的产品有不同的工艺配方，为了满足客户对金银花中的川继断皂苷与灰毡毛忍冬皂苷含量的特殊需求，要求将金银花中的川继断皂苷与灰毡毛忍冬皂苷有效分离出来，有效分离率达到80%。再根据客户要求进行添加，达到客户生产工艺要求；</w:t>
            </w:r>
          </w:p>
          <w:p>
            <w:pPr>
              <w:pStyle w:val="5"/>
              <w:jc w:val="both"/>
              <w:rPr>
                <w:rFonts w:hint="default"/>
                <w:lang w:val="en-US"/>
              </w:rPr>
            </w:pPr>
            <w:r>
              <w:rPr>
                <w:rFonts w:hint="eastAsia" w:ascii="Times New Roman" w:hAnsi="Times New Roman" w:eastAsia="仿宋_GB2312" w:cs="Times New Roman"/>
                <w:color w:val="auto"/>
                <w:sz w:val="24"/>
                <w:szCs w:val="24"/>
                <w:shd w:val="clear" w:color="auto" w:fill="FFFFFF"/>
                <w:vertAlign w:val="baseline"/>
                <w:lang w:val="en-US" w:eastAsia="zh-CN"/>
              </w:rPr>
              <w:t>4、计划项目总投资120万元，自筹资金70万元，申请专项经费50万元，主要是购置水处理膜过滤，产品膜过滤及膜浓缩等设备及研发费用。</w:t>
            </w:r>
          </w:p>
        </w:tc>
        <w:tc>
          <w:tcPr>
            <w:tcW w:w="3315" w:type="dxa"/>
            <w:noWrap w:val="0"/>
            <w:vAlign w:val="center"/>
          </w:tcPr>
          <w:p>
            <w:pPr>
              <w:jc w:val="left"/>
              <w:rPr>
                <w:rFonts w:hint="eastAsia" w:ascii="Times New Roman" w:hAnsi="Times New Roman" w:eastAsia="仿宋_GB2312" w:cs="Times New Roman"/>
                <w:color w:val="auto"/>
                <w:sz w:val="24"/>
                <w:szCs w:val="24"/>
                <w:shd w:val="clear" w:color="auto" w:fill="FFFFFF"/>
                <w:vertAlign w:val="baseline"/>
                <w:lang w:val="en-US" w:eastAsia="zh-CN"/>
              </w:rPr>
            </w:pPr>
            <w:r>
              <w:rPr>
                <w:rFonts w:hint="eastAsia" w:ascii="Times New Roman" w:hAnsi="Times New Roman" w:eastAsia="仿宋_GB2312" w:cs="Times New Roman"/>
                <w:color w:val="auto"/>
                <w:sz w:val="24"/>
                <w:szCs w:val="24"/>
                <w:shd w:val="clear" w:color="auto" w:fill="FFFFFF"/>
                <w:vertAlign w:val="baseline"/>
                <w:lang w:val="en-US" w:eastAsia="zh-CN"/>
              </w:rPr>
              <w:t>1、水提的主要目的是避免溶剂残留对动物的影响，可通过物理方法和化学方法相结合，设计一套产品沉清度解决方案；</w:t>
            </w:r>
          </w:p>
          <w:p>
            <w:pPr>
              <w:jc w:val="left"/>
              <w:rPr>
                <w:rFonts w:hint="eastAsia" w:ascii="Times New Roman" w:hAnsi="Times New Roman" w:eastAsia="仿宋_GB2312" w:cs="Times New Roman"/>
                <w:color w:val="auto"/>
                <w:sz w:val="24"/>
                <w:szCs w:val="24"/>
                <w:shd w:val="clear" w:color="auto" w:fill="FFFFFF"/>
                <w:vertAlign w:val="baseline"/>
                <w:lang w:val="en-US" w:eastAsia="zh-CN"/>
              </w:rPr>
            </w:pPr>
            <w:r>
              <w:rPr>
                <w:rFonts w:hint="eastAsia" w:ascii="Times New Roman" w:hAnsi="Times New Roman" w:eastAsia="仿宋_GB2312" w:cs="Times New Roman"/>
                <w:color w:val="auto"/>
                <w:sz w:val="24"/>
                <w:szCs w:val="24"/>
                <w:shd w:val="clear" w:color="auto" w:fill="FFFFFF"/>
                <w:vertAlign w:val="baseline"/>
                <w:lang w:val="en-US" w:eastAsia="zh-CN"/>
              </w:rPr>
              <w:t>2、改进提取工艺，将提取利率提高到90%以上；</w:t>
            </w:r>
          </w:p>
          <w:p>
            <w:pPr>
              <w:jc w:val="left"/>
              <w:rPr>
                <w:rFonts w:hint="eastAsia" w:ascii="Times New Roman" w:hAnsi="Times New Roman" w:eastAsia="仿宋_GB2312" w:cs="Times New Roman"/>
                <w:color w:val="auto"/>
                <w:sz w:val="24"/>
                <w:szCs w:val="24"/>
                <w:shd w:val="clear" w:color="auto" w:fill="FFFFFF"/>
                <w:vertAlign w:val="baseline"/>
                <w:lang w:val="en-US" w:eastAsia="zh-CN"/>
              </w:rPr>
            </w:pPr>
            <w:r>
              <w:rPr>
                <w:rFonts w:hint="eastAsia" w:ascii="Times New Roman" w:hAnsi="Times New Roman" w:eastAsia="仿宋_GB2312" w:cs="Times New Roman"/>
                <w:color w:val="auto"/>
                <w:sz w:val="24"/>
                <w:szCs w:val="24"/>
                <w:shd w:val="clear" w:color="auto" w:fill="FFFFFF"/>
                <w:vertAlign w:val="baseline"/>
                <w:lang w:val="en-US" w:eastAsia="zh-CN"/>
              </w:rPr>
              <w:t>3、通过新的工艺实现川继断皂苷与灰毡毛忍冬皂苷的有效分离；</w:t>
            </w:r>
          </w:p>
          <w:p>
            <w:pPr>
              <w:jc w:val="left"/>
              <w:rPr>
                <w:rFonts w:hint="eastAsia" w:ascii="Times New Roman" w:hAnsi="Times New Roman" w:eastAsia="仿宋_GB2312" w:cs="Times New Roman"/>
                <w:color w:val="auto"/>
                <w:sz w:val="24"/>
                <w:szCs w:val="24"/>
                <w:shd w:val="clear" w:color="auto" w:fill="FFFFFF"/>
                <w:vertAlign w:val="baseline"/>
                <w:lang w:val="en-US" w:eastAsia="zh-CN"/>
              </w:rPr>
            </w:pPr>
            <w:r>
              <w:rPr>
                <w:rFonts w:hint="eastAsia" w:ascii="Times New Roman" w:hAnsi="Times New Roman" w:eastAsia="仿宋_GB2312" w:cs="Times New Roman"/>
                <w:color w:val="auto"/>
                <w:sz w:val="24"/>
                <w:szCs w:val="24"/>
                <w:shd w:val="clear" w:color="auto" w:fill="FFFFFF"/>
                <w:vertAlign w:val="baseline"/>
                <w:lang w:val="en-US" w:eastAsia="zh-CN"/>
              </w:rPr>
              <w:t>4、增加先进膜过滤等设备，帮助完成以上需求；</w:t>
            </w:r>
          </w:p>
          <w:p>
            <w:pPr>
              <w:pStyle w:val="5"/>
              <w:jc w:val="both"/>
              <w:rPr>
                <w:rFonts w:hint="default"/>
                <w:lang w:val="en-US" w:eastAsia="zh-CN"/>
              </w:rPr>
            </w:pPr>
            <w:r>
              <w:rPr>
                <w:rFonts w:hint="eastAsia" w:ascii="Times New Roman" w:hAnsi="Times New Roman" w:eastAsia="仿宋_GB2312" w:cs="Times New Roman"/>
                <w:color w:val="auto"/>
                <w:sz w:val="24"/>
                <w:szCs w:val="24"/>
                <w:shd w:val="clear" w:color="auto" w:fill="FFFFFF"/>
                <w:vertAlign w:val="baseline"/>
                <w:lang w:val="en-US" w:eastAsia="zh-CN"/>
              </w:rPr>
              <w:t>5、申请5项以上专利，发明专利不少于1项。</w:t>
            </w:r>
          </w:p>
          <w:p>
            <w:pPr>
              <w:jc w:val="left"/>
              <w:rPr>
                <w:rFonts w:hint="eastAsia" w:ascii="仿宋_GB2312" w:hAnsi="宋体" w:eastAsia="仿宋_GB2312" w:cs="仿宋_GB2312"/>
                <w:color w:val="auto"/>
                <w:kern w:val="0"/>
                <w:sz w:val="22"/>
                <w:szCs w:val="22"/>
                <w:lang w:val="en-US" w:eastAsia="zh-CN" w:bidi="ar"/>
              </w:rPr>
            </w:pPr>
          </w:p>
        </w:tc>
        <w:tc>
          <w:tcPr>
            <w:tcW w:w="2210" w:type="dxa"/>
            <w:noWrap w:val="0"/>
            <w:vAlign w:val="center"/>
          </w:tcPr>
          <w:p>
            <w:pPr>
              <w:jc w:val="left"/>
              <w:rPr>
                <w:rFonts w:hint="eastAsia" w:ascii="Times New Roman" w:hAnsi="Times New Roman" w:eastAsia="仿宋_GB2312" w:cs="Times New Roman"/>
                <w:color w:val="auto"/>
                <w:sz w:val="24"/>
                <w:szCs w:val="24"/>
                <w:shd w:val="clear" w:color="auto" w:fill="FFFFFF"/>
                <w:vertAlign w:val="baseline"/>
                <w:lang w:val="en-US" w:eastAsia="zh-CN"/>
              </w:rPr>
            </w:pPr>
            <w:r>
              <w:rPr>
                <w:rFonts w:hint="eastAsia" w:ascii="Times New Roman" w:hAnsi="Times New Roman" w:eastAsia="仿宋_GB2312" w:cs="Times New Roman"/>
                <w:color w:val="auto"/>
                <w:sz w:val="24"/>
                <w:szCs w:val="24"/>
                <w:shd w:val="clear" w:color="auto" w:fill="FFFFFF"/>
                <w:vertAlign w:val="baseline"/>
                <w:lang w:val="en-US" w:eastAsia="zh-CN"/>
              </w:rPr>
              <w:t>1、实施期限：</w:t>
            </w:r>
          </w:p>
          <w:p>
            <w:pPr>
              <w:jc w:val="left"/>
              <w:rPr>
                <w:rFonts w:hint="default" w:ascii="Times New Roman" w:hAnsi="Times New Roman" w:eastAsia="仿宋_GB2312" w:cs="Times New Roman"/>
                <w:color w:val="auto"/>
                <w:sz w:val="24"/>
                <w:szCs w:val="24"/>
                <w:shd w:val="clear" w:color="auto" w:fill="FFFFFF"/>
                <w:vertAlign w:val="baseline"/>
                <w:lang w:val="en-US" w:eastAsia="zh-CN"/>
              </w:rPr>
            </w:pPr>
            <w:r>
              <w:rPr>
                <w:rFonts w:hint="eastAsia" w:ascii="Times New Roman" w:hAnsi="Times New Roman" w:eastAsia="仿宋_GB2312" w:cs="Times New Roman"/>
                <w:color w:val="auto"/>
                <w:sz w:val="24"/>
                <w:szCs w:val="24"/>
                <w:shd w:val="clear" w:color="auto" w:fill="FFFFFF"/>
                <w:vertAlign w:val="baseline"/>
                <w:lang w:val="en-US" w:eastAsia="zh-CN"/>
              </w:rPr>
              <w:t>2024.02-2025.12</w:t>
            </w:r>
          </w:p>
          <w:p>
            <w:pPr>
              <w:jc w:val="left"/>
              <w:rPr>
                <w:rFonts w:hint="eastAsia" w:ascii="Times New Roman" w:hAnsi="Times New Roman" w:eastAsia="仿宋_GB2312" w:cs="Times New Roman"/>
                <w:color w:val="auto"/>
                <w:sz w:val="24"/>
                <w:szCs w:val="24"/>
                <w:shd w:val="clear" w:color="auto" w:fill="FFFFFF"/>
                <w:vertAlign w:val="baseline"/>
                <w:lang w:val="en-US" w:eastAsia="zh-CN"/>
              </w:rPr>
            </w:pPr>
            <w:r>
              <w:rPr>
                <w:rFonts w:hint="eastAsia" w:ascii="Times New Roman" w:hAnsi="Times New Roman" w:eastAsia="仿宋_GB2312" w:cs="Times New Roman"/>
                <w:color w:val="auto"/>
                <w:sz w:val="24"/>
                <w:szCs w:val="24"/>
                <w:shd w:val="clear" w:color="auto" w:fill="FFFFFF"/>
                <w:vertAlign w:val="baseline"/>
                <w:lang w:val="en-US" w:eastAsia="zh-CN"/>
              </w:rPr>
              <w:t>2、年实现30%的利润增长，新就业岗位20人以上，为社会培养专业种植技术人才180人，中药材精深加工技术人员20名，解决当地300多位老百姓就业。</w:t>
            </w:r>
          </w:p>
          <w:p>
            <w:pPr>
              <w:jc w:val="left"/>
              <w:rPr>
                <w:rFonts w:hint="eastAsia" w:ascii="Times New Roman" w:hAnsi="Times New Roman" w:eastAsia="仿宋_GB2312" w:cs="Times New Roman"/>
                <w:color w:val="auto"/>
                <w:sz w:val="24"/>
                <w:szCs w:val="24"/>
                <w:shd w:val="clear" w:color="auto" w:fill="FFFFFF"/>
                <w:vertAlign w:val="baseline"/>
                <w:lang w:val="en-US" w:eastAsia="zh-CN"/>
              </w:rPr>
            </w:pPr>
            <w:r>
              <w:rPr>
                <w:rFonts w:hint="eastAsia" w:ascii="Times New Roman" w:hAnsi="Times New Roman" w:eastAsia="仿宋_GB2312" w:cs="Times New Roman"/>
                <w:color w:val="auto"/>
                <w:sz w:val="24"/>
                <w:szCs w:val="24"/>
                <w:shd w:val="clear" w:color="auto" w:fill="FFFFFF"/>
                <w:vertAlign w:val="baseline"/>
                <w:lang w:val="en-US" w:eastAsia="zh-CN"/>
              </w:rPr>
              <w:t>3、联系人：永州金蕊生物科技股份有限公司：</w:t>
            </w:r>
          </w:p>
          <w:p>
            <w:pPr>
              <w:jc w:val="left"/>
              <w:rPr>
                <w:rFonts w:hint="eastAsia" w:ascii="Times New Roman" w:hAnsi="Times New Roman" w:eastAsia="仿宋_GB2312" w:cs="Times New Roman"/>
                <w:color w:val="auto"/>
                <w:sz w:val="24"/>
                <w:szCs w:val="24"/>
                <w:shd w:val="clear" w:color="auto" w:fill="FFFFFF"/>
                <w:vertAlign w:val="baseline"/>
                <w:lang w:val="en-US" w:eastAsia="zh-CN"/>
              </w:rPr>
            </w:pPr>
            <w:r>
              <w:rPr>
                <w:rFonts w:hint="eastAsia" w:ascii="Times New Roman" w:hAnsi="Times New Roman" w:eastAsia="仿宋_GB2312" w:cs="Times New Roman"/>
                <w:color w:val="auto"/>
                <w:sz w:val="24"/>
                <w:szCs w:val="24"/>
                <w:shd w:val="clear" w:color="auto" w:fill="FFFFFF"/>
                <w:vertAlign w:val="baseline"/>
                <w:lang w:val="en-US" w:eastAsia="zh-CN"/>
              </w:rPr>
              <w:t>杨升:13085435826</w:t>
            </w:r>
          </w:p>
          <w:p>
            <w:pPr>
              <w:jc w:val="left"/>
              <w:rPr>
                <w:rFonts w:hint="eastAsia" w:ascii="仿宋_GB2312" w:hAnsi="仿宋_GB2312" w:eastAsia="仿宋_GB2312" w:cs="仿宋_GB2312"/>
                <w:bCs/>
                <w:color w:val="auto"/>
              </w:rPr>
            </w:pPr>
            <w:r>
              <w:rPr>
                <w:rFonts w:hint="eastAsia" w:ascii="Times New Roman" w:hAnsi="Times New Roman" w:eastAsia="仿宋_GB2312" w:cs="Times New Roman"/>
                <w:color w:val="auto"/>
                <w:sz w:val="24"/>
                <w:szCs w:val="24"/>
                <w:shd w:val="clear" w:color="auto" w:fill="FFFFFF"/>
                <w:vertAlign w:val="baseline"/>
                <w:lang w:val="en-US" w:eastAsia="zh-CN"/>
              </w:rPr>
              <w:t>邮箱：ayangys@163.com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6" w:hRule="atLeast"/>
        </w:trPr>
        <w:tc>
          <w:tcPr>
            <w:tcW w:w="870" w:type="dxa"/>
            <w:noWrap w:val="0"/>
            <w:vAlign w:val="center"/>
          </w:tcPr>
          <w:p>
            <w:pPr>
              <w:jc w:val="center"/>
              <w:rPr>
                <w:rFonts w:hint="eastAsia" w:ascii="Calibri" w:hAnsi="Calibri" w:eastAsia="宋体" w:cs="Times New Roman"/>
                <w:kern w:val="2"/>
                <w:sz w:val="22"/>
                <w:szCs w:val="22"/>
                <w:lang w:val="en-US" w:eastAsia="zh-CN" w:bidi="ar-SA"/>
              </w:rPr>
            </w:pPr>
            <w:r>
              <w:rPr>
                <w:rFonts w:hint="eastAsia"/>
                <w:sz w:val="22"/>
                <w:szCs w:val="22"/>
                <w:lang w:val="en-US" w:eastAsia="zh-CN"/>
              </w:rPr>
              <w:t>5</w:t>
            </w:r>
          </w:p>
        </w:tc>
        <w:tc>
          <w:tcPr>
            <w:tcW w:w="2041" w:type="dxa"/>
            <w:noWrap w:val="0"/>
            <w:vAlign w:val="center"/>
          </w:tcPr>
          <w:p>
            <w:pPr>
              <w:jc w:val="left"/>
              <w:rPr>
                <w:rFonts w:hint="eastAsia" w:ascii="Times New Roman" w:hAnsi="Times New Roman" w:eastAsia="仿宋_GB2312" w:cs="Times New Roman"/>
                <w:color w:val="auto"/>
                <w:sz w:val="24"/>
                <w:szCs w:val="24"/>
                <w:shd w:val="clear" w:color="auto" w:fill="FFFFFF"/>
                <w:vertAlign w:val="baseline"/>
                <w:lang w:val="en-US" w:eastAsia="zh-CN"/>
              </w:rPr>
            </w:pPr>
            <w:r>
              <w:rPr>
                <w:rFonts w:hint="eastAsia" w:ascii="Times New Roman" w:hAnsi="Times New Roman" w:eastAsia="仿宋_GB2312" w:cs="Times New Roman"/>
                <w:color w:val="auto"/>
                <w:sz w:val="24"/>
                <w:szCs w:val="24"/>
                <w:shd w:val="clear" w:color="auto" w:fill="FFFFFF"/>
                <w:vertAlign w:val="baseline"/>
                <w:lang w:val="en-US" w:eastAsia="zh-CN"/>
              </w:rPr>
              <w:t>从食用菌中提取98%麦角硫因的工艺研发和应用</w:t>
            </w:r>
          </w:p>
          <w:p>
            <w:pPr>
              <w:pStyle w:val="5"/>
              <w:jc w:val="left"/>
              <w:rPr>
                <w:rFonts w:hint="eastAsia" w:ascii="Times New Roman" w:hAnsi="Times New Roman" w:eastAsia="仿宋_GB2312" w:cs="Times New Roman"/>
                <w:color w:val="auto"/>
                <w:kern w:val="2"/>
                <w:sz w:val="22"/>
                <w:szCs w:val="22"/>
                <w:shd w:val="clear" w:color="auto" w:fill="FFFFFF"/>
                <w:vertAlign w:val="baseline"/>
                <w:lang w:val="en-US" w:eastAsia="zh-CN" w:bidi="ar-SA"/>
              </w:rPr>
            </w:pPr>
            <w:r>
              <w:rPr>
                <w:rFonts w:hint="eastAsia" w:ascii="Times New Roman" w:hAnsi="Times New Roman" w:eastAsia="仿宋_GB2312" w:cs="Times New Roman"/>
                <w:color w:val="auto"/>
                <w:kern w:val="2"/>
                <w:sz w:val="22"/>
                <w:szCs w:val="22"/>
                <w:shd w:val="clear" w:color="auto" w:fill="FFFFFF"/>
                <w:vertAlign w:val="baseline"/>
                <w:lang w:val="en-US" w:eastAsia="zh-CN" w:bidi="ar-SA"/>
              </w:rPr>
              <w:t>项目总投资150万</w:t>
            </w:r>
          </w:p>
          <w:p>
            <w:pPr>
              <w:pStyle w:val="5"/>
              <w:jc w:val="left"/>
              <w:rPr>
                <w:rFonts w:hint="eastAsia" w:ascii="Times New Roman" w:hAnsi="Times New Roman" w:eastAsia="仿宋_GB2312" w:cs="Times New Roman"/>
                <w:color w:val="auto"/>
                <w:kern w:val="2"/>
                <w:sz w:val="22"/>
                <w:szCs w:val="22"/>
                <w:shd w:val="clear" w:color="auto" w:fill="FFFFFF"/>
                <w:vertAlign w:val="baseline"/>
                <w:lang w:val="en-US" w:eastAsia="zh-CN" w:bidi="ar-SA"/>
              </w:rPr>
            </w:pPr>
            <w:r>
              <w:rPr>
                <w:rFonts w:hint="eastAsia" w:ascii="Times New Roman" w:hAnsi="Times New Roman" w:eastAsia="仿宋_GB2312" w:cs="Times New Roman"/>
                <w:color w:val="auto"/>
                <w:kern w:val="2"/>
                <w:sz w:val="22"/>
                <w:szCs w:val="22"/>
                <w:shd w:val="clear" w:color="auto" w:fill="FFFFFF"/>
                <w:vertAlign w:val="baseline"/>
                <w:lang w:val="en-US" w:eastAsia="zh-CN" w:bidi="ar-SA"/>
              </w:rPr>
              <w:t>研发总额100万</w:t>
            </w:r>
          </w:p>
        </w:tc>
        <w:tc>
          <w:tcPr>
            <w:tcW w:w="6495" w:type="dxa"/>
            <w:noWrap w:val="0"/>
            <w:vAlign w:val="center"/>
          </w:tcPr>
          <w:p>
            <w:pPr>
              <w:pStyle w:val="5"/>
              <w:numPr>
                <w:ilvl w:val="0"/>
                <w:numId w:val="0"/>
              </w:numPr>
              <w:jc w:val="left"/>
              <w:rPr>
                <w:rFonts w:hint="eastAsia" w:ascii="仿宋_GB2312" w:hAnsi="仿宋_GB2312" w:eastAsia="仿宋_GB2312" w:cs="仿宋_GB2312"/>
                <w:bCs/>
                <w:color w:val="auto"/>
                <w:sz w:val="24"/>
                <w:szCs w:val="24"/>
              </w:rPr>
            </w:pPr>
          </w:p>
          <w:p>
            <w:pPr>
              <w:pStyle w:val="5"/>
              <w:numPr>
                <w:ilvl w:val="0"/>
                <w:numId w:val="1"/>
              </w:numPr>
              <w:jc w:val="left"/>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从食用菌菌菇中提取98%麦角硫因的工艺技术和方法，并建立相关的企业标准；</w:t>
            </w:r>
          </w:p>
          <w:p>
            <w:pPr>
              <w:pStyle w:val="5"/>
              <w:numPr>
                <w:ilvl w:val="0"/>
                <w:numId w:val="1"/>
              </w:numPr>
              <w:ind w:left="0" w:leftChars="0" w:firstLine="0" w:firstLineChars="0"/>
              <w:jc w:val="left"/>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选育麦角硫因含量高的菌菇品种，规范种植流程，制定菌菇原料收购标准；</w:t>
            </w:r>
          </w:p>
          <w:p>
            <w:pPr>
              <w:pStyle w:val="5"/>
              <w:numPr>
                <w:ilvl w:val="0"/>
                <w:numId w:val="1"/>
              </w:numPr>
              <w:ind w:left="0" w:leftChars="0" w:firstLine="0" w:firstLineChars="0"/>
              <w:jc w:val="left"/>
              <w:rPr>
                <w:rFonts w:hint="default"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sz w:val="24"/>
                <w:szCs w:val="24"/>
                <w:lang w:val="en-US" w:eastAsia="zh-CN"/>
              </w:rPr>
              <w:t>指导办理菌菇食品生产许可证，提供菌菇生产工艺流程及设备清单并指导安装，新建一条菌菇提取生产线，以便达到办理SC证的各项要求；</w:t>
            </w:r>
          </w:p>
          <w:p>
            <w:pPr>
              <w:pStyle w:val="5"/>
              <w:numPr>
                <w:ilvl w:val="0"/>
                <w:numId w:val="1"/>
              </w:numPr>
              <w:ind w:left="0" w:leftChars="0" w:firstLine="0" w:firstLineChars="0"/>
              <w:jc w:val="left"/>
              <w:rPr>
                <w:rFonts w:hint="eastAsia" w:ascii="仿宋_GB2312" w:hAnsi="仿宋_GB2312" w:eastAsia="仿宋_GB2312" w:cs="仿宋_GB2312"/>
                <w:bCs/>
                <w:color w:val="FF0000"/>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bidi="ar-SA"/>
              </w:rPr>
              <w:t>开发以食用菌提取物为主要成分的功能性食品1-2个。</w:t>
            </w:r>
          </w:p>
          <w:p>
            <w:pPr>
              <w:pStyle w:val="5"/>
              <w:numPr>
                <w:ilvl w:val="0"/>
                <w:numId w:val="0"/>
              </w:numPr>
              <w:ind w:left="0" w:leftChars="0" w:firstLine="0" w:firstLineChars="0"/>
              <w:jc w:val="left"/>
              <w:rPr>
                <w:rFonts w:hint="eastAsia" w:ascii="仿宋_GB2312" w:hAnsi="Calibri" w:eastAsia="仿宋_GB2312" w:cs="Times New Roman"/>
                <w:color w:val="auto"/>
                <w:kern w:val="2"/>
                <w:sz w:val="21"/>
                <w:szCs w:val="24"/>
                <w:lang w:val="en-US" w:eastAsia="zh-CN" w:bidi="ar-SA"/>
              </w:rPr>
            </w:pPr>
          </w:p>
        </w:tc>
        <w:tc>
          <w:tcPr>
            <w:tcW w:w="3315" w:type="dxa"/>
            <w:noWrap w:val="0"/>
            <w:vAlign w:val="center"/>
          </w:tcPr>
          <w:p>
            <w:pPr>
              <w:pStyle w:val="5"/>
              <w:keepNext w:val="0"/>
              <w:keepLines w:val="0"/>
              <w:pageBreakBefore w:val="0"/>
              <w:widowControl w:val="0"/>
              <w:numPr>
                <w:ilvl w:val="0"/>
                <w:numId w:val="2"/>
              </w:numPr>
              <w:kinsoku/>
              <w:wordWrap/>
              <w:overflowPunct/>
              <w:topLinePunct w:val="0"/>
              <w:autoSpaceDE w:val="0"/>
              <w:autoSpaceDN w:val="0"/>
              <w:bidi w:val="0"/>
              <w:adjustRightInd w:val="0"/>
              <w:snapToGrid/>
              <w:spacing w:line="280" w:lineRule="exact"/>
              <w:ind w:left="0" w:leftChars="0" w:firstLine="0" w:firstLineChars="0"/>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确定麦角硫因HPLC的检测方法；</w:t>
            </w:r>
          </w:p>
          <w:p>
            <w:pPr>
              <w:pStyle w:val="5"/>
              <w:keepNext w:val="0"/>
              <w:keepLines w:val="0"/>
              <w:pageBreakBefore w:val="0"/>
              <w:widowControl w:val="0"/>
              <w:numPr>
                <w:ilvl w:val="0"/>
                <w:numId w:val="2"/>
              </w:numPr>
              <w:kinsoku/>
              <w:wordWrap/>
              <w:overflowPunct/>
              <w:topLinePunct w:val="0"/>
              <w:autoSpaceDE w:val="0"/>
              <w:autoSpaceDN w:val="0"/>
              <w:bidi w:val="0"/>
              <w:adjustRightInd w:val="0"/>
              <w:snapToGrid/>
              <w:spacing w:line="280" w:lineRule="exact"/>
              <w:ind w:left="0" w:leftChars="0" w:firstLine="0" w:firstLineChars="0"/>
              <w:jc w:val="left"/>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制定98%麦角硫因质量技术标准；</w:t>
            </w:r>
          </w:p>
          <w:p>
            <w:pPr>
              <w:pStyle w:val="5"/>
              <w:keepNext w:val="0"/>
              <w:keepLines w:val="0"/>
              <w:pageBreakBefore w:val="0"/>
              <w:widowControl w:val="0"/>
              <w:numPr>
                <w:ilvl w:val="0"/>
                <w:numId w:val="2"/>
              </w:numPr>
              <w:kinsoku/>
              <w:wordWrap/>
              <w:overflowPunct/>
              <w:topLinePunct w:val="0"/>
              <w:autoSpaceDE w:val="0"/>
              <w:autoSpaceDN w:val="0"/>
              <w:bidi w:val="0"/>
              <w:adjustRightInd w:val="0"/>
              <w:snapToGrid/>
              <w:spacing w:line="280" w:lineRule="exact"/>
              <w:ind w:left="0" w:leftChars="0" w:firstLine="0" w:firstLineChars="0"/>
              <w:jc w:val="left"/>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指导建设年加工1000吨菌菇提取生产一条；建设与之相适应的纯化精制生产一条；</w:t>
            </w:r>
          </w:p>
          <w:p>
            <w:pPr>
              <w:pStyle w:val="5"/>
              <w:keepNext w:val="0"/>
              <w:keepLines w:val="0"/>
              <w:pageBreakBefore w:val="0"/>
              <w:widowControl w:val="0"/>
              <w:numPr>
                <w:ilvl w:val="0"/>
                <w:numId w:val="2"/>
              </w:numPr>
              <w:kinsoku/>
              <w:wordWrap/>
              <w:overflowPunct/>
              <w:topLinePunct w:val="0"/>
              <w:autoSpaceDE w:val="0"/>
              <w:autoSpaceDN w:val="0"/>
              <w:bidi w:val="0"/>
              <w:adjustRightInd w:val="0"/>
              <w:snapToGrid/>
              <w:spacing w:line="280" w:lineRule="exact"/>
              <w:ind w:left="0" w:leftChars="0" w:firstLine="0" w:firstLineChars="0"/>
              <w:jc w:val="left"/>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根据菌菇提取物功能形状，开发1-2种以食用菌提取物为主要成分的功能性食品或饮品；</w:t>
            </w:r>
          </w:p>
          <w:p>
            <w:pPr>
              <w:pStyle w:val="5"/>
              <w:keepNext w:val="0"/>
              <w:keepLines w:val="0"/>
              <w:pageBreakBefore w:val="0"/>
              <w:widowControl w:val="0"/>
              <w:numPr>
                <w:ilvl w:val="0"/>
                <w:numId w:val="2"/>
              </w:numPr>
              <w:kinsoku/>
              <w:wordWrap/>
              <w:overflowPunct/>
              <w:topLinePunct w:val="0"/>
              <w:autoSpaceDE w:val="0"/>
              <w:autoSpaceDN w:val="0"/>
              <w:bidi w:val="0"/>
              <w:adjustRightInd w:val="0"/>
              <w:snapToGrid/>
              <w:spacing w:line="280" w:lineRule="exact"/>
              <w:ind w:left="0" w:leftChars="0" w:firstLine="0" w:firstLineChars="0"/>
              <w:jc w:val="left"/>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申请授权发明专利1-2项，实用新型专利3-5项，发表学术论文1-2篇。</w:t>
            </w:r>
          </w:p>
        </w:tc>
        <w:tc>
          <w:tcPr>
            <w:tcW w:w="2210" w:type="dxa"/>
            <w:noWrap w:val="0"/>
            <w:vAlign w:val="center"/>
          </w:tcPr>
          <w:p>
            <w:pPr>
              <w:pStyle w:val="5"/>
              <w:numPr>
                <w:ilvl w:val="0"/>
                <w:numId w:val="0"/>
              </w:numPr>
              <w:jc w:val="left"/>
              <w:rPr>
                <w:rFonts w:hint="eastAsia" w:ascii="仿宋_GB2312" w:hAnsi="仿宋_GB2312" w:eastAsia="仿宋_GB2312" w:cs="仿宋_GB2312"/>
                <w:b w:val="0"/>
                <w:bCs/>
                <w:strike w:val="0"/>
                <w:dstrike w:val="0"/>
                <w:color w:val="auto"/>
                <w:sz w:val="24"/>
                <w:szCs w:val="24"/>
                <w:lang w:val="en-US" w:eastAsia="zh-CN"/>
              </w:rPr>
            </w:pPr>
            <w:r>
              <w:rPr>
                <w:rFonts w:hint="eastAsia" w:ascii="仿宋_GB2312" w:hAnsi="仿宋_GB2312" w:eastAsia="仿宋_GB2312" w:cs="仿宋_GB2312"/>
                <w:b w:val="0"/>
                <w:bCs/>
                <w:strike w:val="0"/>
                <w:dstrike w:val="0"/>
                <w:color w:val="auto"/>
                <w:sz w:val="24"/>
                <w:szCs w:val="24"/>
                <w:lang w:val="en-US" w:eastAsia="zh-CN"/>
              </w:rPr>
              <w:t>1、实施期限：</w:t>
            </w:r>
          </w:p>
          <w:p>
            <w:pPr>
              <w:pStyle w:val="5"/>
              <w:numPr>
                <w:ilvl w:val="0"/>
                <w:numId w:val="0"/>
              </w:numPr>
              <w:jc w:val="left"/>
              <w:rPr>
                <w:rFonts w:hint="default" w:ascii="仿宋_GB2312" w:hAnsi="仿宋_GB2312" w:eastAsia="仿宋_GB2312" w:cs="仿宋_GB2312"/>
                <w:b w:val="0"/>
                <w:bCs/>
                <w:strike w:val="0"/>
                <w:dstrike w:val="0"/>
                <w:color w:val="auto"/>
                <w:sz w:val="24"/>
                <w:szCs w:val="24"/>
                <w:lang w:val="en-US" w:eastAsia="zh-CN"/>
              </w:rPr>
            </w:pPr>
            <w:r>
              <w:rPr>
                <w:rFonts w:hint="eastAsia" w:ascii="仿宋_GB2312" w:hAnsi="仿宋_GB2312" w:eastAsia="仿宋_GB2312" w:cs="仿宋_GB2312"/>
                <w:b w:val="0"/>
                <w:bCs/>
                <w:strike w:val="0"/>
                <w:dstrike w:val="0"/>
                <w:color w:val="auto"/>
                <w:sz w:val="24"/>
                <w:szCs w:val="24"/>
                <w:lang w:val="en-US" w:eastAsia="zh-CN"/>
              </w:rPr>
              <w:t>2023.10-2025.9</w:t>
            </w:r>
          </w:p>
          <w:p>
            <w:pPr>
              <w:pStyle w:val="5"/>
              <w:numPr>
                <w:ilvl w:val="0"/>
                <w:numId w:val="0"/>
              </w:numPr>
              <w:jc w:val="left"/>
              <w:rPr>
                <w:rFonts w:hint="eastAsia" w:ascii="仿宋_GB2312" w:hAnsi="仿宋_GB2312" w:eastAsia="仿宋_GB2312" w:cs="仿宋_GB2312"/>
                <w:b w:val="0"/>
                <w:bCs/>
                <w:strike w:val="0"/>
                <w:dstrike w:val="0"/>
                <w:color w:val="auto"/>
                <w:sz w:val="24"/>
                <w:szCs w:val="24"/>
                <w:lang w:val="en-US" w:eastAsia="zh-CN"/>
              </w:rPr>
            </w:pPr>
            <w:r>
              <w:rPr>
                <w:rFonts w:hint="eastAsia" w:ascii="仿宋_GB2312" w:hAnsi="仿宋_GB2312" w:eastAsia="仿宋_GB2312" w:cs="仿宋_GB2312"/>
                <w:b w:val="0"/>
                <w:bCs/>
                <w:strike w:val="0"/>
                <w:dstrike w:val="0"/>
                <w:color w:val="auto"/>
                <w:sz w:val="24"/>
                <w:szCs w:val="24"/>
                <w:lang w:val="en-US" w:eastAsia="zh-CN"/>
              </w:rPr>
              <w:t>2、预期成效：新增年产值5000万元；新增年税收300万元。</w:t>
            </w:r>
          </w:p>
          <w:p>
            <w:pPr>
              <w:pStyle w:val="5"/>
              <w:numPr>
                <w:ilvl w:val="0"/>
                <w:numId w:val="0"/>
              </w:numPr>
              <w:jc w:val="left"/>
              <w:rPr>
                <w:rFonts w:hint="default" w:ascii="仿宋_GB2312" w:hAnsi="仿宋_GB2312" w:eastAsia="仿宋_GB2312" w:cs="仿宋_GB2312"/>
                <w:b w:val="0"/>
                <w:bCs/>
                <w:strike w:val="0"/>
                <w:dstrike w:val="0"/>
                <w:color w:val="auto"/>
                <w:sz w:val="24"/>
                <w:szCs w:val="24"/>
                <w:lang w:val="en-US" w:eastAsia="zh-CN"/>
              </w:rPr>
            </w:pPr>
            <w:r>
              <w:rPr>
                <w:rFonts w:hint="eastAsia" w:ascii="仿宋_GB2312" w:hAnsi="仿宋_GB2312" w:eastAsia="仿宋_GB2312" w:cs="仿宋_GB2312"/>
                <w:b w:val="0"/>
                <w:bCs/>
                <w:strike w:val="0"/>
                <w:dstrike w:val="0"/>
                <w:color w:val="auto"/>
                <w:sz w:val="24"/>
                <w:szCs w:val="24"/>
                <w:lang w:val="en-US" w:eastAsia="zh-CN"/>
              </w:rPr>
              <w:t>3、联系人：</w:t>
            </w:r>
            <w:r>
              <w:rPr>
                <w:rFonts w:hint="eastAsia" w:ascii="仿宋_GB2312" w:eastAsia="仿宋_GB2312"/>
                <w:color w:val="auto"/>
                <w:sz w:val="24"/>
                <w:szCs w:val="24"/>
                <w:lang w:eastAsia="zh-CN"/>
              </w:rPr>
              <w:t>永州德普瑞生物科技股份有限公司，</w:t>
            </w:r>
            <w:r>
              <w:rPr>
                <w:rFonts w:hint="eastAsia" w:ascii="仿宋_GB2312" w:hAnsi="仿宋_GB2312" w:eastAsia="仿宋_GB2312" w:cs="仿宋_GB2312"/>
                <w:b w:val="0"/>
                <w:bCs/>
                <w:strike w:val="0"/>
                <w:dstrike w:val="0"/>
                <w:color w:val="auto"/>
                <w:sz w:val="24"/>
                <w:szCs w:val="24"/>
                <w:lang w:val="en-US" w:eastAsia="zh-CN"/>
              </w:rPr>
              <w:t>周乾能13974621689</w:t>
            </w:r>
          </w:p>
          <w:p>
            <w:pPr>
              <w:pStyle w:val="5"/>
              <w:numPr>
                <w:ilvl w:val="0"/>
                <w:numId w:val="0"/>
              </w:numPr>
              <w:jc w:val="left"/>
              <w:rPr>
                <w:rFonts w:hint="eastAsia" w:ascii="仿宋_GB2312" w:hAnsi="仿宋_GB2312" w:eastAsia="仿宋_GB2312" w:cs="仿宋_GB2312"/>
                <w:b w:val="0"/>
                <w:bCs/>
                <w:strike w:val="0"/>
                <w:dstrike w:val="0"/>
                <w:color w:val="auto"/>
                <w:sz w:val="24"/>
                <w:szCs w:val="24"/>
                <w:lang w:val="en-US" w:eastAsia="zh-CN"/>
              </w:rPr>
            </w:pPr>
            <w:r>
              <w:rPr>
                <w:rFonts w:hint="eastAsia" w:ascii="仿宋_GB2312" w:hAnsi="仿宋_GB2312" w:eastAsia="仿宋_GB2312" w:cs="仿宋_GB2312"/>
                <w:b w:val="0"/>
                <w:bCs/>
                <w:strike w:val="0"/>
                <w:dstrike w:val="0"/>
                <w:color w:val="auto"/>
                <w:sz w:val="24"/>
                <w:szCs w:val="24"/>
                <w:lang w:val="en-US" w:eastAsia="zh-CN"/>
              </w:rPr>
              <w:t>邮</w:t>
            </w:r>
            <w:r>
              <w:rPr>
                <w:rFonts w:hint="default" w:ascii="仿宋_GB2312" w:hAnsi="仿宋_GB2312" w:eastAsia="仿宋_GB2312" w:cs="仿宋_GB2312"/>
                <w:b w:val="0"/>
                <w:bCs/>
                <w:strike w:val="0"/>
                <w:dstrike w:val="0"/>
                <w:color w:val="auto"/>
                <w:sz w:val="24"/>
                <w:szCs w:val="24"/>
                <w:lang w:eastAsia="zh-CN"/>
              </w:rPr>
              <w:t>箱</w:t>
            </w:r>
            <w:r>
              <w:rPr>
                <w:rFonts w:hint="eastAsia" w:ascii="仿宋_GB2312" w:hAnsi="仿宋_GB2312" w:eastAsia="仿宋_GB2312" w:cs="仿宋_GB2312"/>
                <w:b w:val="0"/>
                <w:bCs/>
                <w:strike w:val="0"/>
                <w:dstrike w:val="0"/>
                <w:color w:val="auto"/>
                <w:sz w:val="24"/>
                <w:szCs w:val="24"/>
                <w:lang w:val="en-US" w:eastAsia="zh-CN"/>
              </w:rPr>
              <w:t>：393427069@qq.com</w:t>
            </w:r>
          </w:p>
          <w:p>
            <w:pPr>
              <w:pStyle w:val="5"/>
              <w:jc w:val="left"/>
              <w:rPr>
                <w:rFonts w:hint="eastAsia" w:ascii="仿宋_GB2312" w:hAnsi="仿宋_GB2312" w:eastAsia="仿宋_GB2312" w:cs="仿宋_GB2312"/>
                <w:bCs/>
                <w:color w:val="auto"/>
                <w:kern w:val="2"/>
                <w:sz w:val="21"/>
                <w:szCs w:val="24"/>
                <w:lang w:val="en-US" w:eastAsia="zh-CN" w:bidi="ar-SA"/>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09E077"/>
    <w:multiLevelType w:val="singleLevel"/>
    <w:tmpl w:val="8709E077"/>
    <w:lvl w:ilvl="0" w:tentative="0">
      <w:start w:val="1"/>
      <w:numFmt w:val="decimal"/>
      <w:suff w:val="nothing"/>
      <w:lvlText w:val="%1、"/>
      <w:lvlJc w:val="left"/>
      <w:rPr>
        <w:rFonts w:hint="default"/>
        <w:color w:val="auto"/>
      </w:rPr>
    </w:lvl>
  </w:abstractNum>
  <w:abstractNum w:abstractNumId="1">
    <w:nsid w:val="330341B0"/>
    <w:multiLevelType w:val="singleLevel"/>
    <w:tmpl w:val="330341B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xZDFhYWE1YjY3MGJhNzViYjFmMzE4MmZhYTFjNDkifQ=="/>
  </w:docVars>
  <w:rsids>
    <w:rsidRoot w:val="695A6FCE"/>
    <w:rsid w:val="002E6413"/>
    <w:rsid w:val="00A83AD0"/>
    <w:rsid w:val="191B6152"/>
    <w:rsid w:val="1DA2254B"/>
    <w:rsid w:val="1E704C22"/>
    <w:rsid w:val="3ACD3B57"/>
    <w:rsid w:val="3DB17760"/>
    <w:rsid w:val="49EE4458"/>
    <w:rsid w:val="58C47EF0"/>
    <w:rsid w:val="5E653F23"/>
    <w:rsid w:val="61243C22"/>
    <w:rsid w:val="636D582F"/>
    <w:rsid w:val="65216687"/>
    <w:rsid w:val="695A6FCE"/>
    <w:rsid w:val="6AFE7291"/>
    <w:rsid w:val="6F6D4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Default"/>
    <w:autoRedefine/>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6">
    <w:name w:val="NormalCharacter"/>
    <w:autoRedefine/>
    <w:semiHidden/>
    <w:qFormat/>
    <w:uiPriority w:val="0"/>
    <w:rPr>
      <w:rFonts w:ascii="Calibri" w:hAnsi="Calibr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2023-12-21T03:58:00Z</dcterms:created>
  <dc:creator>爱吃西瓜的胖豆豆</dc:creator>
  <cp:lastModifiedBy>爱吃西瓜的胖豆豆</cp:lastModifiedBy>
  <cp:lastPrinted>2024-01-29T02:36:00Z</cp:lastPrinted>
  <dcterms:modified xsi:type="dcterms:W3CDTF">2024-02-02T07:59:28Z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49F38E654A6E46CEB4EEAFB337B73914_13</vt:lpwstr>
  </property>
</Properties>
</file>