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16FBA">
      <w:pPr>
        <w:spacing w:beforeLines="0" w:afterLines="0"/>
        <w:jc w:val="center"/>
        <w:outlineLvl w:val="1"/>
        <w:rPr>
          <w:rFonts w:hint="eastAsia" w:ascii="方正小标宋简体" w:eastAsia="方正小标宋简体"/>
          <w:sz w:val="52"/>
          <w:szCs w:val="24"/>
          <w:lang w:val="en-US" w:eastAsia="zh-CN"/>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茶林镇中心幼儿园</w:t>
      </w:r>
    </w:p>
    <w:p w14:paraId="73CC2180">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整体支出绩效自评报告</w:t>
      </w:r>
    </w:p>
    <w:p w14:paraId="2BAF84C5">
      <w:pPr>
        <w:spacing w:beforeLines="0" w:afterLines="0"/>
        <w:jc w:val="center"/>
        <w:rPr>
          <w:rFonts w:hint="default" w:eastAsia="黑体"/>
          <w:sz w:val="32"/>
          <w:szCs w:val="24"/>
        </w:rPr>
      </w:pPr>
    </w:p>
    <w:p w14:paraId="0EA6A7E6">
      <w:pPr>
        <w:spacing w:beforeLines="0" w:afterLines="0"/>
        <w:jc w:val="center"/>
        <w:rPr>
          <w:rFonts w:hint="default" w:eastAsia="黑体"/>
          <w:sz w:val="32"/>
          <w:szCs w:val="24"/>
        </w:rPr>
      </w:pPr>
    </w:p>
    <w:p w14:paraId="02915E92">
      <w:pPr>
        <w:spacing w:beforeLines="0" w:afterLines="0"/>
        <w:jc w:val="center"/>
        <w:rPr>
          <w:rFonts w:hint="default" w:eastAsia="黑体"/>
          <w:sz w:val="32"/>
          <w:szCs w:val="24"/>
        </w:rPr>
      </w:pPr>
    </w:p>
    <w:p w14:paraId="79AA6439">
      <w:pPr>
        <w:spacing w:beforeLines="0" w:afterLines="0"/>
        <w:rPr>
          <w:rFonts w:hint="default" w:eastAsia="黑体"/>
          <w:sz w:val="32"/>
          <w:szCs w:val="24"/>
        </w:rPr>
      </w:pPr>
    </w:p>
    <w:p w14:paraId="4699F31C">
      <w:pPr>
        <w:spacing w:beforeLines="0" w:afterLines="0"/>
        <w:jc w:val="center"/>
        <w:rPr>
          <w:rFonts w:hint="default" w:eastAsia="黑体"/>
          <w:sz w:val="32"/>
          <w:szCs w:val="24"/>
        </w:rPr>
      </w:pPr>
    </w:p>
    <w:p w14:paraId="7EE3540E">
      <w:pPr>
        <w:spacing w:beforeLines="0" w:afterLines="0"/>
        <w:jc w:val="center"/>
        <w:rPr>
          <w:rFonts w:hint="default" w:eastAsia="黑体"/>
          <w:sz w:val="32"/>
          <w:szCs w:val="24"/>
        </w:rPr>
      </w:pPr>
    </w:p>
    <w:p w14:paraId="18EF2806">
      <w:pPr>
        <w:spacing w:beforeLines="0" w:afterLines="0"/>
        <w:jc w:val="center"/>
        <w:rPr>
          <w:rFonts w:hint="default" w:eastAsia="黑体"/>
          <w:sz w:val="32"/>
          <w:szCs w:val="24"/>
        </w:rPr>
      </w:pPr>
    </w:p>
    <w:p w14:paraId="0D287769">
      <w:pPr>
        <w:spacing w:beforeLines="0" w:afterLines="0" w:line="600" w:lineRule="exact"/>
        <w:ind w:firstLine="1920" w:firstLineChars="6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val="en-US" w:eastAsia="zh-CN"/>
        </w:rPr>
        <w:t>茶林镇中心幼儿园</w:t>
      </w:r>
      <w:r>
        <w:rPr>
          <w:rFonts w:hint="eastAsia" w:eastAsia="仿宋_GB2312"/>
          <w:sz w:val="32"/>
          <w:szCs w:val="24"/>
          <w:u w:val="single"/>
        </w:rPr>
        <w:t xml:space="preserve"> </w:t>
      </w:r>
    </w:p>
    <w:p w14:paraId="2EE4B1E9">
      <w:pPr>
        <w:spacing w:beforeLines="0" w:afterLines="0" w:line="600" w:lineRule="exact"/>
        <w:ind w:firstLine="3200" w:firstLineChars="1000"/>
        <w:rPr>
          <w:rFonts w:hint="eastAsia" w:eastAsia="楷体_GB2312"/>
          <w:sz w:val="32"/>
          <w:szCs w:val="24"/>
        </w:rPr>
      </w:pPr>
    </w:p>
    <w:p w14:paraId="125D51CC">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年</w:t>
      </w:r>
      <w:r>
        <w:rPr>
          <w:rFonts w:hint="eastAsia" w:eastAsia="楷体_GB2312"/>
          <w:sz w:val="32"/>
          <w:szCs w:val="24"/>
          <w:lang w:val="en-US" w:eastAsia="zh-CN"/>
        </w:rPr>
        <w:t>4</w:t>
      </w:r>
      <w:r>
        <w:rPr>
          <w:rFonts w:hint="eastAsia" w:eastAsia="楷体_GB2312"/>
          <w:sz w:val="32"/>
          <w:szCs w:val="24"/>
        </w:rPr>
        <w:t>月</w:t>
      </w:r>
      <w:r>
        <w:rPr>
          <w:rFonts w:hint="eastAsia" w:eastAsia="楷体_GB2312"/>
          <w:sz w:val="32"/>
          <w:szCs w:val="24"/>
          <w:lang w:val="en-US" w:eastAsia="zh-CN"/>
        </w:rPr>
        <w:t>22</w:t>
      </w:r>
      <w:r>
        <w:rPr>
          <w:rFonts w:hint="eastAsia" w:eastAsia="楷体_GB2312"/>
          <w:sz w:val="32"/>
          <w:szCs w:val="24"/>
        </w:rPr>
        <w:t>日</w:t>
      </w:r>
    </w:p>
    <w:p w14:paraId="18350490">
      <w:pPr>
        <w:spacing w:beforeLines="0" w:afterLines="0"/>
        <w:jc w:val="center"/>
        <w:rPr>
          <w:rFonts w:hint="default" w:eastAsia="黑体"/>
          <w:sz w:val="32"/>
          <w:szCs w:val="24"/>
        </w:rPr>
      </w:pPr>
    </w:p>
    <w:p w14:paraId="53E80D1F">
      <w:pPr>
        <w:spacing w:beforeLines="0" w:afterLines="0"/>
        <w:jc w:val="center"/>
        <w:outlineLvl w:val="0"/>
        <w:rPr>
          <w:rFonts w:hint="default" w:eastAsia="仿宋_GB2312"/>
          <w:sz w:val="32"/>
          <w:szCs w:val="24"/>
        </w:rPr>
      </w:pPr>
      <w:r>
        <w:rPr>
          <w:rFonts w:hint="eastAsia" w:eastAsia="仿宋_GB2312"/>
          <w:sz w:val="32"/>
          <w:szCs w:val="24"/>
        </w:rPr>
        <w:t>（此页为封面）</w:t>
      </w:r>
    </w:p>
    <w:p w14:paraId="1C6E4A6C">
      <w:pPr>
        <w:numPr>
          <w:ilvl w:val="0"/>
          <w:numId w:val="1"/>
        </w:numPr>
        <w:spacing w:beforeLines="0" w:afterLines="0" w:line="570" w:lineRule="exact"/>
        <w:outlineLvl w:val="0"/>
        <w:rPr>
          <w:rFonts w:hint="eastAsia"/>
        </w:rPr>
      </w:pPr>
      <w:r>
        <w:rPr>
          <w:rFonts w:hint="default" w:eastAsia="仿宋_GB2312"/>
          <w:sz w:val="32"/>
          <w:szCs w:val="24"/>
        </w:rPr>
        <w:br w:type="page"/>
      </w:r>
      <w:r>
        <w:rPr>
          <w:rFonts w:hint="eastAsia" w:eastAsia="黑体"/>
          <w:sz w:val="32"/>
          <w:szCs w:val="24"/>
        </w:rPr>
        <w:t>部门（单位）基本情况</w:t>
      </w:r>
    </w:p>
    <w:p w14:paraId="7A4075A8">
      <w:pPr>
        <w:pStyle w:val="5"/>
        <w:keepNext w:val="0"/>
        <w:keepLines w:val="0"/>
        <w:pageBreakBefore w:val="0"/>
        <w:widowControl w:val="0"/>
        <w:kinsoku/>
        <w:wordWrap/>
        <w:overflowPunct/>
        <w:topLinePunct w:val="0"/>
        <w:autoSpaceDE/>
        <w:autoSpaceDN/>
        <w:bidi w:val="0"/>
        <w:adjustRightInd/>
        <w:snapToGrid/>
        <w:spacing w:before="0" w:beforeAutospacing="0" w:after="0" w:line="360" w:lineRule="auto"/>
        <w:ind w:left="0" w:leftChars="0" w:firstLine="640" w:firstLineChars="200"/>
        <w:textAlignment w:val="auto"/>
        <w:rPr>
          <w:rFonts w:hint="default"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（一）基本情况</w:t>
      </w:r>
    </w:p>
    <w:p w14:paraId="0237D8CA">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1. 主要职能：全面贯彻党的教育方针，推行素质教育，加强师德师风建设，搞好教书育人工作，完成幼儿教育教学任务，提高全体师幼综合素质。</w:t>
      </w:r>
    </w:p>
    <w:p w14:paraId="29AFF1EF">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2. 机构情况：2025年茶林镇中心幼儿园独立编制机构共1个，独立核算机构共1个，均与上年持平。</w:t>
      </w:r>
    </w:p>
    <w:p w14:paraId="13600FAC">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rPr>
      </w:pPr>
      <w:r>
        <w:rPr>
          <w:rFonts w:hint="eastAsia" w:ascii="Times New Roman" w:hAnsi="Times New Roman" w:eastAsia="仿宋_GB2312" w:cstheme="minorBidi"/>
          <w:color w:val="000000"/>
          <w:kern w:val="2"/>
          <w:sz w:val="32"/>
          <w:szCs w:val="24"/>
          <w:lang w:val="en-US" w:eastAsia="zh-CN" w:bidi="ar-SA"/>
        </w:rPr>
        <w:t>3. 人员情况：2025年度年初人数1人，年末实有人数8人，其中新增7名编外幼师，1名编制内教师正常在岗，人员变动原因是为满足教学需求补充编外师资。</w:t>
      </w:r>
    </w:p>
    <w:p w14:paraId="601B2F04">
      <w:pPr>
        <w:keepNext w:val="0"/>
        <w:keepLines w:val="0"/>
        <w:pageBreakBefore w:val="0"/>
        <w:widowControl w:val="0"/>
        <w:kinsoku/>
        <w:wordWrap/>
        <w:overflowPunct/>
        <w:topLinePunct w:val="0"/>
        <w:autoSpaceDE/>
        <w:autoSpaceDN/>
        <w:bidi w:val="0"/>
        <w:adjustRightInd/>
        <w:snapToGrid/>
        <w:spacing w:beforeLines="0" w:beforeAutospacing="0" w:afterLines="0" w:line="360" w:lineRule="auto"/>
        <w:ind w:firstLine="640" w:firstLineChars="200"/>
        <w:textAlignment w:val="auto"/>
        <w:outlineLvl w:val="1"/>
        <w:rPr>
          <w:rFonts w:hint="eastAsia" w:ascii="仿宋_GB2312" w:eastAsia="仿宋_GB2312"/>
          <w:sz w:val="32"/>
          <w:szCs w:val="24"/>
          <w:lang w:eastAsia="zh-CN"/>
        </w:rPr>
      </w:pPr>
      <w:r>
        <w:rPr>
          <w:rFonts w:hint="eastAsia" w:ascii="仿宋_GB2312" w:eastAsia="仿宋_GB2312"/>
          <w:sz w:val="32"/>
          <w:szCs w:val="24"/>
        </w:rPr>
        <w:t>（二）部门（单位）整体支出规模</w:t>
      </w:r>
      <w:r>
        <w:rPr>
          <w:rFonts w:hint="eastAsia" w:ascii="仿宋_GB2312" w:eastAsia="仿宋_GB2312"/>
          <w:sz w:val="32"/>
          <w:szCs w:val="24"/>
          <w:lang w:eastAsia="zh-CN"/>
        </w:rPr>
        <w:t>：</w:t>
      </w:r>
    </w:p>
    <w:p w14:paraId="1B4E86A3">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2. 收入支出结构分析</w:t>
      </w:r>
    </w:p>
    <w:p w14:paraId="70AA2585">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（1）收入结构：财政拨款收入占比93%（105.61万元），事业收入占比4.7%（5.36万元），其他收入占比2.3%（2.58万元）。</w:t>
      </w:r>
    </w:p>
    <w:p w14:paraId="3CD6E863">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（2）支出结构：基本支出占比84%（94.81万元），项目支出占比16%（18.73万元）。</w:t>
      </w:r>
    </w:p>
    <w:p w14:paraId="054C0DFB">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基本支出中，人员经费占比97%（91.89万元），公用经费占比3%（2.93万元）。</w:t>
      </w:r>
    </w:p>
    <w:p w14:paraId="6300F484">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项目支出中，人员经费占比7%（1.25万元），公用经费占比93%（17.28万元）。</w:t>
      </w:r>
    </w:p>
    <w:p w14:paraId="78B8BF3E">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3. 支出按经济分类科目分析</w:t>
      </w:r>
    </w:p>
    <w:p w14:paraId="621DC47A">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（1）“三公”经费支出：2025年度支出0万元，较上年减少0.90万元，减少100%，原因是制度改革后严控开支。</w:t>
      </w:r>
    </w:p>
    <w:p w14:paraId="4F808B83">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（2）会议费支出：0万元，与上年持平。</w:t>
      </w:r>
    </w:p>
    <w:p w14:paraId="5CF9CB46">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（3）培训费支出：0.27万元，较上年减少0.38万元，减少58.2%，原因是上级未安排相关培训。</w:t>
      </w:r>
    </w:p>
    <w:p w14:paraId="5FFAA6BB">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（4）其他重点支出：无特殊大额支出。</w:t>
      </w:r>
    </w:p>
    <w:p w14:paraId="2DD88C9B">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（5）重点经济分类支出问题及改进措施：无。</w:t>
      </w:r>
    </w:p>
    <w:p w14:paraId="564B61DA">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4. 支出按功能分类科目分析</w:t>
      </w:r>
    </w:p>
    <w:p w14:paraId="67C1BB01">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教育支出占比最高，为77.45%（88.00万元），主要用于学前教育及其他普通教育相关开支；</w:t>
      </w:r>
    </w:p>
    <w:p w14:paraId="43EA9B90">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社会保障和就业支出占比7.86%（8.92万元），为机关事业单位基本养老保险缴费支出；</w:t>
      </w:r>
    </w:p>
    <w:p w14:paraId="2F94308E">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卫生健康支出占比4.01%（4.55万元），为事业单位医疗支出；</w:t>
      </w:r>
    </w:p>
    <w:p w14:paraId="53940EDF">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住房保障支出占比5.96%（6.76万元），为住房公积金支出；</w:t>
      </w:r>
    </w:p>
    <w:p w14:paraId="4FA3B906">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line="360" w:lineRule="auto"/>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 其他一般公共服务支出占比4.72%（5.36万元）。</w:t>
      </w:r>
    </w:p>
    <w:p w14:paraId="3D126639">
      <w:pPr>
        <w:pStyle w:val="8"/>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39A5187B">
      <w:pPr>
        <w:pStyle w:val="8"/>
        <w:spacing w:beforeLines="0" w:afterLines="0" w:line="570" w:lineRule="exact"/>
        <w:ind w:firstLine="640"/>
        <w:outlineLvl w:val="1"/>
        <w:rPr>
          <w:rFonts w:hint="eastAsia" w:ascii="Times New Roman" w:hAnsi="Times New Roman" w:eastAsia="仿宋_GB2312"/>
          <w:sz w:val="32"/>
          <w:szCs w:val="24"/>
          <w:lang w:eastAsia="zh-CN"/>
        </w:rPr>
      </w:pPr>
      <w:r>
        <w:rPr>
          <w:rFonts w:hint="eastAsia" w:ascii="Times New Roman" w:hAnsi="Times New Roman" w:eastAsia="仿宋_GB2312"/>
          <w:sz w:val="32"/>
          <w:szCs w:val="24"/>
        </w:rPr>
        <w:t>（一）基本支出情况</w:t>
      </w:r>
      <w:r>
        <w:rPr>
          <w:rFonts w:hint="eastAsia" w:ascii="Times New Roman" w:hAnsi="Times New Roman" w:eastAsia="仿宋_GB2312"/>
          <w:sz w:val="32"/>
          <w:szCs w:val="24"/>
          <w:lang w:eastAsia="zh-CN"/>
        </w:rPr>
        <w:t>：基本支出占比84%（94.81万元），人员经费占比97%（91.89万元），公用经费占比3%（2.93万元）。</w:t>
      </w:r>
    </w:p>
    <w:p w14:paraId="4263BE1E">
      <w:pPr>
        <w:pStyle w:val="8"/>
        <w:spacing w:beforeLines="0" w:afterLines="0" w:line="570" w:lineRule="exact"/>
        <w:ind w:firstLine="640"/>
        <w:outlineLvl w:val="1"/>
        <w:rPr>
          <w:rFonts w:hint="eastAsia" w:ascii="Times New Roman" w:hAnsi="Times New Roman" w:eastAsia="仿宋_GB2312"/>
          <w:sz w:val="32"/>
          <w:szCs w:val="24"/>
          <w:lang w:eastAsia="zh-CN"/>
        </w:rPr>
      </w:pPr>
      <w:r>
        <w:rPr>
          <w:rFonts w:hint="eastAsia" w:ascii="Times New Roman" w:hAnsi="Times New Roman" w:eastAsia="仿宋_GB2312"/>
          <w:sz w:val="32"/>
          <w:szCs w:val="24"/>
        </w:rPr>
        <w:t>（二）项目支出情况</w:t>
      </w:r>
      <w:r>
        <w:rPr>
          <w:rFonts w:hint="eastAsia" w:ascii="Times New Roman" w:hAnsi="Times New Roman" w:eastAsia="仿宋_GB2312"/>
          <w:sz w:val="32"/>
          <w:szCs w:val="24"/>
          <w:lang w:eastAsia="zh-CN"/>
        </w:rPr>
        <w:t>：项目支出占比16%（18.73万元），人员经费占比7%（1.25万元），公用经费占比93%（17.28万元）。</w:t>
      </w:r>
    </w:p>
    <w:p w14:paraId="34667EB2">
      <w:pPr>
        <w:pStyle w:val="8"/>
        <w:spacing w:beforeLines="0" w:afterLines="0" w:line="570" w:lineRule="exact"/>
        <w:ind w:firstLine="640"/>
        <w:jc w:val="left"/>
        <w:outlineLvl w:val="0"/>
        <w:rPr>
          <w:rFonts w:hint="eastAsia" w:ascii="Times New Roman" w:hAnsi="Times New Roman" w:eastAsia="仿宋_GB2312"/>
          <w:color w:val="000000"/>
          <w:sz w:val="32"/>
          <w:szCs w:val="24"/>
        </w:rPr>
      </w:pPr>
      <w:r>
        <w:rPr>
          <w:rFonts w:hint="eastAsia" w:ascii="Times New Roman" w:hAnsi="Times New Roman" w:eastAsia="黑体"/>
          <w:sz w:val="32"/>
          <w:szCs w:val="24"/>
        </w:rPr>
        <w:t>三、政府性基金预算支出情况。</w:t>
      </w:r>
      <w:r>
        <w:rPr>
          <w:rFonts w:hint="eastAsia" w:ascii="Times New Roman" w:hAnsi="Times New Roman" w:eastAsia="仿宋_GB2312"/>
          <w:color w:val="000000"/>
          <w:sz w:val="32"/>
          <w:szCs w:val="24"/>
        </w:rPr>
        <w:t>若无，请注明“我单位无政府性基金预算支出情况”</w:t>
      </w:r>
    </w:p>
    <w:p w14:paraId="348E5AE0">
      <w:pPr>
        <w:pStyle w:val="8"/>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四、国有资本经营预算支出情况。</w:t>
      </w:r>
      <w:r>
        <w:rPr>
          <w:rFonts w:hint="eastAsia" w:ascii="Times New Roman" w:hAnsi="Times New Roman" w:eastAsia="仿宋_GB2312"/>
          <w:color w:val="000000"/>
          <w:sz w:val="32"/>
          <w:szCs w:val="24"/>
        </w:rPr>
        <w:t>“我单位无国有资本经营预算支出情况”</w:t>
      </w:r>
    </w:p>
    <w:p w14:paraId="27C9B2CB">
      <w:pPr>
        <w:pStyle w:val="8"/>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五、社会保险基金预算支出情况。</w:t>
      </w:r>
      <w:r>
        <w:rPr>
          <w:rFonts w:hint="eastAsia" w:ascii="Times New Roman" w:hAnsi="Times New Roman" w:eastAsia="仿宋_GB2312"/>
          <w:color w:val="000000"/>
          <w:sz w:val="32"/>
          <w:szCs w:val="24"/>
        </w:rPr>
        <w:t>“我单位无社会保险基金预算支出情况”</w:t>
      </w:r>
    </w:p>
    <w:p w14:paraId="76064EE7">
      <w:pPr>
        <w:spacing w:beforeLines="0" w:afterLines="0" w:line="570" w:lineRule="exact"/>
        <w:ind w:firstLine="645"/>
        <w:jc w:val="left"/>
        <w:outlineLvl w:val="0"/>
        <w:rPr>
          <w:rFonts w:hint="default" w:eastAsia="黑体"/>
          <w:sz w:val="32"/>
          <w:szCs w:val="24"/>
        </w:rPr>
      </w:pPr>
      <w:r>
        <w:rPr>
          <w:rFonts w:hint="eastAsia" w:eastAsia="黑体"/>
          <w:sz w:val="32"/>
          <w:szCs w:val="24"/>
        </w:rPr>
        <w:t>六、部门整体支出绩效情况</w:t>
      </w:r>
    </w:p>
    <w:p w14:paraId="6741ED0F">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lang w:eastAsia="zh-CN"/>
        </w:rPr>
        <w:t>2025年度，</w:t>
      </w:r>
      <w:r>
        <w:rPr>
          <w:rFonts w:hint="eastAsia" w:eastAsia="仿宋_GB2312"/>
          <w:color w:val="000000"/>
          <w:sz w:val="32"/>
          <w:szCs w:val="24"/>
        </w:rPr>
        <w:t>整体支出绩效目标完成良好，教育教学质量稳步提升，群众满意度持续提高，社会效益显著</w:t>
      </w:r>
      <w:r>
        <w:rPr>
          <w:rFonts w:hint="eastAsia" w:eastAsia="仿宋_GB2312"/>
          <w:color w:val="000000"/>
          <w:sz w:val="32"/>
          <w:szCs w:val="24"/>
          <w:lang w:eastAsia="zh-CN"/>
        </w:rPr>
        <w:t>，在上级教育主管部门领导下，单位按核准业务范围开展活动，成效显著</w:t>
      </w:r>
      <w:r>
        <w:rPr>
          <w:rFonts w:hint="eastAsia" w:eastAsia="仿宋_GB2312"/>
          <w:color w:val="000000"/>
          <w:sz w:val="32"/>
          <w:szCs w:val="24"/>
        </w:rPr>
        <w:t>：</w:t>
      </w:r>
    </w:p>
    <w:p w14:paraId="631BA579">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1. 安全教育扎实开展：通过多种途径强化幼儿法制、安全、心理健康教育，筑牢安全防线。</w:t>
      </w:r>
    </w:p>
    <w:p w14:paraId="3DA7B0F5">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2. 教学质量稳步提升：严格落实拒绝“小学化”政策，加强幼儿常规管理，开展丰富体育活动，培养幼儿健康体质与综合素养。</w:t>
      </w:r>
    </w:p>
    <w:p w14:paraId="5977D768">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3. 教研工作深入推进：倡导课题研究，组织教师聚焦教育教学难点热点开展行动研究，注重实用性与实效性。</w:t>
      </w:r>
    </w:p>
    <w:p w14:paraId="5B0C81EB">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4. 师资队伍持续优化：规范培训制度，开展师德及业务培训，提升教师整体素质与教育教学能力。</w:t>
      </w:r>
    </w:p>
    <w:p w14:paraId="468B6EB3">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5. 后勤服务不断完善：规范园产与财务管理，严格执行收费标准并公示；强化食堂管理，保障饮食卫生安全。</w:t>
      </w:r>
    </w:p>
    <w:p w14:paraId="7399593C">
      <w:pPr>
        <w:pStyle w:val="8"/>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6. 制度建设逐步健全：完善幼儿园管理制度，实现依法办园、依法行政，推进和谐教育，社会效益良好；积极参与扶贫攻坚，做好贫困幼儿助学工作。</w:t>
      </w:r>
    </w:p>
    <w:p w14:paraId="41D46F9A">
      <w:pPr>
        <w:pStyle w:val="8"/>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7131B5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（一）部门整体</w:t>
      </w:r>
    </w:p>
    <w:p w14:paraId="7B5228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双牌县茶林镇中心幼儿园严格按照预算资金绩效管理办法，及时开展项目落实，为预算执行工作开展提供了保障，但还存在预算绩效制度还不够健全、预算绩效管理质量不高等问题。</w:t>
      </w:r>
    </w:p>
    <w:p w14:paraId="15AF75C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（二）项目支出</w:t>
      </w:r>
    </w:p>
    <w:p w14:paraId="73F72AC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在编制预算时不知道有的项目是否纳入预算，有的项目纳入了预算，不知道具体安排资金，以致不能及时将项目编制纳入项目库。只能按估计数额编报，因而导致财政专项资金的使用效益浮动大，使专项资金不能得到合理、有效使用。有些项目预算进度较慢，应加强履行相关报批手续。</w:t>
      </w:r>
    </w:p>
    <w:p w14:paraId="0BC4C814">
      <w:pPr>
        <w:numPr>
          <w:ilvl w:val="0"/>
          <w:numId w:val="2"/>
        </w:num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下一步改进措施</w:t>
      </w:r>
    </w:p>
    <w:p w14:paraId="00225FB7">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1、结合上一年度预算执行情况和本年度预算收化因素， 科学、合理地编制本年预算支出，根据项目资金下达时间及项目工作开展情况，及时拨付项目资金。</w:t>
      </w:r>
    </w:p>
    <w:p w14:paraId="37221A87">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2、科学严谨编制年度部门预算，细化部门预算内容，保证预算的精准性，通过中期预算执行情况合理调配资金，提高资金使用效益。</w:t>
      </w:r>
    </w:p>
    <w:p w14:paraId="1F485DF8">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3、通过中期预算执行情况合理调配资金，增强与统计各专业股室协调合作，提高项目执行率，提高资金支付效率。</w:t>
      </w:r>
    </w:p>
    <w:p w14:paraId="36AADE1C">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default"/>
        </w:rPr>
      </w:pPr>
      <w:r>
        <w:rPr>
          <w:rFonts w:hint="eastAsia" w:ascii="Calibri" w:hAnsi="Calibri" w:eastAsia="仿宋_GB2312" w:cstheme="minorBidi"/>
          <w:color w:val="000000"/>
          <w:kern w:val="0"/>
          <w:sz w:val="32"/>
          <w:szCs w:val="24"/>
          <w:lang w:val="en-US" w:eastAsia="zh-CN" w:bidi="ar-SA"/>
        </w:rPr>
        <w:t>4、进一步细化年初采购项目，准确判断采购项目必要性及合理性，在年初时合理预估政府采购金额。</w:t>
      </w:r>
    </w:p>
    <w:p w14:paraId="7E3E2C06">
      <w:pPr>
        <w:spacing w:beforeLines="0" w:afterLines="0" w:line="570" w:lineRule="exact"/>
        <w:ind w:firstLine="645"/>
        <w:jc w:val="left"/>
        <w:outlineLvl w:val="0"/>
        <w:rPr>
          <w:rFonts w:hint="eastAsia" w:eastAsia="黑体"/>
          <w:sz w:val="32"/>
          <w:szCs w:val="24"/>
        </w:rPr>
      </w:pPr>
      <w:r>
        <w:rPr>
          <w:rFonts w:hint="eastAsia" w:eastAsia="黑体"/>
          <w:sz w:val="32"/>
          <w:szCs w:val="24"/>
        </w:rPr>
        <w:t>九、部门整体支出绩效自评结果拟应用和公开情况</w:t>
      </w:r>
    </w:p>
    <w:p w14:paraId="1AA15052">
      <w:pPr>
        <w:pStyle w:val="2"/>
        <w:ind w:firstLine="640" w:firstLineChars="200"/>
        <w:rPr>
          <w:rFonts w:hint="default" w:ascii="Calibri" w:hAnsi="Calibri" w:eastAsia="仿宋_GB2312" w:cstheme="minorBidi"/>
          <w:color w:val="000000"/>
          <w:kern w:val="0"/>
          <w:sz w:val="32"/>
          <w:szCs w:val="24"/>
          <w:lang w:val="en-US" w:eastAsia="zh-CN" w:bidi="ar-SA"/>
        </w:rPr>
      </w:pPr>
      <w:r>
        <w:rPr>
          <w:rFonts w:hint="eastAsia" w:ascii="Calibri" w:hAnsi="Calibri" w:eastAsia="仿宋_GB2312" w:cstheme="minorBidi"/>
          <w:color w:val="000000"/>
          <w:kern w:val="0"/>
          <w:sz w:val="32"/>
          <w:szCs w:val="24"/>
          <w:lang w:val="en-US" w:eastAsia="zh-CN" w:bidi="ar-SA"/>
        </w:rPr>
        <w:t>茶林镇中心幼儿园部门整体支出绩效自评应用情况良好，自评结果基本符合工作实际，自评结果经财政部门审核后向大众公开。</w:t>
      </w:r>
    </w:p>
    <w:p w14:paraId="01DB40FA">
      <w:pPr>
        <w:pStyle w:val="2"/>
        <w:rPr>
          <w:rFonts w:hint="eastAsia" w:eastAsia="黑体"/>
          <w:sz w:val="32"/>
          <w:szCs w:val="24"/>
        </w:rPr>
      </w:pPr>
      <w:r>
        <w:rPr>
          <w:rFonts w:hint="eastAsia" w:eastAsia="黑体"/>
          <w:sz w:val="32"/>
          <w:szCs w:val="24"/>
        </w:rPr>
        <w:t>其他需要说明的情况</w:t>
      </w:r>
    </w:p>
    <w:p w14:paraId="30CCE8C6">
      <w:pPr>
        <w:pStyle w:val="2"/>
        <w:rPr>
          <w:rFonts w:hint="eastAsia" w:eastAsia="黑体"/>
          <w:sz w:val="32"/>
          <w:szCs w:val="24"/>
          <w:lang w:val="en-US" w:eastAsia="zh-CN"/>
        </w:rPr>
      </w:pPr>
      <w:r>
        <w:rPr>
          <w:rFonts w:hint="eastAsia" w:eastAsia="黑体"/>
          <w:sz w:val="32"/>
          <w:szCs w:val="24"/>
          <w:lang w:val="en-US" w:eastAsia="zh-CN"/>
        </w:rPr>
        <w:t>无</w:t>
      </w:r>
    </w:p>
    <w:p w14:paraId="2CA42362">
      <w:pPr>
        <w:pStyle w:val="2"/>
        <w:rPr>
          <w:rFonts w:hint="eastAsia" w:eastAsia="黑体"/>
          <w:sz w:val="32"/>
          <w:szCs w:val="24"/>
          <w:lang w:val="en-US" w:eastAsia="zh-CN"/>
        </w:rPr>
      </w:pPr>
    </w:p>
    <w:p w14:paraId="32359D06">
      <w:pPr>
        <w:pStyle w:val="2"/>
        <w:rPr>
          <w:rFonts w:hint="eastAsia" w:eastAsia="黑体"/>
          <w:sz w:val="32"/>
          <w:szCs w:val="24"/>
          <w:lang w:val="en-US" w:eastAsia="zh-CN"/>
        </w:rPr>
      </w:pPr>
    </w:p>
    <w:p w14:paraId="0240ADA8">
      <w:pPr>
        <w:pStyle w:val="2"/>
        <w:rPr>
          <w:rFonts w:hint="eastAsia" w:eastAsia="黑体"/>
          <w:sz w:val="32"/>
          <w:szCs w:val="24"/>
          <w:lang w:val="en-US" w:eastAsia="zh-CN"/>
        </w:rPr>
      </w:pPr>
    </w:p>
    <w:p w14:paraId="57891F4C">
      <w:pPr>
        <w:pStyle w:val="2"/>
        <w:rPr>
          <w:rFonts w:hint="eastAsia" w:eastAsia="黑体"/>
          <w:sz w:val="32"/>
          <w:szCs w:val="24"/>
          <w:lang w:val="en-US" w:eastAsia="zh-CN"/>
        </w:rPr>
      </w:pPr>
    </w:p>
    <w:p w14:paraId="77576540">
      <w:pPr>
        <w:pStyle w:val="2"/>
        <w:rPr>
          <w:rFonts w:hint="eastAsia" w:eastAsia="黑体"/>
          <w:sz w:val="32"/>
          <w:szCs w:val="24"/>
          <w:lang w:val="en-US" w:eastAsia="zh-CN"/>
        </w:rPr>
      </w:pPr>
    </w:p>
    <w:p w14:paraId="06B6E9E1">
      <w:pPr>
        <w:pStyle w:val="2"/>
        <w:rPr>
          <w:rFonts w:hint="eastAsia" w:eastAsia="黑体"/>
          <w:sz w:val="32"/>
          <w:szCs w:val="24"/>
          <w:lang w:val="en-US" w:eastAsia="zh-CN"/>
        </w:rPr>
      </w:pPr>
    </w:p>
    <w:p w14:paraId="694CACAD">
      <w:pPr>
        <w:pStyle w:val="2"/>
        <w:rPr>
          <w:rFonts w:hint="eastAsia" w:eastAsia="黑体"/>
          <w:sz w:val="32"/>
          <w:szCs w:val="24"/>
          <w:lang w:val="en-US" w:eastAsia="zh-CN"/>
        </w:rPr>
      </w:pPr>
    </w:p>
    <w:p w14:paraId="3001F2CD">
      <w:pPr>
        <w:pStyle w:val="2"/>
        <w:rPr>
          <w:rFonts w:hint="eastAsia" w:eastAsia="黑体"/>
          <w:sz w:val="32"/>
          <w:szCs w:val="24"/>
          <w:lang w:val="en-US" w:eastAsia="zh-CN"/>
        </w:rPr>
      </w:pPr>
    </w:p>
    <w:p w14:paraId="20470613">
      <w:pPr>
        <w:pStyle w:val="2"/>
        <w:rPr>
          <w:rFonts w:hint="eastAsia" w:eastAsia="黑体"/>
          <w:sz w:val="32"/>
          <w:szCs w:val="24"/>
          <w:lang w:val="en-US" w:eastAsia="zh-CN"/>
        </w:rPr>
      </w:pPr>
    </w:p>
    <w:p w14:paraId="746619ED">
      <w:pPr>
        <w:pStyle w:val="2"/>
        <w:rPr>
          <w:rFonts w:hint="eastAsia" w:eastAsia="黑体"/>
          <w:sz w:val="32"/>
          <w:szCs w:val="24"/>
          <w:lang w:val="en-US" w:eastAsia="zh-CN"/>
        </w:rPr>
      </w:pPr>
    </w:p>
    <w:p w14:paraId="562CBCF7">
      <w:pPr>
        <w:pStyle w:val="2"/>
        <w:rPr>
          <w:rFonts w:hint="eastAsia" w:eastAsia="黑体"/>
          <w:sz w:val="32"/>
          <w:szCs w:val="24"/>
          <w:lang w:val="en-US" w:eastAsia="zh-CN"/>
        </w:rPr>
      </w:pPr>
    </w:p>
    <w:p w14:paraId="76C52027">
      <w:pPr>
        <w:pStyle w:val="2"/>
        <w:rPr>
          <w:rFonts w:hint="eastAsia" w:eastAsia="黑体"/>
          <w:sz w:val="32"/>
          <w:szCs w:val="24"/>
          <w:lang w:val="en-US" w:eastAsia="zh-CN"/>
        </w:rPr>
      </w:pPr>
    </w:p>
    <w:p w14:paraId="46B10855">
      <w:pPr>
        <w:pStyle w:val="2"/>
        <w:rPr>
          <w:rFonts w:hint="eastAsia" w:eastAsia="黑体"/>
          <w:sz w:val="32"/>
          <w:szCs w:val="24"/>
          <w:lang w:val="en-US" w:eastAsia="zh-CN"/>
        </w:rPr>
      </w:pPr>
    </w:p>
    <w:p w14:paraId="7FB9E7DB">
      <w:pPr>
        <w:pStyle w:val="2"/>
        <w:rPr>
          <w:rFonts w:hint="eastAsia" w:eastAsia="黑体"/>
          <w:sz w:val="32"/>
          <w:szCs w:val="24"/>
          <w:lang w:val="en-US" w:eastAsia="zh-CN"/>
        </w:rPr>
      </w:pPr>
    </w:p>
    <w:p w14:paraId="32AB5271">
      <w:pPr>
        <w:pStyle w:val="2"/>
        <w:rPr>
          <w:rFonts w:hint="eastAsia" w:eastAsia="黑体"/>
          <w:sz w:val="32"/>
          <w:szCs w:val="24"/>
          <w:lang w:val="en-US" w:eastAsia="zh-CN"/>
        </w:rPr>
      </w:pPr>
    </w:p>
    <w:p w14:paraId="2A542A7B">
      <w:pPr>
        <w:pStyle w:val="2"/>
        <w:rPr>
          <w:rFonts w:hint="eastAsia" w:eastAsia="黑体"/>
          <w:sz w:val="32"/>
          <w:szCs w:val="24"/>
          <w:lang w:val="en-US" w:eastAsia="zh-CN"/>
        </w:rPr>
      </w:pPr>
    </w:p>
    <w:p w14:paraId="687D1A93">
      <w:pPr>
        <w:pStyle w:val="2"/>
        <w:rPr>
          <w:rFonts w:hint="eastAsia" w:eastAsia="黑体"/>
          <w:sz w:val="32"/>
          <w:szCs w:val="24"/>
          <w:lang w:val="en-US" w:eastAsia="zh-CN"/>
        </w:rPr>
      </w:pPr>
    </w:p>
    <w:p w14:paraId="25314354">
      <w:pPr>
        <w:pStyle w:val="2"/>
        <w:rPr>
          <w:rFonts w:hint="eastAsia" w:eastAsia="黑体"/>
          <w:sz w:val="32"/>
          <w:szCs w:val="24"/>
          <w:lang w:val="en-US" w:eastAsia="zh-CN"/>
        </w:rPr>
      </w:pPr>
    </w:p>
    <w:p w14:paraId="5A11B499">
      <w:pPr>
        <w:pStyle w:val="2"/>
        <w:ind w:left="0" w:leftChars="0" w:firstLine="0" w:firstLineChars="0"/>
        <w:rPr>
          <w:rFonts w:hint="eastAsia" w:eastAsia="黑体"/>
          <w:sz w:val="32"/>
          <w:szCs w:val="24"/>
          <w:lang w:val="en-US" w:eastAsia="zh-CN"/>
        </w:rPr>
      </w:pPr>
      <w:r>
        <w:rPr>
          <w:rFonts w:hint="eastAsia" w:eastAsia="黑体"/>
          <w:sz w:val="32"/>
          <w:szCs w:val="24"/>
          <w:lang w:val="en-US" w:eastAsia="zh-CN"/>
        </w:rPr>
        <w:t>附件二</w:t>
      </w:r>
    </w:p>
    <w:p w14:paraId="0706292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w:t>
      </w: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基础数据表</w:t>
      </w:r>
    </w:p>
    <w:tbl>
      <w:tblPr>
        <w:tblStyle w:val="6"/>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114.92%</w:t>
            </w:r>
            <w:r>
              <w:rPr>
                <w:rFonts w:hint="eastAsia" w:asciiTheme="minorEastAsia" w:hAnsiTheme="minorEastAsia" w:eastAsiaTheme="minorEastAsia" w:cstheme="minorEastAsia"/>
                <w:sz w:val="24"/>
                <w:szCs w:val="24"/>
              </w:rPr>
              <w:t>　</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7ECAF6">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38.52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AAB80B7">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89.54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16DAAD">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94.81</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25A659">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18.61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spacing w:beforeLines="0" w:afterLines="0"/>
              <w:jc w:val="center"/>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3.29</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55C7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3.92</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1E62E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2.38</w:t>
            </w:r>
            <w:r>
              <w:rPr>
                <w:rFonts w:hint="eastAsia" w:asciiTheme="minorEastAsia" w:hAnsiTheme="minorEastAsia" w:eastAsiaTheme="minorEastAsia" w:cstheme="minorEastAsia"/>
                <w:sz w:val="24"/>
                <w:szCs w:val="24"/>
              </w:rPr>
              <w:t>　</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80945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0.88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w:t>
            </w:r>
            <w:r>
              <w:rPr>
                <w:rFonts w:hint="eastAsia" w:asciiTheme="minorEastAsia" w:hAnsiTheme="minorEastAsia" w:eastAsiaTheme="minorEastAsia" w:cstheme="minorEastAsia"/>
                <w:sz w:val="24"/>
                <w:szCs w:val="24"/>
              </w:rPr>
              <w:t>　</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85833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0.16</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0.24</w:t>
            </w:r>
            <w:r>
              <w:rPr>
                <w:rFonts w:hint="eastAsia" w:asciiTheme="minorEastAsia" w:hAnsiTheme="minorEastAsia" w:eastAsiaTheme="minorEastAsia" w:cstheme="minorEastAsia"/>
                <w:sz w:val="24"/>
                <w:szCs w:val="24"/>
              </w:rPr>
              <w:t>　</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98E9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0.9</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0.9</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27.9</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4DBCD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18.73</w:t>
            </w:r>
          </w:p>
        </w:tc>
      </w:tr>
      <w:tr w14:paraId="438D5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06124B">
            <w:pPr>
              <w:spacing w:beforeLines="0" w:afterLine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业务工作经费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2A506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7.84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83031B">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885F02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4.22</w:t>
            </w:r>
          </w:p>
        </w:tc>
      </w:tr>
      <w:tr w14:paraId="44D3F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5EF2DE9">
            <w:pPr>
              <w:spacing w:beforeLines="0" w:afterLine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本级专项资金</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C75A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20.06</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EE8B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C136D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14.51</w:t>
            </w:r>
            <w:r>
              <w:rPr>
                <w:rFonts w:hint="eastAsia" w:asciiTheme="minorEastAsia" w:hAnsiTheme="minorEastAsia" w:eastAsiaTheme="minorEastAsia" w:cstheme="minorEastAsia"/>
                <w:sz w:val="24"/>
                <w:szCs w:val="24"/>
              </w:rPr>
              <w:t>　</w:t>
            </w:r>
          </w:p>
        </w:tc>
      </w:tr>
      <w:tr w14:paraId="2EB18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F67A7B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幼儿伙食费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C7B9C0">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BB59A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16898C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5.36</w:t>
            </w:r>
          </w:p>
        </w:tc>
      </w:tr>
      <w:tr w14:paraId="631DB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07CF9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幼儿保教费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C58B6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20.06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87634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A3FE9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9.15</w:t>
            </w:r>
          </w:p>
        </w:tc>
      </w:tr>
      <w:tr w14:paraId="50BC6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981B5D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w:t>
            </w:r>
            <w:r>
              <w:rPr>
                <w:rFonts w:hint="eastAsia" w:asciiTheme="minorEastAsia" w:hAnsiTheme="minorEastAsia" w:eastAsiaTheme="minorEastAsia" w:cstheme="minorEastAsia"/>
                <w:sz w:val="24"/>
                <w:szCs w:val="24"/>
              </w:rPr>
              <w:t>　</w:t>
            </w: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97048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00E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8C4C93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89.54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2E263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94.81</w:t>
            </w:r>
            <w:r>
              <w:rPr>
                <w:rFonts w:hint="eastAsia" w:asciiTheme="minorEastAsia" w:hAnsiTheme="minorEastAsia" w:eastAsiaTheme="minorEastAsia" w:cstheme="minorEastAsia"/>
                <w:sz w:val="24"/>
                <w:szCs w:val="24"/>
              </w:rPr>
              <w:t>　</w:t>
            </w:r>
          </w:p>
        </w:tc>
      </w:tr>
      <w:tr w14:paraId="1CF9A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243DF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57ECA7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86E6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169F853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F2DC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A810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79EE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FCFFF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7DEE8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05EFD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A66288">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551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6FEAD">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7B2E3">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D3A71">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0B19">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18781">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r>
      <w:tr w14:paraId="3F711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A7917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24EF81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2025年度我单位无楼堂馆所建设</w:t>
            </w:r>
            <w:r>
              <w:rPr>
                <w:rFonts w:hint="eastAsia" w:asciiTheme="minorEastAsia" w:hAnsiTheme="minorEastAsia" w:eastAsiaTheme="minorEastAsia" w:cstheme="minorEastAsia"/>
                <w:sz w:val="24"/>
                <w:szCs w:val="24"/>
              </w:rPr>
              <w:t>　</w:t>
            </w:r>
          </w:p>
        </w:tc>
      </w:tr>
    </w:tbl>
    <w:p w14:paraId="20F60A84">
      <w:pPr>
        <w:spacing w:beforeLines="0" w:afterLines="0" w:line="100" w:lineRule="exact"/>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04A7482">
      <w:pPr>
        <w:spacing w:beforeLines="0" w:afterLines="0" w:line="100" w:lineRule="exact"/>
        <w:jc w:val="left"/>
        <w:rPr>
          <w:rFonts w:hint="eastAsia" w:asciiTheme="minorEastAsia" w:hAnsiTheme="minorEastAsia" w:eastAsiaTheme="minorEastAsia" w:cstheme="minorEastAsia"/>
          <w:sz w:val="24"/>
          <w:szCs w:val="24"/>
        </w:rPr>
      </w:pPr>
    </w:p>
    <w:p w14:paraId="57F1F3BA">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胡易娜</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 xml:space="preserve">2026年4月22日 </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17769477351</w:t>
      </w:r>
    </w:p>
    <w:p w14:paraId="76BC2FF6">
      <w:pPr>
        <w:pStyle w:val="2"/>
        <w:ind w:left="0" w:leftChars="0" w:firstLine="0" w:firstLineChars="0"/>
        <w:rPr>
          <w:rFonts w:hint="default" w:eastAsia="仿宋_GB2312"/>
          <w:sz w:val="22"/>
          <w:szCs w:val="24"/>
        </w:rPr>
      </w:pPr>
      <w:r>
        <w:rPr>
          <w:rFonts w:hint="eastAsia" w:asciiTheme="minorEastAsia" w:hAnsiTheme="minorEastAsia" w:eastAsiaTheme="minorEastAsia" w:cstheme="minorEastAsia"/>
          <w:sz w:val="24"/>
          <w:szCs w:val="24"/>
        </w:rPr>
        <w:t>单位负责人签字：</w:t>
      </w:r>
      <w:r>
        <w:rPr>
          <w:rFonts w:hint="default" w:eastAsia="仿宋_GB2312"/>
          <w:sz w:val="22"/>
          <w:szCs w:val="24"/>
        </w:rPr>
        <w:br w:type="page"/>
      </w:r>
    </w:p>
    <w:p w14:paraId="0103381D">
      <w:pPr>
        <w:pStyle w:val="2"/>
        <w:ind w:left="0" w:leftChars="0" w:firstLine="0" w:firstLineChars="0"/>
        <w:rPr>
          <w:rFonts w:hint="eastAsia" w:eastAsia="黑体"/>
          <w:sz w:val="32"/>
          <w:szCs w:val="24"/>
          <w:lang w:val="en-US" w:eastAsia="zh-CN"/>
        </w:rPr>
      </w:pPr>
      <w:r>
        <w:rPr>
          <w:rFonts w:hint="eastAsia" w:eastAsia="黑体"/>
          <w:sz w:val="32"/>
          <w:szCs w:val="24"/>
          <w:lang w:val="en-US" w:eastAsia="zh-CN"/>
        </w:rPr>
        <w:t>附件三</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6"/>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双牌县茶林镇中心幼儿园</w:t>
            </w:r>
            <w:r>
              <w:rPr>
                <w:rFonts w:hint="eastAsia" w:asciiTheme="minorEastAsia" w:hAnsiTheme="minorEastAsia" w:eastAsiaTheme="minorEastAsia" w:cstheme="minorEastAsia"/>
                <w:color w:val="000000"/>
                <w:sz w:val="24"/>
                <w:szCs w:val="24"/>
              </w:rPr>
              <w:t>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C900755">
            <w:pPr>
              <w:spacing w:beforeLines="0" w:afterLines="0" w:line="240" w:lineRule="exact"/>
              <w:jc w:val="center"/>
              <w:rPr>
                <w:rFonts w:hint="eastAsia" w:asciiTheme="minorEastAsia" w:hAnsiTheme="minorEastAsia" w:eastAsiaTheme="minorEastAsia" w:cstheme="minorEastAsia"/>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eastAsia" w:asciiTheme="minorEastAsia" w:hAnsiTheme="minorEastAsia" w:eastAsiaTheme="minorEastAsia" w:cstheme="minorEastAsia"/>
                <w:sz w:val="24"/>
                <w:szCs w:val="24"/>
              </w:rPr>
            </w:pP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97205">
            <w:pPr>
              <w:spacing w:beforeLines="0" w:afterLines="0" w:line="240" w:lineRule="exact"/>
              <w:jc w:val="center"/>
              <w:rPr>
                <w:rFonts w:hint="eastAsia" w:asciiTheme="minorEastAsia" w:hAnsiTheme="minorEastAsia" w:eastAsiaTheme="minorEastAsia" w:cstheme="minorEastAsia"/>
                <w:sz w:val="24"/>
                <w:szCs w:val="24"/>
              </w:rPr>
            </w:pP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eastAsia" w:asciiTheme="minorEastAsia" w:hAnsiTheme="minorEastAsia" w:eastAsiaTheme="minorEastAsia" w:cstheme="minorEastAsia"/>
                <w:sz w:val="24"/>
                <w:szCs w:val="24"/>
              </w:rPr>
            </w:pP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eastAsia" w:asciiTheme="minorEastAsia" w:hAnsiTheme="minorEastAsia" w:eastAsiaTheme="minorEastAsia" w:cstheme="minorEastAsia"/>
                <w:sz w:val="24"/>
                <w:szCs w:val="24"/>
              </w:rPr>
            </w:pP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  其中：  一般公共预算：</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其中：基本支出：</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政府性基金拨款：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项目支出：</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茶林镇中心幼儿园工作有序开展，创设和谐的教育教学环境，全面推行素质教育，努力提高幼儿园教育教学质量，加强师德师风管理，培养教师能力发展科学开支保证园内基本支出以及大小设施设备购置。</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3C76CD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0"/>
                <w:szCs w:val="20"/>
              </w:rPr>
              <w:t>2025年度，我单位在上级教育主管部门领导下，按照核准登记的业务范围开展活动，主要做了以下几个方面的工作：开展幼儿安全教育活动。通过多种有效途径加强幼儿安全教育，强化法制、安全、心理健康教育，收到较好效果。开展教育教学活动。加强幼儿常规管理，贯彻落实拒绝“小学化”政策。培养幼儿园综合素质，切实开展体育活动，培养幼儿健康体质。开展教育科学研究活动。积极倡导课题深研究，组织教师对教育教学和管理中的难点和热点问题开展研究，提倡行动研究，注重研究的可操作性与实效性。开展教师培训活动。规范教师培训制度，组织教职工开展师德培训，加强教育工作，根据校本培训方案认真实施校本培训工作，努力提升教师整体素质，不断提高教师教育教学能力。开展园内后勤服务活动。加强园产管理，规范园产的购入、登记、出借、报损、核查和入账手续，做到账物相符、账账相符。规范财务管理，严格执行有关收费规定，及时公示收费项目和标准。改进食堂管理，加强对食品采购、验收、储存、制作与加工等诸多环节的管理工作，确保饮食卫生安全。开展幼儿园规章制度建设及其他教育管理活动。健全组织结构，完善管理制度，建立起一套适合本园实际的幼儿园管理制度，实现依法办园、依法行政，以此促进全局工作逐步走上规范化、科学化、民主化轨道，着力推进了和谐教育，取得较好的社会效益。积极参与政府组织的扶贫攻坚任务，切实做好贫困幼儿的助学活动。取得的主要效益健全组织结构，完善管理制度，建立起一套适合本园实际的幼儿园管理制度，实现依法办园、依法行政，以此促进全园工作逐走上规范化、科学化、民主化轨道，着力推进了和谐教育，取得了较好的社会效益。</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0A93DB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303CB3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9D9056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95F4F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11D9FF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E6D05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4769B6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35</w:t>
            </w:r>
            <w:r>
              <w:rPr>
                <w:rFonts w:hint="eastAsia" w:asciiTheme="minorEastAsia" w:hAnsiTheme="minorEastAsia" w:eastAsiaTheme="minorEastAsia" w:cstheme="minorEastAsia"/>
                <w:color w:val="000000"/>
                <w:sz w:val="24"/>
                <w:szCs w:val="24"/>
              </w:rPr>
              <w:t>分)</w:t>
            </w: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529AA3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重点工作</w:t>
            </w:r>
          </w:p>
          <w:p w14:paraId="35E3A3C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项目数量</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2254CC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0C7C6">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幼儿数量</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BA46B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B206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102</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C57F5">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9BE3C9">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3.9</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6143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25年下半年学生数量锐减</w:t>
            </w:r>
          </w:p>
        </w:tc>
      </w:tr>
      <w:tr w14:paraId="7758F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61004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EA550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BB2766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E461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教职工人数</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77728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1FFF95">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13BF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23959">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BAF19C">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5481B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107B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41C26">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资金使用合规性</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5478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45176">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E118C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7314D">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0C32E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F737A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31D661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46445E">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727B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完成及时性</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596216">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57E6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0.75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095615">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77A39">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3.75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D77E6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因12月份资金回收，股部分资金未使用</w:t>
            </w:r>
          </w:p>
        </w:tc>
      </w:tr>
      <w:tr w14:paraId="1224C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EB4A7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4D9E80A">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51AB44B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65</w:t>
            </w:r>
            <w:r>
              <w:rPr>
                <w:rFonts w:hint="eastAsia" w:asciiTheme="minorEastAsia" w:hAnsiTheme="minorEastAsia" w:eastAsiaTheme="minorEastAsia" w:cstheme="minorEastAsia"/>
                <w:color w:val="000000"/>
                <w:sz w:val="24"/>
                <w:szCs w:val="24"/>
              </w:rPr>
              <w:t>分）</w:t>
            </w:r>
          </w:p>
          <w:p w14:paraId="0C2AA3F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3C18B5F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B118E8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14:paraId="4570D7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107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153EFF">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专项资金使用率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1C8AAE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3C518">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9FE4E">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A67E4">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6362">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51A6C3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BB1BA8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07A3D7">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71BE5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34EB46">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美化校园环境</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8743F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校园环境干净整洁</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5F3E3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6E0F6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09A32F">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8FBA5D">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3A310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3820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5A61B6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C4CC9C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49C9DE">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促进当前学前教育</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3E99ED">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效果明显</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98215">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3DD864">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AC40D2">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7F1F650">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1CACF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FEECE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585BBE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903E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30B271">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加强师德师风</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FB0383E">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效果明显</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A83A6D">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2B6B1F">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ED0D6">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CDE4A5">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04D274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FC40F7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E24E05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749445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61B0F7">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提高教育教学质量</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5DAE8B">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幼儿年龄段目标达成</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4FF03B">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94004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2CEFD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ABF1F5">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部分小班幼儿未达成阶段目标</w:t>
            </w:r>
          </w:p>
        </w:tc>
      </w:tr>
      <w:tr w14:paraId="63ABF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FA036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589AE2">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right w:val="single" w:color="auto" w:sz="6" w:space="0"/>
              <w:tl2br w:val="nil"/>
              <w:tr2bl w:val="nil"/>
            </w:tcBorders>
            <w:noWrap w:val="0"/>
            <w:vAlign w:val="center"/>
          </w:tcPr>
          <w:p w14:paraId="60675979">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成本指标</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6CEFD4">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部门整体支出</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9F3086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151.35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4627A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113.54</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973">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090C6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9.75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F90A9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本年度人员经费</w:t>
            </w:r>
          </w:p>
        </w:tc>
      </w:tr>
      <w:tr w14:paraId="58F6A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CF979B6">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54310AA">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continue"/>
            <w:tcBorders>
              <w:left w:val="single" w:color="auto" w:sz="6" w:space="0"/>
              <w:right w:val="single" w:color="auto" w:sz="6" w:space="0"/>
              <w:tl2br w:val="nil"/>
              <w:tr2bl w:val="nil"/>
            </w:tcBorders>
            <w:noWrap w:val="0"/>
            <w:vAlign w:val="center"/>
          </w:tcPr>
          <w:p w14:paraId="3AFD72C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488E2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社会成本节约率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B88C2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9BB673">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6745B3">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FB1D8D">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346967">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68D0B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3AC8B5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481395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continue"/>
            <w:tcBorders>
              <w:left w:val="single" w:color="auto" w:sz="6" w:space="0"/>
              <w:bottom w:val="single" w:color="auto" w:sz="6" w:space="0"/>
              <w:right w:val="single" w:color="auto" w:sz="6" w:space="0"/>
              <w:tl2br w:val="nil"/>
              <w:tr2bl w:val="nil"/>
            </w:tcBorders>
            <w:noWrap w:val="0"/>
            <w:vAlign w:val="center"/>
          </w:tcPr>
          <w:p w14:paraId="1255381A">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AC5D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生态环境成本节约率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03344B">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5EFBB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C050D4">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EC6A21">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834BD6">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6406D9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2A3A9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8B5FD6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ADC93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6420E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家长满意度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00184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8DE5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5B76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B11DF">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63C7F6">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7547E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62389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915CC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4D9D6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1A7098">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师幼满意度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358A2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8CC6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609FC">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2AC6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ABC667">
            <w:pPr>
              <w:spacing w:beforeLines="0" w:afterLines="0" w:line="240" w:lineRule="exact"/>
              <w:jc w:val="center"/>
              <w:rPr>
                <w:rFonts w:hint="eastAsia" w:asciiTheme="minorEastAsia" w:hAnsiTheme="minorEastAsia" w:eastAsiaTheme="minorEastAsia" w:cstheme="minorEastAsia"/>
                <w:color w:val="000000"/>
                <w:sz w:val="24"/>
                <w:szCs w:val="24"/>
              </w:rPr>
            </w:pPr>
          </w:p>
        </w:tc>
      </w:tr>
      <w:tr w14:paraId="3346A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14:paraId="05EF12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6AF6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50D22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93.59</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830872D">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614A5A0A">
      <w:pPr>
        <w:pStyle w:val="2"/>
        <w:ind w:left="0" w:leftChars="0" w:firstLine="0" w:firstLineChars="0"/>
        <w:rPr>
          <w:rFonts w:hint="default" w:eastAsia="仿宋_GB2312"/>
          <w:sz w:val="22"/>
          <w:szCs w:val="24"/>
        </w:rPr>
      </w:pPr>
      <w:r>
        <w:rPr>
          <w:rFonts w:hint="eastAsia" w:eastAsia="仿宋_GB2312"/>
          <w:sz w:val="22"/>
          <w:szCs w:val="24"/>
        </w:rPr>
        <w:t>填表人：</w:t>
      </w:r>
      <w:r>
        <w:rPr>
          <w:rFonts w:hint="eastAsia" w:eastAsia="仿宋_GB2312"/>
          <w:sz w:val="22"/>
          <w:szCs w:val="24"/>
          <w:lang w:val="en-US" w:eastAsia="zh-CN"/>
        </w:rPr>
        <w:t>胡易娜</w:t>
      </w:r>
      <w:r>
        <w:rPr>
          <w:rFonts w:hint="eastAsia" w:eastAsia="仿宋_GB2312"/>
          <w:sz w:val="22"/>
          <w:szCs w:val="24"/>
        </w:rPr>
        <w:t xml:space="preserve"> </w:t>
      </w:r>
      <w:r>
        <w:rPr>
          <w:rFonts w:hint="eastAsia" w:eastAsia="仿宋_GB2312"/>
          <w:sz w:val="22"/>
          <w:szCs w:val="24"/>
          <w:lang w:val="en-US" w:eastAsia="zh-CN"/>
        </w:rPr>
        <w:t xml:space="preserve">  </w:t>
      </w:r>
      <w:r>
        <w:rPr>
          <w:rFonts w:hint="default" w:eastAsia="仿宋_GB2312"/>
          <w:sz w:val="22"/>
          <w:szCs w:val="24"/>
        </w:rPr>
        <w:t xml:space="preserve"> </w:t>
      </w:r>
      <w:r>
        <w:rPr>
          <w:rFonts w:hint="eastAsia" w:eastAsia="仿宋_GB2312"/>
          <w:sz w:val="22"/>
          <w:szCs w:val="24"/>
        </w:rPr>
        <w:t>填报日期：</w:t>
      </w:r>
      <w:r>
        <w:rPr>
          <w:rFonts w:hint="eastAsia" w:eastAsia="仿宋_GB2312"/>
          <w:sz w:val="22"/>
          <w:szCs w:val="24"/>
          <w:lang w:val="en-US" w:eastAsia="zh-CN"/>
        </w:rPr>
        <w:t>2026年4月22日</w:t>
      </w:r>
      <w:r>
        <w:rPr>
          <w:rFonts w:hint="eastAsia" w:eastAsia="仿宋_GB2312"/>
          <w:sz w:val="22"/>
          <w:szCs w:val="24"/>
        </w:rPr>
        <w:t xml:space="preserve">  </w:t>
      </w:r>
      <w:r>
        <w:rPr>
          <w:rFonts w:hint="eastAsia" w:eastAsia="仿宋_GB2312"/>
          <w:sz w:val="22"/>
          <w:szCs w:val="24"/>
          <w:lang w:val="en-US" w:eastAsia="zh-CN"/>
        </w:rPr>
        <w:t xml:space="preserve"> </w:t>
      </w:r>
      <w:r>
        <w:rPr>
          <w:rFonts w:hint="default" w:eastAsia="仿宋_GB2312"/>
          <w:sz w:val="22"/>
          <w:szCs w:val="24"/>
        </w:rPr>
        <w:t xml:space="preserve"> </w:t>
      </w:r>
      <w:r>
        <w:rPr>
          <w:rFonts w:hint="eastAsia" w:eastAsia="仿宋_GB2312"/>
          <w:sz w:val="22"/>
          <w:szCs w:val="24"/>
        </w:rPr>
        <w:t>联系电话：</w:t>
      </w:r>
      <w:r>
        <w:rPr>
          <w:rFonts w:hint="eastAsia" w:eastAsia="仿宋_GB2312"/>
          <w:sz w:val="22"/>
          <w:szCs w:val="24"/>
          <w:lang w:val="en-US" w:eastAsia="zh-CN"/>
        </w:rPr>
        <w:t xml:space="preserve">17769477351          </w:t>
      </w:r>
      <w:r>
        <w:rPr>
          <w:rFonts w:hint="eastAsia" w:eastAsia="仿宋_GB2312"/>
          <w:sz w:val="22"/>
          <w:szCs w:val="24"/>
        </w:rPr>
        <w:t>单位负责人签字：</w:t>
      </w:r>
      <w:r>
        <w:rPr>
          <w:rFonts w:hint="default" w:eastAsia="仿宋_GB2312"/>
          <w:sz w:val="22"/>
          <w:szCs w:val="24"/>
        </w:rPr>
        <w:br w:type="page"/>
      </w:r>
    </w:p>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9F78BC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扩大学前教育资源</w:t>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E5B77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25万元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3297B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双牌县教育局</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1AE89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扩大学前教育资源</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8491C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项目支出预算数为25万元，全年执行数18.73万元，执行率74.92%</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C31E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2025年度绩效目标实现程度良好，评分较高，2026年度继续抓好常规工作，确保绩效目标朝着稳定方面发展。</w:t>
            </w: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28141A">
            <w:pPr>
              <w:numPr>
                <w:ilvl w:val="0"/>
                <w:numId w:val="3"/>
              </w:numPr>
              <w:spacing w:beforeLines="0" w:afterLines="0"/>
              <w:jc w:val="both"/>
              <w:rPr>
                <w:rFonts w:hint="eastAsia"/>
              </w:rPr>
            </w:pPr>
            <w:r>
              <w:rPr>
                <w:rFonts w:hint="eastAsia" w:asciiTheme="minorEastAsia" w:hAnsiTheme="minorEastAsia" w:eastAsiaTheme="minorEastAsia" w:cstheme="minorEastAsia"/>
                <w:sz w:val="24"/>
                <w:szCs w:val="24"/>
                <w:lang w:val="en-US" w:eastAsia="zh-CN"/>
              </w:rPr>
              <w:t>重视度不够，注重加强对专项资金立项、可行性研究、预算编制工作的管理，以保证项目的可行性和科学性。在编报项目预算时要求制定详细的项目推进计划，明确分工，责任到人，以保证专项资金均能够保质保量执行到位。可行性研究报告的绩效目标明确，并委托专家进行详细的绩效评审，最后提交学校职工大会研究确定。</w:t>
            </w:r>
          </w:p>
          <w:p w14:paraId="23487430">
            <w:pPr>
              <w:numPr>
                <w:ilvl w:val="0"/>
                <w:numId w:val="3"/>
              </w:numPr>
              <w:spacing w:beforeLines="0" w:afterLine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建立跨年度的预算平衡机制，保障学校重大项目的资金需求，优化资金支出结构，提高资金使用效率。</w:t>
            </w:r>
          </w:p>
          <w:p w14:paraId="6C995B7E">
            <w:pPr>
              <w:pStyle w:val="5"/>
              <w:numPr>
                <w:ilvl w:val="0"/>
                <w:numId w:val="3"/>
              </w:numPr>
              <w:ind w:left="0" w:leftChars="0" w:firstLine="0" w:firstLineChars="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评价不够及时，评价流不健全，要加强对项目的过程管理。</w:t>
            </w:r>
          </w:p>
          <w:p w14:paraId="3E3886E5">
            <w:pPr>
              <w:spacing w:beforeLines="0" w:afterLines="0"/>
              <w:jc w:val="center"/>
              <w:rPr>
                <w:rFonts w:hint="eastAsia" w:asciiTheme="minorEastAsia" w:hAnsiTheme="minorEastAsia" w:eastAsiaTheme="minorEastAsia" w:cstheme="minorEastAsia"/>
                <w:sz w:val="24"/>
                <w:szCs w:val="24"/>
              </w:rPr>
            </w:pP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816FC6">
            <w:pPr>
              <w:numPr>
                <w:ilvl w:val="0"/>
                <w:numId w:val="4"/>
              </w:numPr>
              <w:spacing w:beforeLines="0" w:afterLines="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高度重视，及时评价，严格按照政府会计制度准则实行财务运行和报账机制。</w:t>
            </w:r>
          </w:p>
          <w:p w14:paraId="59E2B0A4">
            <w:pPr>
              <w:numPr>
                <w:ilvl w:val="0"/>
                <w:numId w:val="4"/>
              </w:numPr>
              <w:spacing w:beforeLines="0" w:afterLines="0"/>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健全评价系统，规范评价过程。</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7C7AF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9BD9A0">
            <w:pPr>
              <w:spacing w:beforeLines="0" w:afterLines="0"/>
              <w:rPr>
                <w:rFonts w:hint="eastAsia" w:asciiTheme="minorEastAsia" w:hAnsiTheme="minorEastAsia" w:eastAsiaTheme="minorEastAsia" w:cstheme="minorEastAsia"/>
                <w:sz w:val="24"/>
                <w:szCs w:val="24"/>
              </w:rPr>
            </w:pPr>
          </w:p>
          <w:p w14:paraId="4AED4E2D">
            <w:pPr>
              <w:spacing w:beforeLines="0" w:afterLines="0"/>
              <w:rPr>
                <w:rFonts w:hint="eastAsia" w:asciiTheme="minorEastAsia" w:hAnsiTheme="minorEastAsia" w:eastAsiaTheme="minorEastAsia" w:cstheme="minorEastAsia"/>
                <w:sz w:val="24"/>
                <w:szCs w:val="24"/>
              </w:rPr>
            </w:pPr>
          </w:p>
          <w:p w14:paraId="4AC73F29">
            <w:pPr>
              <w:spacing w:beforeLines="0" w:afterLine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3EAF86CD">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D5F0840">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胡易娜</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2026年4月22日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 xml:space="preserve">17769477351     </w:t>
      </w:r>
      <w:r>
        <w:rPr>
          <w:rFonts w:hint="eastAsia" w:asciiTheme="minorEastAsia" w:hAnsiTheme="minorEastAsia" w:eastAsiaTheme="minorEastAsia" w:cstheme="minorEastAsia"/>
          <w:sz w:val="24"/>
          <w:szCs w:val="24"/>
        </w:rPr>
        <w:t xml:space="preserve"> 单位负责人签字：</w:t>
      </w:r>
    </w:p>
    <w:p w14:paraId="44D9570F"/>
    <w:p w14:paraId="1D2C5D12">
      <w:pPr>
        <w:spacing w:beforeLines="0" w:afterLines="0" w:line="600" w:lineRule="exact"/>
        <w:jc w:val="left"/>
        <w:rPr>
          <w:rFonts w:hint="eastAsia" w:ascii="黑体" w:hAnsi="黑体" w:eastAsia="黑体" w:cs="黑体"/>
          <w:sz w:val="32"/>
          <w:szCs w:val="32"/>
        </w:rPr>
      </w:pPr>
    </w:p>
    <w:p w14:paraId="085F0458">
      <w:pPr>
        <w:spacing w:beforeLines="0" w:afterLines="0" w:line="600" w:lineRule="exact"/>
        <w:jc w:val="left"/>
        <w:rPr>
          <w:rFonts w:hint="eastAsia" w:ascii="黑体" w:hAnsi="黑体" w:eastAsia="黑体" w:cs="黑体"/>
          <w:sz w:val="32"/>
          <w:szCs w:val="32"/>
        </w:rPr>
      </w:pPr>
    </w:p>
    <w:p w14:paraId="607AAF4A">
      <w:pPr>
        <w:spacing w:beforeLines="0" w:afterLines="0" w:line="600" w:lineRule="exact"/>
        <w:jc w:val="left"/>
        <w:rPr>
          <w:rFonts w:hint="eastAsia" w:ascii="黑体" w:hAnsi="黑体" w:eastAsia="黑体" w:cs="黑体"/>
          <w:sz w:val="32"/>
          <w:szCs w:val="32"/>
        </w:rPr>
      </w:pPr>
    </w:p>
    <w:p w14:paraId="43F7E9F0">
      <w:pPr>
        <w:spacing w:beforeLines="0" w:afterLines="0" w:line="600" w:lineRule="exact"/>
        <w:jc w:val="left"/>
        <w:rPr>
          <w:rFonts w:hint="eastAsia" w:ascii="黑体" w:hAnsi="黑体" w:eastAsia="黑体" w:cs="黑体"/>
          <w:sz w:val="32"/>
          <w:szCs w:val="32"/>
        </w:rPr>
      </w:pPr>
    </w:p>
    <w:p w14:paraId="029BF70B">
      <w:pPr>
        <w:spacing w:beforeLines="0" w:afterLines="0" w:line="600" w:lineRule="exact"/>
        <w:jc w:val="left"/>
        <w:rPr>
          <w:rFonts w:hint="eastAsia" w:ascii="黑体" w:hAnsi="黑体" w:eastAsia="黑体" w:cs="黑体"/>
          <w:sz w:val="32"/>
          <w:szCs w:val="32"/>
        </w:rPr>
      </w:pPr>
    </w:p>
    <w:p w14:paraId="5CEEE616">
      <w:pPr>
        <w:spacing w:beforeLines="0" w:afterLines="0" w:line="600" w:lineRule="exact"/>
        <w:jc w:val="left"/>
        <w:rPr>
          <w:rFonts w:hint="eastAsia" w:ascii="黑体" w:hAnsi="黑体" w:eastAsia="黑体" w:cs="黑体"/>
          <w:sz w:val="32"/>
          <w:szCs w:val="32"/>
        </w:rPr>
      </w:pPr>
    </w:p>
    <w:p w14:paraId="38FA6D11">
      <w:pPr>
        <w:spacing w:beforeLines="0" w:afterLines="0" w:line="600" w:lineRule="exact"/>
        <w:jc w:val="left"/>
        <w:rPr>
          <w:rFonts w:hint="eastAsia" w:ascii="黑体" w:hAnsi="黑体" w:eastAsia="黑体" w:cs="黑体"/>
          <w:sz w:val="32"/>
          <w:szCs w:val="32"/>
        </w:rPr>
      </w:pPr>
    </w:p>
    <w:p w14:paraId="6B7B777C">
      <w:pPr>
        <w:spacing w:beforeLines="0" w:afterLines="0" w:line="600" w:lineRule="exact"/>
        <w:jc w:val="left"/>
        <w:rPr>
          <w:rFonts w:hint="eastAsia" w:ascii="黑体" w:hAnsi="黑体" w:eastAsia="黑体" w:cs="黑体"/>
          <w:sz w:val="32"/>
          <w:szCs w:val="32"/>
        </w:rPr>
      </w:pPr>
    </w:p>
    <w:p w14:paraId="47584382">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4A91C2F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74D2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CDD4C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16D550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95BE48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扩大学前教育资源</w:t>
            </w:r>
            <w:r>
              <w:rPr>
                <w:rFonts w:hint="eastAsia" w:asciiTheme="minorEastAsia" w:hAnsiTheme="minorEastAsia" w:eastAsiaTheme="minorEastAsia" w:cstheme="minorEastAsia"/>
                <w:color w:val="000000"/>
                <w:sz w:val="24"/>
                <w:szCs w:val="24"/>
              </w:rPr>
              <w:t>　</w:t>
            </w:r>
          </w:p>
        </w:tc>
      </w:tr>
      <w:tr w14:paraId="1617E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EE0D8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42624C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EAF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1DE69D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双牌县茶林镇中心幼儿园</w:t>
            </w:r>
          </w:p>
        </w:tc>
      </w:tr>
      <w:tr w14:paraId="06C07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7F8F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CA07C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4A6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88E46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D3FE22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232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B8A73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E7F0E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0BD51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5FA8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DF6D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F1B5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5A10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79536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0C80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11DF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91EE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BEADE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B2641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271F3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7BF48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3DFA9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B7DFB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649C6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488635">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2C9384">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40EED">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DAE4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3E72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F5364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r>
      <w:tr w14:paraId="47B3B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2B34E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38FD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BE86B7">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65702">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E359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1C4D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63969">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6A3CA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r>
      <w:tr w14:paraId="79211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69A671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2DE9B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9605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25</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D2FE5A">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6D0C10">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8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41EA57">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37FF7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963BE10">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6BD3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610A7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D0ED89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F8512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460A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12607A">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385F184">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保证幼儿园正常运转，扩大学前教育资源。</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2118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保证幼儿园正常运转，扩大学前教育资源。</w:t>
            </w:r>
          </w:p>
        </w:tc>
      </w:tr>
      <w:tr w14:paraId="7DF52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7BE5C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955F5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67203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91C0C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4552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5E8A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6497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A848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C93B2E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D66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59E1F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3E4B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337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C8C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409E5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CA5DF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429C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9C17B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141510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44D36B3">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lang w:val="en-US" w:eastAsia="zh-CN"/>
              </w:rPr>
              <w:t>40</w:t>
            </w:r>
            <w:r>
              <w:rPr>
                <w:rFonts w:hint="eastAsia" w:asciiTheme="minorEastAsia" w:hAnsiTheme="minorEastAsia" w:eastAsiaTheme="minorEastAsia" w:cstheme="minorEastAsia"/>
                <w:color w:val="000000"/>
                <w:kern w:val="0"/>
                <w:sz w:val="24"/>
                <w:szCs w:val="24"/>
              </w:rPr>
              <w:t>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53415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302DF8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9F94B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经费</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A5015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AB40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18.73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0722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F105D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A766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40A2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41CBD5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A603C5">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1B4D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5D2A29A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4E936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4E0B733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487E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992F1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8182A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87683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8FADE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4776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40F0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6309D0">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647B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CEC894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EACFE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916B7E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5E5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608FC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9F08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32C8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6A830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B7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E372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5198C8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4FD791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w:t>
            </w:r>
            <w:r>
              <w:rPr>
                <w:rFonts w:hint="eastAsia" w:asciiTheme="minorEastAsia" w:hAnsiTheme="minorEastAsia" w:eastAsiaTheme="minorEastAsia" w:cstheme="minorEastAsia"/>
                <w:color w:val="000000"/>
                <w:kern w:val="0"/>
                <w:sz w:val="24"/>
                <w:szCs w:val="24"/>
                <w:lang w:val="en-US" w:eastAsia="zh-CN"/>
              </w:rPr>
              <w:t>3</w:t>
            </w:r>
            <w:r>
              <w:rPr>
                <w:rFonts w:hint="eastAsia" w:asciiTheme="minorEastAsia" w:hAnsiTheme="minorEastAsia" w:eastAsiaTheme="minorEastAsia" w:cstheme="minorEastAsia"/>
                <w:color w:val="000000"/>
                <w:kern w:val="0"/>
                <w:sz w:val="24"/>
                <w:szCs w:val="24"/>
              </w:rPr>
              <w:t>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B1ABE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27F43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项目完成数量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A665E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8D5E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3686F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358CB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2FE20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8AA6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95655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179E3D">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3C0F1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B81FF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保质保量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DBD9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FB78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464C7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48103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DC3EB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B42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6CB4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74C268">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97A2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DA3E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项目完成及时性</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73CAF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3723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46593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CB76A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740C0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因12月份资金回收，故部分资金未使用</w:t>
            </w:r>
          </w:p>
        </w:tc>
      </w:tr>
      <w:tr w14:paraId="56724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6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D346B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A90D31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696EC0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FB90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ADAF33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FA730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28C5735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0"/>
                <w:sz w:val="24"/>
                <w:szCs w:val="24"/>
              </w:rPr>
              <w:t>益指标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AE61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71C67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47139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9705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980ED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C0F3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12FFE6">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330D2B3">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08B4D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94F4D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可持续影响指标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CC7A2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效果显著</w:t>
            </w: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CAF26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效果显著</w:t>
            </w: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7D258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DFAF4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83E48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r>
      <w:tr w14:paraId="25598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BE0560">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CD7BBC">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0165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648EFB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0D6AB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27E38AD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0"/>
                <w:sz w:val="24"/>
                <w:szCs w:val="24"/>
              </w:rPr>
              <w:t>益指标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2D1F1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E0F34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FB947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471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D6DD6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F2D8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63B2A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CF6F75">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7949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601850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CC210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D76A55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0"/>
                <w:sz w:val="24"/>
                <w:szCs w:val="24"/>
              </w:rPr>
              <w:t>益指标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2A42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效果显著</w:t>
            </w: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D6A1F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效果显著</w:t>
            </w: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167A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C25C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8CDD6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r>
      <w:tr w14:paraId="09108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B3EB0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CC229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ED13F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425BCA4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D45FA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96AE8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AEC8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F3B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4A62D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54646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3B4A7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B50C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63479D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6807B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31F2FD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95.5</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B97E4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5FAA6A90">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A510DD0">
      <w:pPr>
        <w:spacing w:beforeLines="0" w:afterLines="0"/>
        <w:jc w:val="left"/>
        <w:rPr>
          <w:rFonts w:hint="default" w:eastAsia="仿宋_GB2312"/>
          <w:sz w:val="22"/>
          <w:szCs w:val="24"/>
        </w:rPr>
        <w:sectPr>
          <w:footerReference r:id="rId4" w:type="default"/>
          <w:footerReference r:id="rId5"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 xml:space="preserve">胡易娜  </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 xml:space="preserve">2206年4月22日  </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 xml:space="preserve">17769477351    </w:t>
      </w:r>
      <w:r>
        <w:rPr>
          <w:rFonts w:hint="eastAsia" w:asciiTheme="minorEastAsia" w:hAnsiTheme="minorEastAsia" w:eastAsiaTheme="minorEastAsia" w:cstheme="minorEastAsia"/>
          <w:sz w:val="24"/>
          <w:szCs w:val="24"/>
        </w:rPr>
        <w:t xml:space="preserve"> 单位负责人签字：</w:t>
      </w:r>
    </w:p>
    <w:p w14:paraId="4B27E09B">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附件6</w:t>
      </w:r>
    </w:p>
    <w:p w14:paraId="54ADFDD9">
      <w:pPr>
        <w:spacing w:beforeLines="0" w:after="240" w:afterLines="100" w:line="600"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lang w:val="en-US" w:eastAsia="zh-CN"/>
        </w:rPr>
        <w:t>茶林镇中心幼儿园</w:t>
      </w:r>
      <w:r>
        <w:rPr>
          <w:rFonts w:hint="eastAsia" w:ascii="宋体" w:hAnsi="宋体" w:eastAsia="宋体" w:cs="宋体"/>
          <w:b/>
          <w:bCs/>
          <w:sz w:val="36"/>
          <w:szCs w:val="36"/>
        </w:rPr>
        <w:t>预算绩效管理工作负责人名册</w:t>
      </w:r>
    </w:p>
    <w:tbl>
      <w:tblPr>
        <w:tblStyle w:val="6"/>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347"/>
        <w:gridCol w:w="1347"/>
        <w:gridCol w:w="1349"/>
        <w:gridCol w:w="1769"/>
        <w:gridCol w:w="1202"/>
      </w:tblGrid>
      <w:tr w14:paraId="64BB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1F8BB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DE5C4E">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姓名</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E50402">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职务</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C1461C">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办公电话</w:t>
            </w: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CFBFD2">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移动通讯号码</w:t>
            </w: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10F228">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tc>
      </w:tr>
      <w:tr w14:paraId="09FD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6811A">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分管领导</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07A6DB">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胡易娜</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76AAD8">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园长</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E6D506">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9F43C1">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17769477351</w:t>
            </w: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01849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B35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820B3A">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联络员</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B1D935">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张燕梅</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4636C4">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总务主任</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61B5FF">
            <w:pPr>
              <w:spacing w:beforeLines="0" w:beforeAutospacing="1" w:afterLines="0" w:afterAutospacing="1"/>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037BDB">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18797659026</w:t>
            </w: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AD7F6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BD0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CEAA4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B02FA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DC6E9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EB0A9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F2060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F1C70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0FA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70D7D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DCE3A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736F9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F0BB5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C04ECC">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2AC41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C0D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8DB54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1ED8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B9E28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C277E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1F2E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72E4E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A02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DB2CC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FD214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9E836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3A33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BF1E2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A060A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58A6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84C9A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33A4C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9D734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E072D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D63E6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1BF85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74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27DA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8081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60C65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83370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EDD91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1CD60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482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01E02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EA2F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8D695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82976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9DD0A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F1CAF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F49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6CBD9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EE81B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F8B47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EBC92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5AF0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D3674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2EB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C4A6F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B467F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93AFF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EE9F3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6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5B504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819A4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bl>
    <w:p w14:paraId="6DE3FD96"/>
    <w:p w14:paraId="6F597711">
      <w:pPr>
        <w:spacing w:beforeLines="0" w:after="120" w:afterLines="50" w:line="600" w:lineRule="exact"/>
        <w:rPr>
          <w:rFonts w:hint="default" w:eastAsia="黑体"/>
          <w:sz w:val="32"/>
          <w:szCs w:val="24"/>
        </w:rPr>
      </w:pPr>
      <w:bookmarkStart w:id="0" w:name="_GoBack"/>
      <w:bookmarkEnd w:id="0"/>
    </w:p>
    <w:p w14:paraId="377B27B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789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6A971"/>
    <w:multiLevelType w:val="singleLevel"/>
    <w:tmpl w:val="ABE6A971"/>
    <w:lvl w:ilvl="0" w:tentative="0">
      <w:start w:val="8"/>
      <w:numFmt w:val="chineseCounting"/>
      <w:suff w:val="nothing"/>
      <w:lvlText w:val="%1、"/>
      <w:lvlJc w:val="left"/>
      <w:rPr>
        <w:rFonts w:hint="eastAsia"/>
      </w:rPr>
    </w:lvl>
  </w:abstractNum>
  <w:abstractNum w:abstractNumId="1">
    <w:nsid w:val="DE0AF89B"/>
    <w:multiLevelType w:val="singleLevel"/>
    <w:tmpl w:val="DE0AF89B"/>
    <w:lvl w:ilvl="0" w:tentative="0">
      <w:start w:val="1"/>
      <w:numFmt w:val="decimal"/>
      <w:lvlText w:val="%1."/>
      <w:lvlJc w:val="left"/>
      <w:pPr>
        <w:tabs>
          <w:tab w:val="left" w:pos="312"/>
        </w:tabs>
      </w:pPr>
    </w:lvl>
  </w:abstractNum>
  <w:abstractNum w:abstractNumId="2">
    <w:nsid w:val="445093BC"/>
    <w:multiLevelType w:val="singleLevel"/>
    <w:tmpl w:val="445093BC"/>
    <w:lvl w:ilvl="0" w:tentative="0">
      <w:start w:val="1"/>
      <w:numFmt w:val="decimal"/>
      <w:lvlText w:val="%1."/>
      <w:lvlJc w:val="left"/>
      <w:pPr>
        <w:tabs>
          <w:tab w:val="left" w:pos="312"/>
        </w:tabs>
      </w:pPr>
    </w:lvl>
  </w:abstractNum>
  <w:abstractNum w:abstractNumId="3">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5A3EB8"/>
    <w:rsid w:val="08D11F98"/>
    <w:rsid w:val="42757327"/>
    <w:rsid w:val="435A3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Text1I"/>
    <w:basedOn w:val="1"/>
    <w:qFormat/>
    <w:uiPriority w:val="99"/>
    <w:pPr>
      <w:snapToGrid w:val="0"/>
      <w:spacing w:line="360" w:lineRule="auto"/>
      <w:ind w:firstLine="420" w:firstLineChars="100"/>
    </w:pPr>
    <w:rPr>
      <w:sz w:val="28"/>
      <w:szCs w:val="20"/>
    </w:r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Body Text First Indent 2"/>
    <w:basedOn w:val="3"/>
    <w:qFormat/>
    <w:uiPriority w:val="0"/>
    <w:pPr>
      <w:spacing w:before="100" w:beforeAutospacing="1"/>
      <w:ind w:left="0" w:firstLine="420" w:firstLineChars="200"/>
    </w:pPr>
  </w:style>
  <w:style w:type="paragraph" w:styleId="8">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477</Words>
  <Characters>555</Characters>
  <Lines>0</Lines>
  <Paragraphs>0</Paragraphs>
  <TotalTime>0</TotalTime>
  <ScaleCrop>false</ScaleCrop>
  <LinksUpToDate>false</LinksUpToDate>
  <CharactersWithSpaces>564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2026-04-27T01:42:00Z</dcterms:created>
  <dc:creator>%E6%B1%9F%E6%9E%AB%E6%B8%94%E7%81%AB%E5%</dc:creator>
  <cp:lastModifiedBy>%E6%B1%9F%E6%9E%AB%E6%B8%94%E7%81%AB%E5%</cp:lastModifiedBy>
  <dcterms:modified xsi:type="dcterms:W3CDTF">2026-04-27T03:40:18Z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B4AE2CD196E0449FB478CB78D5A85092_11</vt:lpwstr>
  </property>
  <property fmtid="{D5CDD505-2E9C-101B-9397-08002B2CF9AE}" pid="4" name="KSOTemplateDocerSaveRecord">
    <vt:lpwstr>eyJoZGlkIjoiZDgxYzdmNTU2NDlkMzliYTI2ZTRjOWJlZDRkYjQ0YWEiLCJ1c2VySWQiOiIzMzU0NjkyMDUifQ==</vt:lpwstr>
  </property>
</Properties>
</file>