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C4ADC">
      <w:pPr>
        <w:widowControl/>
        <w:spacing w:beforeLines="0" w:afterLines="0"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59FBE07">
      <w:pPr>
        <w:widowControl/>
        <w:spacing w:beforeLines="0" w:afterLines="0" w:line="540" w:lineRule="exact"/>
        <w:jc w:val="lef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313A100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文化旅游广电体育局</w:t>
      </w:r>
      <w:r>
        <w:rPr>
          <w:rFonts w:hint="eastAsia" w:ascii="方正小标宋简体" w:eastAsia="方正小标宋简体"/>
          <w:sz w:val="52"/>
          <w:szCs w:val="24"/>
        </w:rPr>
        <w:t>部门整体支出绩效自评报告</w:t>
      </w:r>
    </w:p>
    <w:p w14:paraId="48AAB590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66671FB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253EB41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4A443590">
      <w:pPr>
        <w:spacing w:beforeLines="0" w:afterLines="0"/>
        <w:rPr>
          <w:rFonts w:hint="default" w:eastAsia="黑体"/>
          <w:sz w:val="32"/>
          <w:szCs w:val="24"/>
        </w:rPr>
      </w:pPr>
    </w:p>
    <w:p w14:paraId="6DC63BDE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035A077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1C7B8B1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485410CB">
      <w:pPr>
        <w:spacing w:beforeLines="0" w:afterLines="0" w:line="600" w:lineRule="exact"/>
        <w:ind w:firstLine="1920" w:firstLineChars="6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val="en-US" w:eastAsia="zh-CN"/>
        </w:rPr>
        <w:t>文化旅游广电体育局</w:t>
      </w:r>
      <w:r>
        <w:rPr>
          <w:rFonts w:hint="eastAsia" w:eastAsia="仿宋_GB2312"/>
          <w:sz w:val="32"/>
          <w:szCs w:val="24"/>
          <w:u w:val="single"/>
        </w:rPr>
        <w:t xml:space="preserve">  </w:t>
      </w:r>
    </w:p>
    <w:p w14:paraId="7EC72FD7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307CA959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2026</w:t>
      </w:r>
      <w:r>
        <w:rPr>
          <w:rFonts w:hint="eastAsia" w:eastAsia="楷体_GB2312"/>
          <w:sz w:val="32"/>
          <w:szCs w:val="24"/>
        </w:rPr>
        <w:t>年</w:t>
      </w:r>
      <w:r>
        <w:rPr>
          <w:rFonts w:hint="eastAsia" w:eastAsia="楷体_GB2312"/>
          <w:sz w:val="32"/>
          <w:szCs w:val="24"/>
          <w:lang w:val="en-US" w:eastAsia="zh-CN"/>
        </w:rPr>
        <w:t>4</w:t>
      </w:r>
      <w:r>
        <w:rPr>
          <w:rFonts w:hint="eastAsia" w:eastAsia="楷体_GB2312"/>
          <w:sz w:val="32"/>
          <w:szCs w:val="24"/>
        </w:rPr>
        <w:t>月</w:t>
      </w:r>
      <w:r>
        <w:rPr>
          <w:rFonts w:hint="eastAsia" w:eastAsia="楷体_GB2312"/>
          <w:sz w:val="32"/>
          <w:szCs w:val="24"/>
          <w:lang w:val="en-US" w:eastAsia="zh-CN"/>
        </w:rPr>
        <w:t>9</w:t>
      </w:r>
      <w:r>
        <w:rPr>
          <w:rFonts w:hint="eastAsia" w:eastAsia="楷体_GB2312"/>
          <w:sz w:val="32"/>
          <w:szCs w:val="24"/>
        </w:rPr>
        <w:t>日</w:t>
      </w:r>
    </w:p>
    <w:p w14:paraId="25E3BD51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0F9EB3A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684D90A9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3F169A9D">
      <w:pPr>
        <w:spacing w:line="520" w:lineRule="exact"/>
        <w:ind w:firstLine="640"/>
        <w:rPr>
          <w:rFonts w:hint="default" w:eastAsia="Times New Roman"/>
          <w:sz w:val="32"/>
        </w:rPr>
      </w:pPr>
      <w:r>
        <w:rPr>
          <w:rFonts w:hint="eastAsia" w:ascii="仿宋" w:hAnsi="仿宋" w:eastAsia="仿宋"/>
          <w:sz w:val="32"/>
        </w:rPr>
        <w:t>1．主要职能。</w:t>
      </w:r>
    </w:p>
    <w:p w14:paraId="1BCAA2AB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（1）贯彻执行党和国家、省、市有关文化、旅游、广播电视、体育、文物工作的法律法规、规章制度和方针政策；起草有关规范性文件并监督实施。</w:t>
      </w:r>
    </w:p>
    <w:p w14:paraId="3C09BB37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（2）指导和推进文化、旅游、广播电视、体育、文物领域体制机制改革，推进全县文化旅游融合发展，编制实施全县文化、旅游、广播电视、体育、文物事业的发展战略、发展目标、发展规划和年度计划。</w:t>
      </w:r>
    </w:p>
    <w:p w14:paraId="55F0C5E9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（3）管理全县性重大文化、旅游、体育活动，指导推进全域旅游和全县文化、旅游、广播电视、体育和文物设施项目建设，促进文化、旅游、广播电视、体育产业对外合作交流。</w:t>
      </w:r>
    </w:p>
    <w:p w14:paraId="29CF1C0D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（4）管理全县文学艺术事业，指导艺术创作与生产，重点扶持具有代表性示范性的文艺作品，参与组织重大文化艺术活动。</w:t>
      </w:r>
    </w:p>
    <w:p w14:paraId="19F15764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（5）组织、指导全县文化、旅游、广播电视、体育、文物的公共文化服务，指导公共文化产品的生产；指导社会文化事业和文化艺术普及工作，推进全县文化旅游公共服务体系建设。</w:t>
      </w:r>
    </w:p>
    <w:p w14:paraId="0A6CAB5A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（6）指导、监管全县文化市场综合行政执法工作。指导全县文化、旅游、广播电视、体育、文物市场发展，对文化、旅游、广播电视、体育、文物市场经营进行行业监管，推进行业信用体系建设。</w:t>
      </w:r>
    </w:p>
    <w:p w14:paraId="69FFAE21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（7）负责全县非物质文化遗产保护和优秀民族文化的传承普及工作，组织开展国家级、省级、市级非物质文化遗产代表项目及其传承人的申报、评审工作。组织协调全县性文化遗产展示活动。</w:t>
      </w:r>
    </w:p>
    <w:p w14:paraId="018F0B82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8）统筹规划全县文化、旅游、广播电视、体育产业，组织实施本行业资源普查、挖掘、保护和利用工作，拟定文化、旅游、广播电视、体育、文物行业政府性投资项目和财政性资金分配方案，促进文化、旅游、广播电视、体育、文物事业、产业发展。</w:t>
      </w:r>
    </w:p>
    <w:p w14:paraId="6C93C298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9）拟订全县国际旅游市场开发规划，组织全县旅游形象的对外宣传和重大推广活动；拟订我县开拓文化、旅游、广播电视、体育、文物市场的措施并指导实施；协调和指导全县假日旅游和红色旅游工作；负责县内旅行社设立资料的初审和报批；依规对旅行社、旅游饭店、乡村旅游区等实施许可监督管理，负责监测全县文化、旅游、广播电视、体育经济运行和全县文化、旅游、广播电视、体育、文物统计及行业信息发布。  </w:t>
      </w:r>
    </w:p>
    <w:p w14:paraId="0407C9EC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10）负责全县广播电视安全播出应急体系建设，监督管理全县广播电视机构、广播电视节目的内容和质量；监督管理全县公共视听载体播放的广播电视节目，组织指导查处重大违法违规行为；负责卫星电视监督管理工作。</w:t>
      </w:r>
    </w:p>
    <w:p w14:paraId="3B1C09EA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（11）负责全县文化、旅游、广播电视、体育、文物行业社会团体监督管理工作。</w:t>
      </w:r>
    </w:p>
    <w:p w14:paraId="3C19408B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（12）统筹协调全县体育事业和竞技体育发展，组织参加和承办体育竞赛；拟定全县竞技运动项目设置与重点布局；指导和推进青少年体育工作，加强体育后备人才建设。</w:t>
      </w:r>
    </w:p>
    <w:p w14:paraId="02B628EF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13）推行全民健身计划，实施国家体育锻炼标准，负责开展国民体质监测；指导、协调、组织群众性体育活动的开展，负责社会体育指导工作队伍建设；负责公共体育设施的监督管理；负责全县体育彩票发行和管理工作。</w:t>
      </w:r>
    </w:p>
    <w:p w14:paraId="7CD5A2CC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（14）协调全县公益性文化体育设施的免费开放和公共服务工作。</w:t>
      </w:r>
    </w:p>
    <w:p w14:paraId="4AAB4784">
      <w:pPr>
        <w:spacing w:line="520" w:lineRule="exact"/>
        <w:ind w:firstLine="64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（15）承办县委县政府交办的其他事项。</w:t>
      </w:r>
    </w:p>
    <w:p w14:paraId="75AFA26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sz w:val="32"/>
        </w:rPr>
        <w:t>2．机构情况</w:t>
      </w:r>
      <w:r>
        <w:rPr>
          <w:rFonts w:hint="eastAsia" w:ascii="仿宋" w:hAnsi="仿宋" w:eastAsia="仿宋"/>
          <w:sz w:val="32"/>
          <w:lang w:eastAsia="zh-CN"/>
        </w:rPr>
        <w:t>。</w:t>
      </w:r>
    </w:p>
    <w:p w14:paraId="56F27FE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kern w:val="2"/>
          <w:sz w:val="32"/>
          <w:szCs w:val="22"/>
          <w:lang w:eastAsia="zh-CN"/>
        </w:rPr>
      </w:pPr>
      <w:r>
        <w:rPr>
          <w:rFonts w:hint="eastAsia" w:ascii="仿宋" w:hAnsi="仿宋" w:eastAsia="仿宋" w:cs="Times New Roman"/>
          <w:kern w:val="2"/>
          <w:sz w:val="32"/>
          <w:szCs w:val="22"/>
        </w:rPr>
        <w:t>双牌县文化旅游</w:t>
      </w:r>
      <w:r>
        <w:rPr>
          <w:rFonts w:hint="eastAsia" w:ascii="仿宋" w:hAnsi="仿宋" w:eastAsia="仿宋" w:cs="Times New Roman"/>
          <w:kern w:val="2"/>
          <w:sz w:val="32"/>
          <w:szCs w:val="22"/>
          <w:lang w:eastAsia="zh-CN"/>
        </w:rPr>
        <w:t>广播电视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体育局(加挂双牌县文物局牌子)于</w:t>
      </w:r>
      <w:r>
        <w:rPr>
          <w:rFonts w:hint="eastAsia" w:ascii="仿宋" w:hAnsi="仿宋" w:eastAsia="仿宋" w:cs="Times New Roman"/>
          <w:kern w:val="2"/>
          <w:sz w:val="32"/>
          <w:szCs w:val="22"/>
          <w:lang w:eastAsia="zh-CN"/>
        </w:rPr>
        <w:t>2020年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3月机构改革整合设立，为政府组成部门。局机关核定编制5人（其中行政编制4人），领导职数为1正4副，局机关实有在职员工</w:t>
      </w: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/>
        </w:rPr>
        <w:t>13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人、文物所在职人员</w:t>
      </w: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/>
        </w:rPr>
        <w:t>5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人、</w:t>
      </w: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/>
        </w:rPr>
        <w:t>美术馆在职人员1人，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退休人员</w:t>
      </w: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/>
        </w:rPr>
        <w:t>7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人。我局内设5个股室，分别是办公室（政工股、纪检督察室）、艺术非遗股、旅游管理股、</w:t>
      </w:r>
      <w:r>
        <w:rPr>
          <w:rFonts w:hint="eastAsia" w:ascii="仿宋" w:hAnsi="仿宋" w:eastAsia="仿宋" w:cs="Times New Roman"/>
          <w:kern w:val="2"/>
          <w:sz w:val="32"/>
          <w:szCs w:val="22"/>
          <w:lang w:eastAsia="zh-CN"/>
        </w:rPr>
        <w:t>广播电视</w:t>
      </w:r>
      <w:r>
        <w:rPr>
          <w:rFonts w:hint="eastAsia" w:ascii="仿宋" w:hAnsi="仿宋" w:eastAsia="仿宋" w:cs="Times New Roman"/>
          <w:kern w:val="2"/>
          <w:sz w:val="32"/>
          <w:szCs w:val="22"/>
        </w:rPr>
        <w:t>体育股、市场监管股（行政审批股、法制股、执法监督管理股）、文物文产股</w:t>
      </w:r>
      <w:r>
        <w:rPr>
          <w:rFonts w:hint="eastAsia" w:ascii="仿宋" w:hAnsi="仿宋" w:eastAsia="仿宋" w:cs="Times New Roman"/>
          <w:kern w:val="2"/>
          <w:sz w:val="32"/>
          <w:szCs w:val="22"/>
          <w:lang w:eastAsia="zh-CN"/>
        </w:rPr>
        <w:t>。</w:t>
      </w:r>
    </w:p>
    <w:p w14:paraId="441F29DB">
      <w:pPr>
        <w:pStyle w:val="10"/>
        <w:rPr>
          <w:rFonts w:hint="default"/>
          <w:lang w:val="en-US"/>
        </w:rPr>
      </w:pPr>
      <w:r>
        <w:rPr>
          <w:rFonts w:hint="eastAsia" w:ascii="仿宋" w:hAnsi="仿宋" w:eastAsia="仿宋"/>
          <w:sz w:val="32"/>
        </w:rPr>
        <w:t>3．人员情况。20</w:t>
      </w:r>
      <w:r>
        <w:rPr>
          <w:rFonts w:hint="eastAsia" w:ascii="仿宋" w:hAnsi="仿宋" w:eastAsia="仿宋"/>
          <w:sz w:val="32"/>
          <w:lang w:val="en-US" w:eastAsia="zh-CN"/>
        </w:rPr>
        <w:t>25</w:t>
      </w:r>
      <w:r>
        <w:rPr>
          <w:rFonts w:hint="eastAsia" w:ascii="仿宋" w:hAnsi="仿宋" w:eastAsia="仿宋"/>
          <w:sz w:val="32"/>
        </w:rPr>
        <w:t>年本单位年</w:t>
      </w:r>
      <w:r>
        <w:rPr>
          <w:rFonts w:hint="eastAsia" w:ascii="仿宋" w:hAnsi="仿宋" w:eastAsia="仿宋"/>
          <w:sz w:val="32"/>
          <w:lang w:val="en-US" w:eastAsia="zh-CN"/>
        </w:rPr>
        <w:t>末</w:t>
      </w:r>
      <w:r>
        <w:rPr>
          <w:rFonts w:hint="eastAsia" w:ascii="仿宋" w:hAnsi="仿宋" w:eastAsia="仿宋"/>
          <w:sz w:val="32"/>
        </w:rPr>
        <w:t>实有人数</w:t>
      </w:r>
      <w:r>
        <w:rPr>
          <w:rFonts w:hint="eastAsia" w:ascii="仿宋" w:hAnsi="仿宋" w:eastAsia="仿宋"/>
          <w:sz w:val="28"/>
          <w:lang w:val="en-US" w:eastAsia="zh-CN"/>
        </w:rPr>
        <w:t>19</w:t>
      </w:r>
      <w:r>
        <w:rPr>
          <w:rFonts w:hint="eastAsia" w:ascii="仿宋" w:hAnsi="仿宋" w:eastAsia="仿宋"/>
          <w:sz w:val="32"/>
        </w:rPr>
        <w:t>人，比上年</w:t>
      </w:r>
      <w:r>
        <w:rPr>
          <w:rFonts w:hint="eastAsia" w:ascii="仿宋" w:hAnsi="仿宋" w:eastAsia="仿宋"/>
          <w:sz w:val="32"/>
          <w:lang w:val="en-US" w:eastAsia="zh-CN"/>
        </w:rPr>
        <w:t>增加1</w:t>
      </w:r>
      <w:r>
        <w:rPr>
          <w:rFonts w:hint="eastAsia" w:ascii="仿宋" w:hAnsi="仿宋" w:eastAsia="仿宋"/>
          <w:sz w:val="32"/>
          <w:lang w:val="en-US"/>
        </w:rPr>
        <w:t>人。人员变化的主要原因是：</w:t>
      </w:r>
      <w:r>
        <w:rPr>
          <w:rFonts w:hint="eastAsia" w:ascii="仿宋" w:hAnsi="仿宋" w:eastAsia="仿宋"/>
          <w:sz w:val="32"/>
          <w:lang w:val="en-US" w:eastAsia="zh-CN"/>
        </w:rPr>
        <w:t>人员调动。</w:t>
      </w:r>
    </w:p>
    <w:p w14:paraId="47F2E63D">
      <w:pPr>
        <w:pStyle w:val="3"/>
        <w:framePr w:wrap="around"/>
        <w:numPr>
          <w:ilvl w:val="0"/>
          <w:numId w:val="0"/>
        </w:numPr>
        <w:rPr>
          <w:rFonts w:hint="eastAsia"/>
        </w:rPr>
      </w:pPr>
    </w:p>
    <w:p w14:paraId="64C9AC0C">
      <w:pPr>
        <w:pStyle w:val="9"/>
        <w:spacing w:beforeLines="0" w:afterLines="0" w:line="570" w:lineRule="exact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1B3A9352">
      <w:pPr>
        <w:pStyle w:val="9"/>
        <w:spacing w:beforeLines="0" w:afterLines="0" w:line="570" w:lineRule="exact"/>
        <w:ind w:firstLine="640"/>
        <w:outlineLvl w:val="1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（一）基本支出情况</w:t>
      </w:r>
    </w:p>
    <w:p w14:paraId="7732CB3E">
      <w:pPr>
        <w:pStyle w:val="9"/>
        <w:widowControl/>
        <w:spacing w:line="600" w:lineRule="exact"/>
        <w:ind w:firstLine="643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单位本年度实际收到的财政拨款收入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single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946.7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万元，财政部门拨款对账单</w:t>
      </w:r>
      <w:r>
        <w:rPr>
          <w:rFonts w:hint="eastAsia" w:ascii="仿宋_GB2312" w:eastAsia="仿宋_GB2312" w:cs="Times New Roman"/>
          <w:color w:val="000000"/>
          <w:sz w:val="32"/>
          <w:szCs w:val="32"/>
          <w:u w:val="single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946.7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万元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其中基本支出272.8959万，占</w:t>
      </w:r>
      <w:r>
        <w:rPr>
          <w:rFonts w:hint="default" w:ascii="仿宋" w:hAnsi="仿宋" w:eastAsia="仿宋"/>
          <w:sz w:val="32"/>
          <w:lang w:val="en-US"/>
        </w:rPr>
        <w:t>总支出的</w:t>
      </w:r>
      <w:r>
        <w:rPr>
          <w:rFonts w:hint="eastAsia" w:ascii="仿宋" w:hAnsi="仿宋" w:eastAsia="仿宋"/>
          <w:sz w:val="32"/>
          <w:szCs w:val="22"/>
          <w:lang w:val="en-US" w:eastAsia="zh-CN"/>
        </w:rPr>
        <w:t>28.82%。</w:t>
      </w:r>
    </w:p>
    <w:p w14:paraId="530422CC">
      <w:pPr>
        <w:pStyle w:val="9"/>
        <w:numPr>
          <w:ilvl w:val="0"/>
          <w:numId w:val="2"/>
        </w:numPr>
        <w:spacing w:beforeLines="0" w:afterLines="0" w:line="570" w:lineRule="exact"/>
        <w:ind w:firstLine="640" w:firstLineChars="200"/>
        <w:outlineLvl w:val="1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项目支出情况</w:t>
      </w:r>
    </w:p>
    <w:p w14:paraId="4A1B364C">
      <w:pPr>
        <w:pStyle w:val="9"/>
        <w:numPr>
          <w:ilvl w:val="0"/>
          <w:numId w:val="0"/>
        </w:numPr>
        <w:spacing w:beforeLines="0" w:afterLines="0" w:line="570" w:lineRule="exact"/>
        <w:ind w:firstLine="640" w:firstLineChars="200"/>
        <w:outlineLvl w:val="1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单位本年度实际收到的财政拨款收入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946.7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万元，财政部门拨款对账单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946.7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万元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项目支出673.8553万，占</w:t>
      </w:r>
      <w:r>
        <w:rPr>
          <w:rFonts w:hint="default" w:ascii="仿宋" w:hAnsi="仿宋" w:eastAsia="仿宋"/>
          <w:sz w:val="32"/>
          <w:lang w:val="en-US"/>
        </w:rPr>
        <w:t>总支出的</w:t>
      </w:r>
      <w:r>
        <w:rPr>
          <w:rFonts w:hint="eastAsia" w:ascii="仿宋" w:hAnsi="仿宋" w:eastAsia="仿宋"/>
          <w:sz w:val="32"/>
          <w:lang w:val="en-US" w:eastAsia="zh-CN"/>
        </w:rPr>
        <w:t>71.17%。</w:t>
      </w:r>
    </w:p>
    <w:p w14:paraId="780336D9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24"/>
          <w:lang w:val="en-US" w:eastAsia="zh-CN"/>
        </w:rPr>
        <w:t>三、</w:t>
      </w:r>
      <w:r>
        <w:rPr>
          <w:rFonts w:hint="eastAsia" w:ascii="Times New Roman" w:hAnsi="Times New Roman" w:eastAsia="黑体"/>
          <w:sz w:val="32"/>
          <w:szCs w:val="24"/>
        </w:rPr>
        <w:t>政府性基金预算支出情况。</w:t>
      </w:r>
    </w:p>
    <w:p w14:paraId="679B51DF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color w:val="000000"/>
          <w:sz w:val="32"/>
          <w:szCs w:val="24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我单位无政府性基金预算支出情况</w:t>
      </w:r>
    </w:p>
    <w:p w14:paraId="6FF586DB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color w:val="000000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val="en-US" w:eastAsia="zh-CN"/>
        </w:rPr>
        <w:t>四、</w:t>
      </w:r>
      <w:r>
        <w:rPr>
          <w:rFonts w:hint="eastAsia" w:ascii="Times New Roman" w:hAnsi="Times New Roman" w:eastAsia="黑体"/>
          <w:sz w:val="32"/>
          <w:szCs w:val="24"/>
        </w:rPr>
        <w:t>国有资本经营预算支出情况。</w:t>
      </w:r>
    </w:p>
    <w:p w14:paraId="2751A3C1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sz w:val="32"/>
          <w:szCs w:val="24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我单位无国有资本经营预算支出情况</w:t>
      </w:r>
      <w:r>
        <w:rPr>
          <w:rFonts w:hint="eastAsia" w:ascii="Times New Roman" w:hAnsi="Times New Roman" w:eastAsia="仿宋_GB2312"/>
          <w:color w:val="000000"/>
          <w:sz w:val="32"/>
          <w:szCs w:val="24"/>
          <w:lang w:eastAsia="zh-CN"/>
        </w:rPr>
        <w:t>。</w:t>
      </w:r>
    </w:p>
    <w:p w14:paraId="2451844D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val="en-US" w:eastAsia="zh-CN"/>
        </w:rPr>
        <w:t>五、</w:t>
      </w:r>
      <w:r>
        <w:rPr>
          <w:rFonts w:hint="eastAsia" w:ascii="Times New Roman" w:hAnsi="Times New Roman" w:eastAsia="黑体"/>
          <w:sz w:val="32"/>
          <w:szCs w:val="24"/>
        </w:rPr>
        <w:t>社会保险基金预算支出情况。</w:t>
      </w:r>
    </w:p>
    <w:p w14:paraId="5F3E139C">
      <w:pPr>
        <w:pStyle w:val="9"/>
        <w:numPr>
          <w:ilvl w:val="0"/>
          <w:numId w:val="0"/>
        </w:numPr>
        <w:spacing w:beforeLines="0" w:afterLines="0" w:line="570" w:lineRule="exact"/>
        <w:ind w:left="640" w:leftChars="0"/>
        <w:jc w:val="left"/>
        <w:outlineLvl w:val="0"/>
        <w:rPr>
          <w:rFonts w:hint="eastAsia" w:ascii="Times New Roman" w:hAnsi="Times New Roman" w:eastAsia="仿宋_GB2312"/>
          <w:sz w:val="32"/>
          <w:szCs w:val="24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  <w:r>
        <w:rPr>
          <w:rFonts w:hint="eastAsia" w:ascii="Times New Roman" w:hAnsi="Times New Roman" w:eastAsia="仿宋_GB2312"/>
          <w:color w:val="000000"/>
          <w:sz w:val="32"/>
          <w:szCs w:val="24"/>
          <w:lang w:eastAsia="zh-CN"/>
        </w:rPr>
        <w:t>。</w:t>
      </w:r>
    </w:p>
    <w:p w14:paraId="6D536594">
      <w:pPr>
        <w:spacing w:beforeLines="0" w:afterLines="0" w:line="570" w:lineRule="exact"/>
        <w:ind w:firstLine="645"/>
        <w:jc w:val="left"/>
        <w:outlineLvl w:val="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  <w:lang w:val="en-US" w:eastAsia="zh-CN"/>
        </w:rPr>
        <w:t>六</w:t>
      </w:r>
      <w:r>
        <w:rPr>
          <w:rFonts w:hint="eastAsia" w:eastAsia="黑体"/>
          <w:sz w:val="32"/>
          <w:szCs w:val="24"/>
        </w:rPr>
        <w:t>、部门整体支出绩效情况</w:t>
      </w:r>
    </w:p>
    <w:p w14:paraId="3E558805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（一）本单位财务管理、绩效管理、决算组织、编报、审核情况。</w:t>
      </w:r>
    </w:p>
    <w:p w14:paraId="78F02C08">
      <w:pPr>
        <w:snapToGrid w:val="0"/>
        <w:spacing w:line="52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/>
          <w:sz w:val="32"/>
          <w:lang w:val="en-US" w:eastAsia="zh-CN"/>
        </w:rPr>
        <w:t>本单位对财务管理进行规范化，同财政部门及时沟通学习，积极进行财政部门组织的决算、编报、审核等方面工作按时完成，认真如实填报,决算报表全部通过审核。</w:t>
      </w:r>
    </w:p>
    <w:p w14:paraId="1CD7FDEC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（二）本单位决算及绩效信息公开工作开展情况。</w:t>
      </w:r>
    </w:p>
    <w:p w14:paraId="63676376">
      <w:pPr>
        <w:numPr>
          <w:ilvl w:val="0"/>
          <w:numId w:val="0"/>
        </w:numPr>
        <w:snapToGrid/>
        <w:spacing w:beforeLines="0" w:afterLines="0" w:line="52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/>
          <w:sz w:val="32"/>
          <w:lang w:val="en-US" w:eastAsia="zh-CN"/>
        </w:rPr>
        <w:t>本单位对决算公开工作、及主管部门对所属单位按规定批复决算的各项工作按规定认真执行，该填制及时填制，该公开及时公开，该上报及时上报。</w:t>
      </w:r>
    </w:p>
    <w:p w14:paraId="582B6925">
      <w:pPr>
        <w:pStyle w:val="9"/>
        <w:widowControl/>
        <w:spacing w:line="600" w:lineRule="exact"/>
        <w:ind w:firstLine="64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七、存在的问题及原因分析</w:t>
      </w:r>
    </w:p>
    <w:p w14:paraId="6E0CF552">
      <w:pPr>
        <w:widowControl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无</w:t>
      </w:r>
    </w:p>
    <w:p w14:paraId="71044434">
      <w:pPr>
        <w:widowControl/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八、下一步改进措施</w:t>
      </w:r>
    </w:p>
    <w:p w14:paraId="14F30DEF">
      <w:pPr>
        <w:widowControl/>
        <w:numPr>
          <w:ilvl w:val="0"/>
          <w:numId w:val="0"/>
        </w:numPr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 w:bidi="ar-SA"/>
        </w:rPr>
        <w:t>无</w:t>
      </w:r>
    </w:p>
    <w:p w14:paraId="10E35797">
      <w:pPr>
        <w:widowControl/>
        <w:numPr>
          <w:ilvl w:val="0"/>
          <w:numId w:val="0"/>
        </w:numPr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部门整体支出绩效自评结果拟应用和公开情况</w:t>
      </w:r>
    </w:p>
    <w:p w14:paraId="3383F655">
      <w:pPr>
        <w:widowControl/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22"/>
          <w:lang w:val="en-US" w:eastAsia="zh-CN" w:bidi="ar-SA"/>
        </w:rPr>
        <w:t>已公开</w:t>
      </w:r>
    </w:p>
    <w:p w14:paraId="18524C61">
      <w:pPr>
        <w:widowControl/>
        <w:spacing w:line="60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 w14:paraId="64C7A740">
      <w:pPr>
        <w:widowControl/>
        <w:spacing w:line="600" w:lineRule="exact"/>
        <w:ind w:firstLine="645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无</w:t>
      </w:r>
    </w:p>
    <w:p w14:paraId="0EFDD781">
      <w:pPr>
        <w:spacing w:beforeLines="0" w:afterLines="0" w:line="570" w:lineRule="exact"/>
        <w:ind w:firstLine="645"/>
        <w:jc w:val="left"/>
        <w:rPr>
          <w:rFonts w:hint="default" w:eastAsia="黑体"/>
          <w:sz w:val="32"/>
          <w:szCs w:val="24"/>
        </w:rPr>
      </w:pPr>
    </w:p>
    <w:p w14:paraId="23377E70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5216A70">
      <w:pPr>
        <w:pStyle w:val="3"/>
        <w:rPr>
          <w:rFonts w:hint="default" w:eastAsia="黑体"/>
          <w:sz w:val="32"/>
          <w:szCs w:val="24"/>
        </w:rPr>
      </w:pPr>
    </w:p>
    <w:p w14:paraId="5E1096AC">
      <w:pPr>
        <w:pStyle w:val="3"/>
        <w:rPr>
          <w:rFonts w:hint="default" w:eastAsia="黑体"/>
          <w:sz w:val="32"/>
          <w:szCs w:val="24"/>
        </w:rPr>
      </w:pPr>
    </w:p>
    <w:p w14:paraId="03F409F9">
      <w:pPr>
        <w:pStyle w:val="3"/>
        <w:rPr>
          <w:rFonts w:hint="default" w:eastAsia="黑体"/>
          <w:sz w:val="32"/>
          <w:szCs w:val="24"/>
        </w:rPr>
      </w:pPr>
    </w:p>
    <w:p w14:paraId="62B10F3F">
      <w:pPr>
        <w:pStyle w:val="3"/>
        <w:rPr>
          <w:rFonts w:hint="default" w:eastAsia="黑体"/>
          <w:sz w:val="32"/>
          <w:szCs w:val="24"/>
        </w:rPr>
      </w:pPr>
    </w:p>
    <w:p w14:paraId="3D6D52EA">
      <w:pPr>
        <w:pStyle w:val="3"/>
        <w:rPr>
          <w:rFonts w:hint="default" w:eastAsia="黑体"/>
          <w:sz w:val="32"/>
          <w:szCs w:val="24"/>
        </w:rPr>
      </w:pPr>
    </w:p>
    <w:p w14:paraId="3D7DE242">
      <w:pPr>
        <w:pStyle w:val="3"/>
        <w:rPr>
          <w:rFonts w:hint="default" w:eastAsia="黑体"/>
          <w:sz w:val="32"/>
          <w:szCs w:val="24"/>
        </w:rPr>
      </w:pPr>
    </w:p>
    <w:p w14:paraId="315B696A">
      <w:pPr>
        <w:pStyle w:val="3"/>
        <w:rPr>
          <w:rFonts w:hint="default" w:eastAsia="黑体"/>
          <w:sz w:val="32"/>
          <w:szCs w:val="24"/>
        </w:rPr>
      </w:pPr>
    </w:p>
    <w:p w14:paraId="2E8AFF76">
      <w:pPr>
        <w:pStyle w:val="3"/>
        <w:rPr>
          <w:rFonts w:hint="default" w:eastAsia="黑体"/>
          <w:sz w:val="32"/>
          <w:szCs w:val="24"/>
        </w:rPr>
      </w:pPr>
    </w:p>
    <w:p w14:paraId="01DF493A">
      <w:pPr>
        <w:pStyle w:val="3"/>
        <w:rPr>
          <w:rFonts w:hint="default" w:eastAsia="黑体"/>
          <w:sz w:val="32"/>
          <w:szCs w:val="24"/>
        </w:rPr>
      </w:pPr>
    </w:p>
    <w:p w14:paraId="327D24E1">
      <w:pPr>
        <w:pStyle w:val="3"/>
        <w:rPr>
          <w:rFonts w:hint="default" w:eastAsia="黑体"/>
          <w:sz w:val="32"/>
          <w:szCs w:val="24"/>
        </w:rPr>
      </w:pPr>
    </w:p>
    <w:p w14:paraId="4AEF245C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F55D3B6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BEA8725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24DD1123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2B90171C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5EFEECC3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CC97372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2078B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C7FC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D0DA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845B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61EBF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A6A5C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524D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993C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1789E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6228D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575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46C6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807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F6B6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82.6%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D77D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94F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8ADC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6AC0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6642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53338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5EA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46FA0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261.140868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CF89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282.66864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CDD4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272.895933</w:t>
            </w:r>
          </w:p>
        </w:tc>
      </w:tr>
      <w:tr w14:paraId="4276E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C6A6D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5126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84.870868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87DC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34.84225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2DB3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26.596163</w:t>
            </w:r>
          </w:p>
        </w:tc>
      </w:tr>
      <w:tr w14:paraId="5E4F7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1C96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B93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D0B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ACE59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60674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F14320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AB5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9A4C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4FAB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9179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EAAD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2C7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1285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1BDA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9E5D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FA4A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F33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7934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235E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0.9853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3C14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0.9853</w:t>
            </w:r>
          </w:p>
        </w:tc>
      </w:tr>
      <w:tr w14:paraId="26838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52BEE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47CB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B786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26B6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63E7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87A5EA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F42B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AD3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3CBB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5C4B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DE5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E56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346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C45F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DCE1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8D3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C6AE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8C2B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A6F7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7A77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D54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D1D1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7934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A94EB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0.9853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1F6CF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0.9853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646A8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8A36C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181C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5640.695501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46BAC9">
            <w:pPr>
              <w:spacing w:beforeLines="0" w:afterLine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1614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660757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5F1031">
            <w:pPr>
              <w:spacing w:beforeLines="0" w:afterLine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673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  <w:t>855331</w:t>
            </w:r>
          </w:p>
        </w:tc>
      </w:tr>
      <w:tr w14:paraId="60C39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C67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E1DC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6D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17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</w:t>
            </w:r>
          </w:p>
        </w:tc>
      </w:tr>
      <w:tr w14:paraId="07793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C33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2020公岗补贴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659B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90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DE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</w:t>
            </w:r>
          </w:p>
        </w:tc>
      </w:tr>
      <w:tr w14:paraId="349EF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E0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单位运转经费2025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D4A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DB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89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23D0F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038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退休人员生活补助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722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6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AD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</w:tr>
      <w:tr w14:paraId="73280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61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见习生补贴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E72E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B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DD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</w:tr>
      <w:tr w14:paraId="3D9B6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A5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单位运转工作经费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B758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60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6.799997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85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6.799997</w:t>
            </w:r>
          </w:p>
        </w:tc>
      </w:tr>
      <w:tr w14:paraId="48F5A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6A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关于开展“诗书里的三湘四水”公益广播传播活动经费的请示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0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FA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95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022B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4C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关于解决增发国债、政府专项债卷和中央预算内投资储备项目前期工作经费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82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1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45.42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0A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45.42</w:t>
            </w:r>
          </w:p>
        </w:tc>
      </w:tr>
      <w:tr w14:paraId="3FD5A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F3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单位资金还款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C4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49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2.002746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3F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2.002746</w:t>
            </w:r>
          </w:p>
        </w:tc>
      </w:tr>
      <w:tr w14:paraId="18A57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009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旅游产业发展专项资金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5D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DA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170.756762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37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170.756762</w:t>
            </w:r>
          </w:p>
        </w:tc>
      </w:tr>
      <w:tr w14:paraId="5D6D7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FE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关于解决参加全市体育比赛活动经费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97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61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2B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E9B3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2D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关于请求解决双牌县旅游产业发展规划（修编）费用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20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C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14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48.98</w:t>
            </w:r>
          </w:p>
        </w:tc>
      </w:tr>
      <w:tr w14:paraId="5B32F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B02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关于解决三类项目储备前期咨询费用的请示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CF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80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2B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18.38</w:t>
            </w:r>
          </w:p>
        </w:tc>
      </w:tr>
      <w:tr w14:paraId="1AFBD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AE6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三馆一站免费开放配套资金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67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B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8.613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EF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8.613</w:t>
            </w:r>
          </w:p>
        </w:tc>
      </w:tr>
      <w:tr w14:paraId="28541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976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关于解决永州市青少年锦标赛参赛经费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17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BB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6D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 w14:paraId="23578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4A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各乡镇文化站免费开放配套资金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A0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B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A7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</w:tr>
      <w:tr w14:paraId="7C39F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EF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非税收入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4C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9C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52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69BC5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5A9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第十五届阳明山和文化节开幕式策划执行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35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64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92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24600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45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关于解决双牌县文创产品设计大赛经费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D2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B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0D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9.98</w:t>
            </w:r>
          </w:p>
        </w:tc>
      </w:tr>
      <w:tr w14:paraId="0386F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B2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美术馆免费开放配套资金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DA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1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63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8.46</w:t>
            </w:r>
          </w:p>
        </w:tc>
      </w:tr>
      <w:tr w14:paraId="78B47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A4D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关于解决永州文旅暨京永航线推介会活动经费的请示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6A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21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2.651885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2D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2.651885</w:t>
            </w:r>
          </w:p>
        </w:tc>
      </w:tr>
      <w:tr w14:paraId="0A4FD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34C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2024年文物保护工作经费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E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6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20.244363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02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20.244363</w:t>
            </w:r>
          </w:p>
        </w:tc>
      </w:tr>
      <w:tr w14:paraId="067EF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68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旅游产业发展专项资金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5C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F9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F9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3DD38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77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关于请求解决第四次全国文物普查工作经费的请示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0C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6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5B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1295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66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岁圆楼安防装修、2023年岁圆楼管护资金、岁圆楼消防设施维护保养、岁圆楼（坦田）电费、五里牌镇塘基上古民居群和理家坪乡岁圆楼通道修缮工程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20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C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25.4233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FF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25.4233</w:t>
            </w:r>
          </w:p>
        </w:tc>
      </w:tr>
      <w:tr w14:paraId="64865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36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2024年文物保护工作经费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D3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B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23.178005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57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23.178005</w:t>
            </w:r>
          </w:p>
        </w:tc>
      </w:tr>
      <w:tr w14:paraId="6D1AC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060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公共文化服务资金（农村文化建设资金）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33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31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23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6079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95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第十五届阳明山和文化节开幕式策划执行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88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8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AC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3491D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AAB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公共文化服务资金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B2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C8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90.407889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53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90.407889</w:t>
            </w:r>
          </w:p>
        </w:tc>
      </w:tr>
      <w:tr w14:paraId="48D32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CCE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2021年中央支持地方公共文化服务体系建设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AC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0C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89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</w:tr>
      <w:tr w14:paraId="33862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78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见习生补贴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C1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0D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0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</w:t>
            </w:r>
          </w:p>
        </w:tc>
      </w:tr>
      <w:tr w14:paraId="57529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52722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598F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1D4D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CBD99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B5A6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04A6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A00B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F40FF8">
            <w:pPr>
              <w:spacing w:beforeLines="0" w:afterLine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440DCE">
            <w:pPr>
              <w:spacing w:beforeLines="0" w:afterLine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6BBC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3C0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496A89B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A4164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1608388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4E8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B46F6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2EDE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AAD4F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B3108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6733C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AD5D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D43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6389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3044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0D04D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A0C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8FD0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31837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905F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A4F3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62EDE127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F12A14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011DEAAF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56881A6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万巍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2026年4月9日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0746-7723669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6C200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6917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625"/>
        <w:gridCol w:w="505"/>
        <w:gridCol w:w="1894"/>
        <w:gridCol w:w="601"/>
        <w:gridCol w:w="695"/>
        <w:gridCol w:w="984"/>
        <w:gridCol w:w="718"/>
        <w:gridCol w:w="884"/>
        <w:gridCol w:w="1443"/>
      </w:tblGrid>
      <w:tr w14:paraId="44071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E1B43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1BE4D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双牌县文化旅游广电体育局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FDDB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C09A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43D7D0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3DDE2EB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FA7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4730D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72C44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B3B8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5FCA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E03B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A8B7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02473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F90E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5D7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900755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946.7</w:t>
            </w: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851FC0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946.7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97205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946.7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00BB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49BEC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8AC8AA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</w:tr>
      <w:tr w14:paraId="49540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EDA2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29B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ECC04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</w:p>
        </w:tc>
      </w:tr>
      <w:tr w14:paraId="0BC9A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E743C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06741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946..7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A7BE1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272.8959</w:t>
            </w:r>
          </w:p>
        </w:tc>
      </w:tr>
      <w:tr w14:paraId="5D18C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0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C888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A65715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B2856B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673.8553</w:t>
            </w:r>
          </w:p>
        </w:tc>
      </w:tr>
      <w:tr w14:paraId="572B8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3F09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1EA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47752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74F1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AD69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2CC58">
            <w:pPr>
              <w:spacing w:beforeLines="0" w:afterLines="0" w:line="240" w:lineRule="exact"/>
              <w:ind w:firstLine="1680" w:firstLineChars="7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5042D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D6F6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BB4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043D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B58FA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307B4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CEF1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E80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健全基层公共文化服务体系，推进全县创建国家公共文化服务体系建设，通过补短板建设，进一步丰富广大群众精神文化生活。</w:t>
            </w:r>
          </w:p>
        </w:tc>
        <w:tc>
          <w:tcPr>
            <w:tcW w:w="4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C76CD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通过公共文化服务体系建设的完善和提升，不断提高公共文化服务水平，营造了良好的农村文化活动氛围，保障了基层群众基本文化权益，群众满意度逐年提升。</w:t>
            </w:r>
          </w:p>
        </w:tc>
      </w:tr>
      <w:tr w14:paraId="6F860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A93DB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303CB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19D905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95F4F1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11D9FF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E3E5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81C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F13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F948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FED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AF1C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9AF86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C9BF7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6DD6C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E60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6D05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4769B6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9AA3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35E3A3C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FB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农村公益电影放映次数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0F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≥1368场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B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E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E3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60B3E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D34A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583C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9E15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54CC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50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广播电视节目无线覆盖乡镇数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A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≥12个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B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C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9B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86143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758F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1004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EA550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2766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3E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农村文化活动（送戏曲进乡村等）、农村体育活动、农家书屋阅读推广活动次数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77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≥55次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1F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F1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2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BAF19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6DBD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F903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286F6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C9F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7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基层文艺创作作品推广活动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66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≥8次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96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1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96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834D8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D825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37DFD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201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EF6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4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双牌县文化馆提质改造次数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4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≥1个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16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8F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A2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AF8218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DD60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A78BA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6632E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6ADB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5E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新时代文明实践中心建设数量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4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≥1个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7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DC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87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465BD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CE30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7F76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2BDD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A0A0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8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文明实践服务队伍数量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5F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≥15支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F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E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B3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C8D8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BE12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5D5E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0B03C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F0EFA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E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三馆和区域内的公共体育场地、设施全年免费或低收费开放天数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C5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≥330天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56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330天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1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3E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DC87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898B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C9D72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863E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6A24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C4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体育场馆全年平均开展的运动技能、科学健身等公益性体育培训服务人次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A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≥1000人次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A4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1200人次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11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0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BEFEA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F1BF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085D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B70F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99CD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18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每个新时代文明实践中心全年开展集中性活动数量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15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≥20场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90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0B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0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E525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D5BA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CEB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481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07B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4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五里牌镇洲村新建党群服务中心文化广场数量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5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≥1个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4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1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07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23CB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E658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2AAFC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E2B52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8ECB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0A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基本公共文化服务范围实现城镇、乡村全覆盖率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0B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E5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38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2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A0D1D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C32E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DD6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D66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644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7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形成有影响力的文明实践服务活动品牌数量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59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显著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5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显著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09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77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D77E6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6416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82AE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269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A591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6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场馆服务信息公告及时性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06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5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4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E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B2126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4791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1BF1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C6AE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079D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2BBE837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7A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电影放映、农村文化活动等相关文化活动在全年开展天数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1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≥280天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C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280天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11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5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65AA5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0F5D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53614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07E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C08DC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63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在2025年12月31日前全部完成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AD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E9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C8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C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C00E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7E27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E0B0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0D9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457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30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相关项目成本控制在规定金额内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B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F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49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3C1A3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224C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1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EB4A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D9E8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51AB44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0C2AA3F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3C18B5F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118E8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4570D7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5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文明实践活动带动乡村旅游、本地消费受益人次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C8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≥5000人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D3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5400人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9FE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BA67E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9E63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A6C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1BA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07A3D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71BE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34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文明实践者骨干培训覆盖率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7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≥90%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5F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6E0F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09A32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8FBA5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A310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3820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61B6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CC9C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9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广播电视综合人口覆盖率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E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≥</w:t>
            </w:r>
            <w:r>
              <w:rPr>
                <w:rStyle w:val="12"/>
                <w:rFonts w:eastAsia="仿宋_GB2312"/>
                <w:lang w:val="en-US" w:eastAsia="zh-CN" w:bidi="ar"/>
              </w:rPr>
              <w:t>99%</w:t>
            </w:r>
            <w:r>
              <w:rPr>
                <w:rStyle w:val="11"/>
                <w:rFonts w:hAnsi="宋体"/>
                <w:lang w:val="en-US" w:eastAsia="zh-CN" w:bidi="ar"/>
              </w:rPr>
              <w:t>　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29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3DD86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C40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F1F6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CACF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FEECE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85BBE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903E1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30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开展生态环保、绿色文明实践活动场次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B0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≥50场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8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52场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B6B1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8ED0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CDE4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4D27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C40F7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4E0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9445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61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基本公共文化服务水平稳步提升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5D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≥95%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F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94004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2CEF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ABF1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406D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FA03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5FD6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C93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24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64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群众对国家基本公共文化服务满意度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00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≥95%</w:t>
            </w:r>
          </w:p>
        </w:tc>
        <w:tc>
          <w:tcPr>
            <w:tcW w:w="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8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95B76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B11D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63C7F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346A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F12C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AF6D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50D22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3087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5A932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434D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0609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1780A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31B3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105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F78B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2025年中央支持地方公共文化服务体系建设补助资金（永州市县市区）</w:t>
            </w:r>
          </w:p>
        </w:tc>
      </w:tr>
      <w:tr w14:paraId="55B8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2593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DC70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E5B7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445.47</w:t>
            </w:r>
          </w:p>
        </w:tc>
      </w:tr>
      <w:tr w14:paraId="19919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1D93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5C6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3297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66C2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6D17A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CA24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1AE8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1136E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788A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E9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8491C3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2025年12月份，共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公共文化服务体系专项资金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445.47万元，其中：安排县文旅广体局115.59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全民健身中心59万元，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县融媒体中心31.2万元，电影放映公司18.68万元，县宣传部20万元，县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图书馆18.6万元、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美术馆18.4万元、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文化馆18.8万元，12个各乡镇合计55.2万元，文化旅游广电体育局文化馆提质改造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Hans"/>
              </w:rPr>
              <w:t>建设项目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65万，五里牌镇洲村党群服务中心文化广场建设项目25万。</w:t>
            </w:r>
          </w:p>
          <w:p w14:paraId="43EE0ECA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上级专项资金下达后，县财政及时将资金全额下拨，无截留、挪用项目资金行为。县文旅广体局、县融媒体中心、县电影放映公司、图书馆充分利用上级文化专项资金，积极发挥资金使用效益，截止至2025年12月，上级财政投入445.47万元完成支出419.47万元。</w:t>
            </w:r>
          </w:p>
        </w:tc>
      </w:tr>
      <w:tr w14:paraId="01A9D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4465A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EF4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C31E4F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 年我县公共文化服务体系建设补助资金全年预算数445.47万元，实际执行数419.47万元，预算执行率达 94.16%，整体执行情况良好。其中中央补助资金341.88万元，执行315.88万元，执行率92.39%；地方资金69万元、其他资金34.59万元均100%全额执行。未执行的26万元资金系部分建设项目尚未完成竣工验收，按规定暂未支付尾款，无资金沉淀、闲置等问题。各资金使用单位均按照项目实施计划推进资金支付，财政部门依托国库集中支付系统对资金执行进行动态跟踪，及时掌握资金支付进度，对支付滞后的单位进行督促提醒，确保资金执行与项目进度同频推进。从执行结构来看，场馆运营、文化活动、设备维护等经常性支出资金执行率达100%，基础设施建设类支出因项目验收流程客观存在时间差，导致执行率略有滞后，整体资金执行节奏合理、符合项目实施规律。</w:t>
            </w:r>
          </w:p>
        </w:tc>
      </w:tr>
      <w:tr w14:paraId="2D27F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422A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42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A1D5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F49E3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支付进度略有滞后</w:t>
            </w:r>
          </w:p>
          <w:p w14:paraId="3E3886E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15E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6BA81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EC2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F2398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推进业务开展，加快资金支付进度</w:t>
            </w:r>
          </w:p>
        </w:tc>
      </w:tr>
      <w:tr w14:paraId="7CA3C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CA8EC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C7AF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9BD9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AED4E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4AC73F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3EAF86CD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313F0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53419AA7">
      <w:pPr>
        <w:spacing w:beforeLines="0" w:afterLines="0" w:line="600" w:lineRule="exact"/>
        <w:jc w:val="left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</w:p>
    <w:p w14:paraId="4FAFE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71DF6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69A5D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B56E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0E6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94D8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第十五届阳明山和文化节开幕式策划执行</w:t>
            </w:r>
          </w:p>
        </w:tc>
      </w:tr>
      <w:tr w14:paraId="597EB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E1390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1E41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A7220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28</w:t>
            </w:r>
          </w:p>
        </w:tc>
      </w:tr>
      <w:tr w14:paraId="3DD3F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C29AB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2C49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482C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08DB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58AE2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E9E5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2813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520D3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066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C849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625F8E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2025年12月份，共拨付专项资金28万元。</w:t>
            </w:r>
          </w:p>
          <w:p w14:paraId="0E45566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2025年上级专项资金下达后，县财政及时将资金全额下拨，无截留、挪用项目资金行为。县文旅广体局充分利用上级文化专项资金，积极发挥资金使用效益，截止至2025年12月，上级财政投入28万元完成支出28万元。</w:t>
            </w:r>
          </w:p>
        </w:tc>
      </w:tr>
      <w:tr w14:paraId="1C5B7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9F4C8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128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F0BE92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3E151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424E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065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851B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F2E877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23A0A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3C57B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16B9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0A8C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55353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8E8A5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8DBB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6086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552E2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7A7DA43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75FAA0B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76C64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3CFDEEC1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5A783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43B74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610D5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314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87D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A14D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关于解决“月月有主题、周周有活动”文化活动经费</w:t>
            </w:r>
          </w:p>
        </w:tc>
      </w:tr>
      <w:tr w14:paraId="0B376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96918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316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F44A0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</w:t>
            </w:r>
          </w:p>
        </w:tc>
      </w:tr>
      <w:tr w14:paraId="5774A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53B5C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96E4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C04B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F5C4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56ECE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1774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C40A4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2CD0E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FE85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16E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90E667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2025年12月份，共拨付专项资金23万元。</w:t>
            </w:r>
          </w:p>
          <w:p w14:paraId="0510CDA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2025年上级专项资金下达后，县财政及时将资金全额下拨，无截留、挪用项目资金行为。县文旅广体局充分利用上级文化专项资金，积极发挥资金使用效益，截止至2025年12月，上级财政投入23万元完成支出23万元。</w:t>
            </w:r>
          </w:p>
        </w:tc>
      </w:tr>
      <w:tr w14:paraId="5D8EE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7D1CB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5CE6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25B3CA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532A3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C1D5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39A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37A17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7F7D9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54BE8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9E445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C5D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5D0EA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4B20A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8121F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1F09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A63C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DAD8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0631F7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8FFDF41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EBFC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7115931E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08368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06418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413BE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B9D1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980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1A32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关于解决增发国债、政府专项债卷和中央预算内投资储备项目前期工作经费</w:t>
            </w:r>
          </w:p>
        </w:tc>
      </w:tr>
      <w:tr w14:paraId="34D85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D9C8B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3A24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D5A59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45.42</w:t>
            </w:r>
          </w:p>
        </w:tc>
      </w:tr>
      <w:tr w14:paraId="03F88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9AC4A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565B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76B0A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5596F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AA8BB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17B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F9F6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21DD1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14E2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8FEB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1B8BBF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2025年12月份，共拨付专项资金45.42万元。</w:t>
            </w:r>
          </w:p>
          <w:p w14:paraId="7F185D53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45.42万元完成支出45.42万元。</w:t>
            </w:r>
          </w:p>
        </w:tc>
      </w:tr>
      <w:tr w14:paraId="56B46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AD459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526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101753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68C43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E726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3526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0F9C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602D4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7C393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70C2B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082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40835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70A5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3A4C9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766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E81F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ACD3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3E4D19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F152155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2962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1F2C4D36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4B9B1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6707B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09485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F6C1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F645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C98E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关于请求解决双牌县旅游产业发展规划（修编）费用</w:t>
            </w:r>
          </w:p>
        </w:tc>
      </w:tr>
      <w:tr w14:paraId="3B97B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93C76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6E41C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13938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48.98</w:t>
            </w:r>
          </w:p>
        </w:tc>
      </w:tr>
      <w:tr w14:paraId="4B4FA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59005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EE66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9F3DA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A9F0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80DE4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6B06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5C4A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497F6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601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3423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76792D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2025年12月份，共拨付专项资金48.98万元。</w:t>
            </w:r>
          </w:p>
          <w:p w14:paraId="29997430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48.98万元完成支出48.98万元。</w:t>
            </w:r>
          </w:p>
        </w:tc>
      </w:tr>
      <w:tr w14:paraId="25815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6A890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0F1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E8F913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1D617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BF28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26B2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531BC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597A3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1F23D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EF2F5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15BA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A613C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46ADC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B9ACC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885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E6A9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E71B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1D4B42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ED10504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335D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45636B77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10CD9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765DA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3F0F1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35C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0A54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0BFAA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旅游产业发展专项资金</w:t>
            </w:r>
          </w:p>
        </w:tc>
      </w:tr>
      <w:tr w14:paraId="1619A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AFCD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EE98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DCAC0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420</w:t>
            </w:r>
          </w:p>
        </w:tc>
      </w:tr>
      <w:tr w14:paraId="154BC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611D6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0AA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AC7F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5264A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45B9D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6CBB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36FE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0FFA3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9F4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04CE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98E922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2025年12月份，共拨付专项资金420万元。</w:t>
            </w:r>
          </w:p>
          <w:p w14:paraId="418A1561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420万元完成支出420万元。</w:t>
            </w:r>
          </w:p>
        </w:tc>
      </w:tr>
      <w:tr w14:paraId="2E7A0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CAC6A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D0B8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122E15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37161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01D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2D11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B0EDE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A59892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34B54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9772A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4FD9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8F575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BB85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3FF19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3988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31FF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D156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43949F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F367C0C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62E5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4DA6371F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0D84E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1C16A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3C207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7C1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AAF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5871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三馆一站免费开放配套资金</w:t>
            </w:r>
          </w:p>
        </w:tc>
      </w:tr>
      <w:tr w14:paraId="7D406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978EF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4447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4F5B9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</w:p>
        </w:tc>
      </w:tr>
      <w:tr w14:paraId="0CB44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7C040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C9B3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6C84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A053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05792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319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0398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40E43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D84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A80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1595F0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2025年12月份，共拨付专项资金20万元。</w:t>
            </w:r>
          </w:p>
          <w:p w14:paraId="347C6DCA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2025年上级专项资金下达后，县财政及时将资金全额下拨，无截留、挪用项目资金行为。县文旅广体局充分利用上级文化专项资金，积极发挥资金使用效益，截止至2025年12月，上级财政投入20万元完成支出20万元。</w:t>
            </w:r>
          </w:p>
        </w:tc>
      </w:tr>
      <w:tr w14:paraId="086DB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F8D7A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6B1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CC4786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1A1EF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942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35F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0EFE0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8CD22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3EFFD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7044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E490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BF07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6D78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BE42F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7475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3385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746E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67C5537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467F8D08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FAA5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220F6D0E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6D69E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6BFD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472E8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03C1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87E3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5548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省级文物保护专项资金</w:t>
            </w:r>
          </w:p>
        </w:tc>
      </w:tr>
      <w:tr w14:paraId="3F194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F3B44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C9D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49835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144.3</w:t>
            </w:r>
          </w:p>
        </w:tc>
      </w:tr>
      <w:tr w14:paraId="4FD7A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4D267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869F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9A86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707EE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CAF73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60A2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E36E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085ED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E46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009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9A7647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2025年12月份，共拨付专项资金144.3万元。</w:t>
            </w:r>
          </w:p>
          <w:p w14:paraId="67D4BC6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144.3万元完成支出144.3万元。</w:t>
            </w:r>
          </w:p>
        </w:tc>
      </w:tr>
      <w:tr w14:paraId="720C1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9FB15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2A0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1BE562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4C280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A14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C027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2398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947C6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10CEF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BF627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B07D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05C0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336AA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D1915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8123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FD18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0AE32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181997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3FD98E7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2103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1D5C7132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7C460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55D49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68DE1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3D5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C98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1E0D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双牌县图书馆少儿交互体验建设项目</w:t>
            </w:r>
          </w:p>
        </w:tc>
      </w:tr>
      <w:tr w14:paraId="55E19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80C3B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7EAF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40777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40</w:t>
            </w:r>
          </w:p>
        </w:tc>
      </w:tr>
      <w:tr w14:paraId="51EDA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43201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908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5B1D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5F1F8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1E5CC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EB4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626FF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5EDA7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A48A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CDE1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A0E613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2025年12月份，共拨付专项资金40万元。</w:t>
            </w:r>
          </w:p>
          <w:p w14:paraId="7919F2DC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2025年上级专项资金下达后，县财政及时将资金全额下拨，无截留、挪用项目资金行为。县文旅广体局充分利用上级文化专项资金，积极发挥资金使用效益，截止至2025年12月，上级财政投入40万元完成支出40万元。</w:t>
            </w:r>
          </w:p>
        </w:tc>
      </w:tr>
      <w:tr w14:paraId="4BB18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DE4F0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97CF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7FBB0A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066C1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9139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778C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96AE3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17EC4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AA38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D3B2A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49D5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59C76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4DC3F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6E97B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19D9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9803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6E13A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51A790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BBB69CA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8730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13F0F12C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14529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67390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22C3E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160A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E695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EEFB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岁圆楼古建筑群彩绘壁画、泥塑保护修缮</w:t>
            </w:r>
          </w:p>
        </w:tc>
      </w:tr>
      <w:tr w14:paraId="6EE08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DE4E1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F1D3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3B910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192</w:t>
            </w:r>
          </w:p>
        </w:tc>
      </w:tr>
      <w:tr w14:paraId="227BC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DDDCF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09C0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BCE5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6C276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D6871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FF7F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0360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4DC4C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1FF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C7D1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E25C05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2025年12月份，共拨付专项资金192万元。</w:t>
            </w:r>
          </w:p>
          <w:p w14:paraId="502127BE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192万元完成支出192万元。</w:t>
            </w:r>
          </w:p>
        </w:tc>
      </w:tr>
      <w:tr w14:paraId="0F661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6D4F1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40C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BAD9D2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58E96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E78A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EF4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9BD3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F6965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7B361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7BDD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3831B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5B27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5C874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CD121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3DC0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5212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981F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3A7855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9F4288B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F814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20B11A29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6406B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5C820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7C727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A5F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4760A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9CEE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文化馆提质改造</w:t>
            </w:r>
          </w:p>
        </w:tc>
      </w:tr>
      <w:tr w14:paraId="5B429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FF50F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E0F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4C2A5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65</w:t>
            </w:r>
          </w:p>
        </w:tc>
      </w:tr>
      <w:tr w14:paraId="222F4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6F9CF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1E2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6683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65C35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B882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A86C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75C4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4626E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4C07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3BA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327C72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2025年12月份，共拨付专项资金65万元。</w:t>
            </w:r>
          </w:p>
          <w:p w14:paraId="6B50B33F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2025年上级专项资金下达后，县财政及时将资金全额下拨，无截留、挪用项目资金行为。县文旅广体局充分利用上级文化专项资金，积极发挥资金使用效益，截止至2025年12月，上级财政投入65万元完成支出65万元。</w:t>
            </w:r>
          </w:p>
        </w:tc>
      </w:tr>
      <w:tr w14:paraId="5DF22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DD6C8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3C6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A3AF72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63370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EF68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95053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7B1A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CA2B7D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9B69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E5F38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B16E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0C39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7E4AB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FC5C9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C148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01F6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7679D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2B807F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2E729354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1ED4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49929458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06AEF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59AF6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0CA09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0A10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A5C9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525D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象文化数字体验区项目</w:t>
            </w:r>
          </w:p>
        </w:tc>
      </w:tr>
      <w:tr w14:paraId="15837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C6241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5D27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02F90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40</w:t>
            </w:r>
          </w:p>
        </w:tc>
      </w:tr>
      <w:tr w14:paraId="70C89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AC92F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586D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5365A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6FC71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74CE1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974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FF33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78035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8102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B828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0F696E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2025年12月份，共拨付专项资金40万元。</w:t>
            </w:r>
          </w:p>
          <w:p w14:paraId="2E11F381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2025年上级专项资金下达后，县财政及时将资金全额下拨，无截留、挪用项目资金行为。县文旅广体局充分利用上级文化专项资金，积极发挥资金使用效益，截止至2025年12月，上级财政投入40万元完成支出40万元。</w:t>
            </w:r>
          </w:p>
        </w:tc>
      </w:tr>
      <w:tr w14:paraId="0A906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3D5F5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A326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FBCDD9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22A7D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51B0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E46D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BDE31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CB4D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2060B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37EF7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14EC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DE438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0A672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A5366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FFC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3D54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F1AA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0DC1AC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365C55A3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EE0A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4D46BB13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0AA95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2D754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063B2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A31F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EC39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7BF5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中央公共文化服务体系建设补助资金</w:t>
            </w:r>
          </w:p>
        </w:tc>
      </w:tr>
      <w:tr w14:paraId="0B246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FAF71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20C0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1F100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</w:t>
            </w:r>
          </w:p>
        </w:tc>
      </w:tr>
      <w:tr w14:paraId="380EB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39100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EAEC3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26E2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湖南省财政厅、湖南省文旅厅等省直部门</w:t>
            </w:r>
          </w:p>
        </w:tc>
      </w:tr>
      <w:tr w14:paraId="26181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DA04B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3B7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DBCB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</w:t>
            </w:r>
          </w:p>
        </w:tc>
      </w:tr>
      <w:tr w14:paraId="24328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A66E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800C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B4251C">
            <w:pPr>
              <w:spacing w:beforeLines="0" w:afterLines="0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2025年12月份，共拨付专项资金21万元。</w:t>
            </w:r>
          </w:p>
          <w:p w14:paraId="11F5A975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2025年上级专项资金下达后，县财政及时将资金全额下拨，无截留、挪用项目资金行为。县文旅广体局充分利用上级文化专项资金，积极发挥资金使用效益，截止至2025年12月，上级财政投入21万元完成支出21万元。</w:t>
            </w:r>
          </w:p>
        </w:tc>
      </w:tr>
      <w:tr w14:paraId="0073E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8E0C7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8AD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F9B5B9">
            <w:pPr>
              <w:pStyle w:val="9"/>
              <w:numPr>
                <w:ilvl w:val="0"/>
                <w:numId w:val="0"/>
              </w:numPr>
              <w:spacing w:line="600" w:lineRule="exact"/>
              <w:ind w:firstLine="480" w:firstLineChars="200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2025年项目严格按照方案推进实施，圆满完成本项目，达到了预期的项目效果和文化传播目标，资金全部合格使用，项目绩效目标100%完成。</w:t>
            </w:r>
          </w:p>
        </w:tc>
      </w:tr>
      <w:tr w14:paraId="4E11E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64C3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7CF3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3681D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29A51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4D6BE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747AA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6AA1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DC1A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</w:tr>
      <w:tr w14:paraId="17148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C99F6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35A4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125A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656D2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293DD6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0D24D08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30AA5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7E53C1FB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  <w:r>
        <w:rPr>
          <w:rFonts w:hint="default" w:eastAsia="仿宋_GB2312"/>
          <w:sz w:val="22"/>
          <w:szCs w:val="24"/>
        </w:rPr>
        <w:br w:type="page"/>
      </w:r>
    </w:p>
    <w:p w14:paraId="4758438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A91C2FF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74D2B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DD4C3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116D5505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5BE4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2025年中央支持地方公共文化服务体系建设补助资金（永州市县市区）　</w:t>
            </w:r>
          </w:p>
        </w:tc>
      </w:tr>
      <w:tr w14:paraId="1617E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0D8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2624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财政部、宣传部、文旅部、广电总局、体育总局、国家文物局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EAF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DE69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文化旅游广电体育局</w:t>
            </w:r>
          </w:p>
        </w:tc>
      </w:tr>
      <w:tr w14:paraId="06C07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F8F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CA07C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4A6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88E4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D3FE2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232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1B8A73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7F0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0BD51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5FA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F6D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F1B5E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15A10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953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C80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11D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91E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EADE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264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271F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94.16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7BF4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3DFA9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7DF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49C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886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2C93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40E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445.47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DAE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83E7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94.16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F5364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47B3B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2B34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38FD3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E86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8657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E35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1C4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639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6A3C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211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A67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2DE9B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0960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D2FE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6D0C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1EA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FF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63BE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BD3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10A7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ED8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8512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0460A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260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5F1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健全基层公共文化服务体系，推进全县创建国家公共文化服务体系建设，通过补短板建设，进一步丰富广大群众精神文化生活。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2118F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通过公共文化服务体系建设的完善和提升，不断提高公共文化服务水平，营造了良好的农村文化活动氛围，保障了基层群众基本文化权益，群众满意度逐年提升。</w:t>
            </w:r>
          </w:p>
        </w:tc>
      </w:tr>
      <w:tr w14:paraId="7DF52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BE5C3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2955F5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767203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691C0C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455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5E8A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6497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5A848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C93B2E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7D66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1559E1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3E4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337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C8C2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76409E5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7CA5DF4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4429C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C17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4151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644D36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5341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3302DF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F94B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相关项目成本控制在规定金额内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A501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≥100%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BAB4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072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105D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A76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40A2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56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CBD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603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1B4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5D2A29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91B4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社会责任相关支出合规可控</w:t>
            </w:r>
          </w:p>
          <w:p w14:paraId="5515E8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440C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≤年度预算</w:t>
            </w:r>
          </w:p>
          <w:p w14:paraId="468487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992F1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预算内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8182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768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8FAD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4776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40F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309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647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6CEC89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99EB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环保治理成本控制在预算内</w:t>
            </w:r>
          </w:p>
          <w:p w14:paraId="27C810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750D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≤年度预算</w:t>
            </w:r>
          </w:p>
          <w:p w14:paraId="0A745E5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08F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预算内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9F0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32C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6A83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B74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E372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198C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14FD79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1AB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7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农村公益电影放映次数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A6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≥1368场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8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686F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358C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2FE2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B09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4F0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5BFD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652B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7D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广播电视节目无线覆盖乡镇数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01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≥12个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0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4FFC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855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1174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0064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6D67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3201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472BA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B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农村文化活动（送戏曲进乡村等）、农村体育活动、农家书屋阅读推广活动次数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0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≥55次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A3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5F8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BF6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9DA39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146C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692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3EB0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B83B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89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基层文艺创作作品推广活动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78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A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7C56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A5D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935E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3FA8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CF8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A64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BC9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34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双牌县文化馆提质改造次数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1A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62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44BD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EFE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E3A99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6FCD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C143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41E0D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86F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D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新时代文明实践中心建设数量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5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9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81B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FB9C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892C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8BE6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3F6D2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5A21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D79F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A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文明实践服务队伍数量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3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≥15支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4F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6C94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59A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42B99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F7D1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87E40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048C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B07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31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三馆和区域内的公共体育场地、设施全年免费或低收费开放天数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97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≥330天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1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330天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F903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FF7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1EEE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99D5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C481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614F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4C6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7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体育场馆全年平均开展的运动技能、科学健身等公益性体育培训服务人次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8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≥1000人次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E3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1200人次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E83C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B256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4E64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AAB7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2CA45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F566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9D9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13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每个新时代文明实践中心全年开展集中性活动数量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6E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≥20场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B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9F1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F33D2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C97E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68AA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565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79E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C0F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8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基本公共文化服务范围实现城镇、乡村全覆盖率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D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F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64C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8103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DC3EB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2617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90EE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4C31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E87F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B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形成有影响力的文明实践服务活动品牌数量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3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显著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6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显著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6225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8A40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BFAB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C6DA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DF2C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94A5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4AE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0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场馆服务信息公告及时性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72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8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46F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9B60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99FC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BB42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46CB4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4C2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97A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DD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电影放映、农村文化活动等相关文化活动在全年开展天数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73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≥280天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93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280天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659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CB76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740C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A23F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F23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8248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FE42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C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在2025年12月31日前全部完成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B7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8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04A6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E65EF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0611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6724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346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0D3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6696EC0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FB9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3ADAF3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1D89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文明实践活动带动乡村旅游、本地消费受益人次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AE6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≥5000人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71C67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5400人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713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7970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980E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598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12FF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D7B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7016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0648EF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F07F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开展生态环保、绿色文明实践活动场次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D1F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≥50场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E0F34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52场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B947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4471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D6DD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F2D8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63B2A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CF6F7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B794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360185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8B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文明实践者骨干培训覆盖率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22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6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B167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4C25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8CDD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D7AF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5A66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837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EFBB6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7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广播电视综合人口覆盖率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D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02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FE6F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C792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6F73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9108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3EB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CC22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4ED13F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425BCA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45F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96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群众对国家基本公共文化服务满意度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A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4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A62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5464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3B4A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50C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3479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807B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F2F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97E4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70572A53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FAA6A9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0039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万巍</w:t>
      </w:r>
      <w:r>
        <w:rPr>
          <w:rFonts w:hint="eastAsia" w:eastAsia="仿宋_GB2312"/>
          <w:sz w:val="22"/>
          <w:szCs w:val="24"/>
        </w:rPr>
        <w:t xml:space="preserve">   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2026年4月9日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bookmarkStart w:id="0" w:name="_GoBack"/>
      <w:bookmarkEnd w:id="0"/>
      <w:r>
        <w:rPr>
          <w:rFonts w:hint="eastAsia" w:eastAsia="仿宋_GB2312"/>
          <w:sz w:val="22"/>
          <w:szCs w:val="24"/>
          <w:lang w:val="en-US" w:eastAsia="zh-CN"/>
        </w:rPr>
        <w:t xml:space="preserve">0746-7723669      </w:t>
      </w:r>
    </w:p>
    <w:p w14:paraId="54C28088">
      <w:r>
        <w:rPr>
          <w:rFonts w:hint="eastAsia" w:eastAsia="仿宋_GB2312"/>
          <w:sz w:val="22"/>
          <w:szCs w:val="24"/>
          <w:lang w:val="en-US" w:eastAsia="zh-CN"/>
        </w:rPr>
        <w:t>单</w:t>
      </w:r>
      <w:r>
        <w:rPr>
          <w:rFonts w:hint="eastAsia" w:eastAsia="仿宋_GB2312"/>
          <w:sz w:val="22"/>
          <w:szCs w:val="24"/>
        </w:rPr>
        <w:t>位负责人签字：</w:t>
      </w:r>
      <w:r>
        <w:rPr>
          <w:rFonts w:hint="eastAsia" w:eastAsia="仿宋_GB2312"/>
          <w:sz w:val="22"/>
          <w:szCs w:val="24"/>
          <w:lang w:val="en-US" w:eastAsia="zh-CN"/>
        </w:rPr>
        <w:t>蒋艺</w:t>
      </w:r>
    </w:p>
    <w:p w14:paraId="791CC793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</w:p>
    <w:p w14:paraId="275EB197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1DE630BC">
      <w:pPr>
        <w:spacing w:beforeLines="0" w:after="240" w:afterLines="100" w:line="600" w:lineRule="exact"/>
        <w:jc w:val="center"/>
        <w:outlineLvl w:val="0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文化旅游广电体育局单位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预算绩效管理工作负责人名册</w:t>
      </w:r>
    </w:p>
    <w:tbl>
      <w:tblPr>
        <w:tblStyle w:val="6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7"/>
        <w:gridCol w:w="1347"/>
        <w:gridCol w:w="1349"/>
        <w:gridCol w:w="1627"/>
        <w:gridCol w:w="1344"/>
      </w:tblGrid>
      <w:tr w14:paraId="610C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BBC9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A365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06B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2DDC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3E25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移动通讯号码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8A13E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备注</w:t>
            </w:r>
          </w:p>
        </w:tc>
      </w:tr>
      <w:tr w14:paraId="6D1E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8B2917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分管领导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7B5313">
            <w:pPr>
              <w:spacing w:beforeLines="0" w:beforeAutospacing="1" w:afterLines="0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刘向明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DBE123">
            <w:pPr>
              <w:spacing w:beforeLines="0" w:beforeAutospacing="1" w:afterLines="0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副局长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495C47">
            <w:pPr>
              <w:spacing w:beforeLines="0" w:beforeAutospacing="1" w:afterLines="0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7723669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B8E89D">
            <w:pPr>
              <w:spacing w:beforeLines="0" w:beforeAutospacing="1" w:afterLines="0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18975771527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17279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C11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D1EBB8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联络员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81F994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万巍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45711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报账员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1F19C5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7723669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71D9A0">
            <w:pPr>
              <w:spacing w:beforeLines="0" w:beforeAutospacing="1" w:afterLines="0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15874646806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46146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56F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CD9909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98F497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陈梦昶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F55F9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报账员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6897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7723669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E01E7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17374699760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CCDC18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4BA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7255E3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30B09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E996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DFAF8F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CF694A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1ADB6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844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9A420C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23AB3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E39B6C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6827A1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06AA5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931641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A56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2CBF2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16461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A837ED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308E8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5D1FF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713F8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CDE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A3CDBF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154A7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3999E9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E464E2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8A36E6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CD955F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D9D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4948B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579ED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E5204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B4355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6C0346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FA89C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F99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479A3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FC50FB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E78F47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24B10C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65CD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2BD5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C4F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277EEA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AA4BE7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1EA81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31911D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71498C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CF5CDA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6C8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EF1696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4E2560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37434E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07D0A3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217831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6DA939"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 w14:paraId="7B1C3BCE"/>
    <w:p w14:paraId="572BA3C2"/>
    <w:p w14:paraId="2F469D4C"/>
    <w:p w14:paraId="5DE7BDBE"/>
    <w:p w14:paraId="13F106E0"/>
    <w:sectPr>
      <w:footerReference r:id="rId4" w:type="default"/>
      <w:footerReference r:id="rId5" w:type="even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01E9B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23CC1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F23CC1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74D5E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746E1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3746E1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6078FF"/>
    <w:multiLevelType w:val="singleLevel"/>
    <w:tmpl w:val="8B6078F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yMGQxMWRlNGIzN2U3OTIwZTcyOWUxZTM3NjFmOGYifQ=="/>
  </w:docVars>
  <w:rsids>
    <w:rsidRoot w:val="00172A27"/>
    <w:rsid w:val="0CCE5073"/>
    <w:rsid w:val="0FBF4D53"/>
    <w:rsid w:val="101F3C57"/>
    <w:rsid w:val="105E064F"/>
    <w:rsid w:val="154B3473"/>
    <w:rsid w:val="15B02F86"/>
    <w:rsid w:val="180F0A0C"/>
    <w:rsid w:val="18534811"/>
    <w:rsid w:val="19BE3F0C"/>
    <w:rsid w:val="1BCE59A7"/>
    <w:rsid w:val="1D5E5630"/>
    <w:rsid w:val="1F9C1D8C"/>
    <w:rsid w:val="20BA3D5C"/>
    <w:rsid w:val="20FE29CD"/>
    <w:rsid w:val="213827F6"/>
    <w:rsid w:val="24756501"/>
    <w:rsid w:val="2AF82401"/>
    <w:rsid w:val="31EF3498"/>
    <w:rsid w:val="33457B5A"/>
    <w:rsid w:val="33EA0D37"/>
    <w:rsid w:val="38EA5012"/>
    <w:rsid w:val="3DFB432B"/>
    <w:rsid w:val="41A60F90"/>
    <w:rsid w:val="437042B4"/>
    <w:rsid w:val="43D25C86"/>
    <w:rsid w:val="47FF7E2A"/>
    <w:rsid w:val="4A7E5437"/>
    <w:rsid w:val="4B490F32"/>
    <w:rsid w:val="4B564457"/>
    <w:rsid w:val="4B8727B5"/>
    <w:rsid w:val="4C575977"/>
    <w:rsid w:val="4DF30F3A"/>
    <w:rsid w:val="4E8B7C40"/>
    <w:rsid w:val="4F1637A4"/>
    <w:rsid w:val="4FC15B60"/>
    <w:rsid w:val="500F1BD2"/>
    <w:rsid w:val="51C40746"/>
    <w:rsid w:val="543E6CC0"/>
    <w:rsid w:val="55412274"/>
    <w:rsid w:val="55C03679"/>
    <w:rsid w:val="57C446E9"/>
    <w:rsid w:val="57EE2CDC"/>
    <w:rsid w:val="58820FB8"/>
    <w:rsid w:val="5ABA52A9"/>
    <w:rsid w:val="5C8E01AF"/>
    <w:rsid w:val="61896491"/>
    <w:rsid w:val="62BE6D8B"/>
    <w:rsid w:val="64E742EF"/>
    <w:rsid w:val="684B0AD7"/>
    <w:rsid w:val="6AF31A65"/>
    <w:rsid w:val="6E351362"/>
    <w:rsid w:val="75073918"/>
    <w:rsid w:val="771A18F7"/>
    <w:rsid w:val="7B8C2698"/>
    <w:rsid w:val="7E991F23"/>
    <w:rsid w:val="7EB5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4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paragraph" w:styleId="5">
    <w:name w:val="Body Text First Indent 2"/>
    <w:basedOn w:val="2"/>
    <w:qFormat/>
    <w:uiPriority w:val="0"/>
    <w:pPr>
      <w:spacing w:before="100" w:beforeAutospacing="1"/>
      <w:ind w:left="0" w:firstLine="420" w:firstLineChars="200"/>
    </w:pPr>
  </w:style>
  <w:style w:type="paragraph" w:customStyle="1" w:styleId="8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  <w:style w:type="paragraph" w:customStyle="1" w:styleId="10">
    <w:name w:val="BodyText1I"/>
    <w:basedOn w:val="1"/>
    <w:qFormat/>
    <w:uiPriority w:val="99"/>
    <w:pPr>
      <w:snapToGrid w:val="0"/>
      <w:spacing w:line="360" w:lineRule="auto"/>
      <w:ind w:firstLine="420" w:firstLineChars="100"/>
    </w:pPr>
    <w:rPr>
      <w:sz w:val="28"/>
      <w:szCs w:val="20"/>
    </w:rPr>
  </w:style>
  <w:style w:type="character" w:customStyle="1" w:styleId="11">
    <w:name w:val="font11"/>
    <w:basedOn w:val="7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1996</Words>
  <Characters>2056</Characters>
  <Lines>0</Lines>
  <Paragraphs>0</Paragraphs>
  <TotalTime>1</TotalTime>
  <ScaleCrop>false</ScaleCrop>
  <LinksUpToDate>false</LinksUpToDate>
  <CharactersWithSpaces>2062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巍巍</cp:lastModifiedBy>
  <dcterms:modified xsi:type="dcterms:W3CDTF">2026-04-28T02:14:04Z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8FC1AE603C2A4165AFDCBA0C03FB3C02_13</vt:lpwstr>
  </property>
  <property fmtid="{D5CDD505-2E9C-101B-9397-08002B2CF9AE}" pid="4" name="KSOTemplateDocerSaveRecord">
    <vt:lpwstr>eyJoZGlkIjoiZjg2ODM5ZmQzZGZlZThjODdlNmUxY2I0NmJkMjBmMjAiLCJ1c2VySWQiOiI0MjA4NDA5NDEifQ==</vt:lpwstr>
  </property>
</Properties>
</file>