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b/>
          <w:bCs/>
          <w:sz w:val="52"/>
          <w:szCs w:val="24"/>
          <w:lang w:eastAsia="zh-CN"/>
        </w:rPr>
      </w:pPr>
      <w:r>
        <w:rPr>
          <w:rFonts w:hint="eastAsia" w:ascii="方正小标宋简体" w:eastAsia="方正小标宋简体"/>
          <w:b/>
          <w:bCs/>
          <w:sz w:val="52"/>
          <w:szCs w:val="24"/>
        </w:rPr>
        <w:t>202</w:t>
      </w:r>
      <w:r>
        <w:rPr>
          <w:rFonts w:hint="eastAsia" w:ascii="方正小标宋简体" w:eastAsia="方正小标宋简体"/>
          <w:b/>
          <w:bCs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52"/>
          <w:szCs w:val="24"/>
        </w:rPr>
        <w:t>年度</w:t>
      </w:r>
      <w:r>
        <w:rPr>
          <w:rFonts w:hint="eastAsia" w:ascii="方正小标宋简体" w:eastAsia="方正小标宋简体"/>
          <w:b/>
          <w:bCs/>
          <w:sz w:val="52"/>
          <w:szCs w:val="24"/>
          <w:lang w:eastAsia="zh-CN"/>
        </w:rPr>
        <w:t>双牌县文学艺术界联合会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b/>
          <w:bCs/>
          <w:sz w:val="52"/>
          <w:szCs w:val="24"/>
        </w:rPr>
      </w:pPr>
      <w:r>
        <w:rPr>
          <w:rFonts w:hint="eastAsia" w:ascii="方正小标宋简体" w:eastAsia="方正小标宋简体"/>
          <w:b/>
          <w:bCs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eastAsia" w:eastAsia="仿宋_GB2312"/>
          <w:sz w:val="32"/>
          <w:szCs w:val="24"/>
          <w:u w:val="single"/>
          <w:lang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双牌县文学艺术界联合会</w:t>
      </w: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jc w:val="left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2025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（一）主要职能。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县文联是县委、县人民政府联系全县广大文艺工作者的桥梁和纽带，负责团结、组织、协调和指导全县广大文艺工作者，坚定文化自信，以有效增强政治性、先进性、群众性为目标，积极从事文学、艺术的创作、研究及其相关活动。完成县委、县人民政府交办的其他事项。</w:t>
      </w:r>
    </w:p>
    <w:p>
      <w:pPr>
        <w:numPr>
          <w:ilvl w:val="0"/>
          <w:numId w:val="0"/>
        </w:numPr>
        <w:snapToGrid w:val="0"/>
        <w:spacing w:line="520" w:lineRule="exact"/>
        <w:ind w:firstLine="300" w:firstLineChars="1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机构情况，包括当年变动情况及原因。</w:t>
      </w:r>
    </w:p>
    <w:p>
      <w:pPr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双牌文学艺术界联合会属财政全额拨款正科级参公事业单位；财务隶属关系属一级单位；我单位现有内设机构3个：办公室（加挂《阳明山》编辑部牌子）、组织联络室（加挂网络文艺室牌子）、权益保护与行业建设室。</w:t>
      </w:r>
    </w:p>
    <w:p>
      <w:pPr>
        <w:numPr>
          <w:ilvl w:val="0"/>
          <w:numId w:val="0"/>
        </w:numPr>
        <w:snapToGrid w:val="0"/>
        <w:spacing w:line="520" w:lineRule="exact"/>
        <w:ind w:left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人员情况，包括当年变动情况及原因。</w:t>
      </w:r>
    </w:p>
    <w:p>
      <w:pPr>
        <w:shd w:val="clear" w:color="auto" w:fill="FFFFFF"/>
        <w:spacing w:beforeLines="0" w:afterLines="0" w:line="570" w:lineRule="exact"/>
        <w:ind w:firstLine="600" w:firstLineChars="200"/>
        <w:outlineLvl w:val="1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年本单位年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末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实有人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。本年度无异动情况。</w:t>
      </w:r>
    </w:p>
    <w:p>
      <w:pPr>
        <w:pStyle w:val="8"/>
        <w:spacing w:beforeLines="0" w:afterLines="0" w:line="570" w:lineRule="exact"/>
        <w:ind w:firstLine="640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二、一般公共预算支出情况</w:t>
      </w:r>
    </w:p>
    <w:p>
      <w:pPr>
        <w:pStyle w:val="8"/>
        <w:spacing w:beforeLines="0" w:afterLines="0" w:line="570" w:lineRule="exact"/>
        <w:ind w:firstLine="640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本年预算总支出148.05万元，其中基本支出95.93万元，项目支出52.12万元，结余0万元。</w:t>
      </w:r>
    </w:p>
    <w:p>
      <w:pPr>
        <w:pStyle w:val="8"/>
        <w:numPr>
          <w:ilvl w:val="0"/>
          <w:numId w:val="2"/>
        </w:numPr>
        <w:spacing w:beforeLines="0" w:afterLines="0" w:line="570" w:lineRule="exact"/>
        <w:ind w:firstLine="640"/>
        <w:outlineLvl w:val="1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基本支出情况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其中工资福利支出86.33万元：（1）基本工资29.48万元，（2）津贴补贴17.35万元，（3）绩效工资4.59万元，（4）奖金及其他工资福利支出13.75万元，（5）社会保障缴费21.14万元，其中：养老保险9.21万元，住房公积金6.91万元，医疗保险5.01万元。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一般商品与服务支出8.6万元：办公费1.2万元，印刷费1万元，电费0.2差旅费2.2万元，工会经费3万元，其他商品和服务支出0.6万元，劳务费0.2万元，委托业务费0.2万元；</w:t>
      </w:r>
    </w:p>
    <w:p>
      <w:pPr>
        <w:pStyle w:val="8"/>
        <w:spacing w:beforeLines="0" w:afterLines="0" w:line="570" w:lineRule="exact"/>
        <w:ind w:firstLine="640"/>
        <w:outlineLvl w:val="1"/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3、办公设备购置1万元。</w:t>
      </w:r>
    </w:p>
    <w:p>
      <w:pPr>
        <w:pStyle w:val="8"/>
        <w:spacing w:beforeLines="0" w:afterLines="0" w:line="570" w:lineRule="exact"/>
        <w:ind w:firstLine="640"/>
        <w:outlineLvl w:val="1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（二）项目支出情况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商品和服务支出35.31万元：福利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费2.2万元，印刷费2.35万元，培训费1.5万元，邮电费0.7万元，差旅费0.39万元，劳务费1.1万元，委托业务费25.01万元，公务接待费0.81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万元，其它交通费0.25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其他商品与服务支出 1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其他社会保障缴费0.8万元。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对个人和家庭的补助奖励金16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万元。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2024年度“三公”经费财政拨款支出预算数为0.81万元，    其中：因公出国（境）费支出预算为 0万元；公务用车购置费公0万元；公务用车运行维护费支出预算为0万元；公务接待费支出预算为0.81万元。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政府性基金预算支出情况。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我单位无政府性基金预算支出情况</w:t>
      </w:r>
    </w:p>
    <w:p>
      <w:pPr>
        <w:pStyle w:val="8"/>
        <w:spacing w:beforeLines="0" w:afterLines="0" w:line="570" w:lineRule="exact"/>
        <w:ind w:firstLine="640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四、国有资本经营预算支出情况。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我单位无国有资本经营预算支出情况</w:t>
      </w:r>
    </w:p>
    <w:p>
      <w:pPr>
        <w:pStyle w:val="8"/>
        <w:numPr>
          <w:ilvl w:val="0"/>
          <w:numId w:val="4"/>
        </w:numPr>
        <w:spacing w:beforeLines="0" w:afterLines="0" w:line="570" w:lineRule="exact"/>
        <w:ind w:firstLine="640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社会保险基金预算支出情况。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00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我单位无社会保险基金预算支出情况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六、部门整体支出绩效情况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通过绩效评价，深入了解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双牌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县文联整体部门支出资金的投入、分配、使用状况，资金管理制度与措施的制定及执行情况，以及资金使用效果和项目目标的实现程度。这有助于总结经验、发现问题并及时改进，进一步强化文联整体部门支出资金管理，推动全县文艺事业繁荣发展，丰富人民群众精神文化生活，提升群众文化获得感与幸福感，实现资金使用效益最大化，提高政府文化管理效能和财政资金使用效益，保障财政资金安全。</w:t>
      </w:r>
    </w:p>
    <w:p>
      <w:pPr>
        <w:spacing w:line="600" w:lineRule="exact"/>
        <w:ind w:firstLine="300" w:firstLineChars="1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根据《部门整体支出绩效评价指标》评分，得分99分（详见附件2：部门整体支出绩效自评表）。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主要绩效如下：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从经济性情况分析看，预算资金覆盖各个需求方面，“三公”经费预算没有超过本年度预算安排。2024年预算资金能基本保证人员经费支出和机构全年工作运转。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从效率性情况分析看，在各项工作费用支付中，尤其是干部职工的医疗保险、工伤保险、福利费、工会经费等人员经费支出能及时按进度保质保量完成。预算公用经费及办公经费基本拨付到位，预算完成率和预算控制率较好。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从有效性情况分析看，开展了多次文艺活动，受益民众较多，丰富了群众的精神文化生活，提升了他们的文化品味和生活幸福感。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0" w:lineRule="exact"/>
        <w:ind w:firstLine="640"/>
        <w:jc w:val="left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从可持续性分析看，我单位按照省市县工作部署，服务于文艺工作团体和文艺工作者，进一步提升了文艺作品的创作质量和水平。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</w:t>
      </w:r>
    </w:p>
    <w:p>
      <w:pPr>
        <w:pStyle w:val="8"/>
        <w:spacing w:beforeLines="0" w:afterLines="0" w:line="570" w:lineRule="exact"/>
        <w:ind w:firstLine="640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七、存在的问题及原因分析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根据绩效评价工作要求，我们成立了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绩效评价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工作领导小组，对自评实施工作方案进行了认真的研究和布置，使自评工作得以顺利开展，取得了较好的效果。但仍存在问题：1.定性指标评价方面，因评价内容宏观，部分参与评价人员难以客观评价单位绩效。2.年度预算不够精细，部分临时性文艺活动经费未纳入年初预算，导致部分费用支出需临时调整预算。</w:t>
      </w:r>
    </w:p>
    <w:p>
      <w:pPr>
        <w:numPr>
          <w:ilvl w:val="0"/>
          <w:numId w:val="5"/>
        </w:numPr>
        <w:spacing w:beforeLines="0" w:afterLines="0" w:line="570" w:lineRule="exact"/>
        <w:ind w:firstLine="642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下一步改进措施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改进措施：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针对定性指标评价，设置具体明细项目开展单位互评，增强评价客观性与参考价值。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2.加强预算编制的科学性与前瞻性，充分考虑各类文艺活动可能性，精细编制预算，减少预算调整情况。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九、部门整体支出绩效自评结果拟应用和公开情况</w:t>
      </w:r>
    </w:p>
    <w:p>
      <w:pPr>
        <w:pStyle w:val="5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根据部门整体支出绩效评价指标体系，我单位2024年度评价得分为99分。</w:t>
      </w:r>
    </w:p>
    <w:p>
      <w:pPr>
        <w:spacing w:line="600" w:lineRule="exact"/>
        <w:ind w:firstLine="60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其他需要说明的情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况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无</w:t>
      </w: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78.04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90.67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95.93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3.89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27.85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节约开支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李艳华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2025.6.4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7723221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蒋卫文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212"/>
        <w:gridCol w:w="1164"/>
        <w:gridCol w:w="1155"/>
        <w:gridCol w:w="585"/>
        <w:gridCol w:w="960"/>
        <w:gridCol w:w="1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63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双牌县文学艺术界联合会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年初预算数</w:t>
            </w: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全年预算数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全年执行数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执行率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30"/>
              </w:tabs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118.52</w:t>
            </w:r>
          </w:p>
        </w:tc>
        <w:tc>
          <w:tcPr>
            <w:tcW w:w="1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148.05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1480.5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148.05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52.12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1：开展多次文艺采风，激发文艺工作者创作热情，创作更多的文艺作品；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2：积极开展文艺培训，提升文艺工作者的创作水平；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</w:rPr>
              <w:t>3：加强对文艺作品的交流和推广，推出一批文艺精品。</w:t>
            </w:r>
          </w:p>
        </w:tc>
        <w:tc>
          <w:tcPr>
            <w:tcW w:w="4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全面完成。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完成支出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118.52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148.05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资金使用合格率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总金额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118.52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148.05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开展文艺活动受益群众人次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≥5000人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≥5000人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提升文艺创作质量水平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提升文艺作品创作质量水平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提升文艺作品创作质量水平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公众或服务对象满意度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加强活动的开展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651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李艳华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2025.6.4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7723221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蒋卫文</w:t>
      </w:r>
    </w:p>
    <w:p>
      <w:pPr>
        <w:widowControl/>
        <w:spacing w:line="240" w:lineRule="auto"/>
        <w:jc w:val="left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文化艺术活动经费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双牌县文学艺术界联合会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推动全县文艺工作发展，提升文艺作品创作水平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开展文艺活动和文艺业务知识交流、培训等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已完成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活动经费有限，开展的活动规模较小、次数少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李艳华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2025.6.4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7723221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蒋卫文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101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065"/>
        <w:gridCol w:w="1348"/>
        <w:gridCol w:w="1530"/>
        <w:gridCol w:w="950"/>
        <w:gridCol w:w="1140"/>
        <w:gridCol w:w="832"/>
        <w:gridCol w:w="87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9163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文化艺术活动经费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双牌县文学艺术界联合会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3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双牌县文学艺术界联合会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项目资金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年度资金总额　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其中：当年财政拨款　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上年结转资金　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提升文艺作品创作质量水平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成本指标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"/>
              </w:rPr>
              <w:t>）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经济成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支出控制在预算内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exac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社会成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丰富群众的精神生活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生态环境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成本指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生态环保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0分）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完成支出总额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资金使用合格率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完成支出及时率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≤1年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效益指标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（20分）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经济效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益指标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促进经济发展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生态效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益指标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生态环保　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社会效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益指标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受益群众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≥5000人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满意度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（10分）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服务对象满意度比率　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≥9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96%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706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李艳华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2025.6.4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7723221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蒋卫文</w:t>
      </w:r>
    </w:p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FTPD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H1KiRcOn+j89cv524/z989kWe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YVM8M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60600"/>
    <w:multiLevelType w:val="singleLevel"/>
    <w:tmpl w:val="AB0606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27CD69"/>
    <w:multiLevelType w:val="singleLevel"/>
    <w:tmpl w:val="B227CD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585599"/>
    <w:multiLevelType w:val="singleLevel"/>
    <w:tmpl w:val="C35855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89C53A5"/>
    <w:multiLevelType w:val="singleLevel"/>
    <w:tmpl w:val="D89C53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C9DFB36"/>
    <w:multiLevelType w:val="singleLevel"/>
    <w:tmpl w:val="3C9DFB36"/>
    <w:lvl w:ilvl="0" w:tentative="0">
      <w:start w:val="8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5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319D"/>
    <w:rsid w:val="02AD361F"/>
    <w:rsid w:val="042211BB"/>
    <w:rsid w:val="0E0F29AC"/>
    <w:rsid w:val="10B72F40"/>
    <w:rsid w:val="10FD40A8"/>
    <w:rsid w:val="12163497"/>
    <w:rsid w:val="13053004"/>
    <w:rsid w:val="133631BD"/>
    <w:rsid w:val="1363292F"/>
    <w:rsid w:val="188E3E9A"/>
    <w:rsid w:val="193B613C"/>
    <w:rsid w:val="1A5D112F"/>
    <w:rsid w:val="1B485A0E"/>
    <w:rsid w:val="1BF81957"/>
    <w:rsid w:val="21BB2D65"/>
    <w:rsid w:val="21BE7840"/>
    <w:rsid w:val="229575D0"/>
    <w:rsid w:val="23DE6D1A"/>
    <w:rsid w:val="2446076E"/>
    <w:rsid w:val="26D85E7C"/>
    <w:rsid w:val="272A72E4"/>
    <w:rsid w:val="28071805"/>
    <w:rsid w:val="2AAF11D9"/>
    <w:rsid w:val="2BAA0720"/>
    <w:rsid w:val="2FFC093C"/>
    <w:rsid w:val="306D2F72"/>
    <w:rsid w:val="32A5727A"/>
    <w:rsid w:val="34711DFD"/>
    <w:rsid w:val="348E63E8"/>
    <w:rsid w:val="3593295D"/>
    <w:rsid w:val="35AF5C6F"/>
    <w:rsid w:val="35BF10FC"/>
    <w:rsid w:val="37094512"/>
    <w:rsid w:val="37601190"/>
    <w:rsid w:val="3A8A40F7"/>
    <w:rsid w:val="3AF66189"/>
    <w:rsid w:val="3CBD6450"/>
    <w:rsid w:val="3D760499"/>
    <w:rsid w:val="3E4657B9"/>
    <w:rsid w:val="3E967BA9"/>
    <w:rsid w:val="404F5095"/>
    <w:rsid w:val="41AA6DC6"/>
    <w:rsid w:val="41AB7A29"/>
    <w:rsid w:val="41DF5EF5"/>
    <w:rsid w:val="43B341BD"/>
    <w:rsid w:val="456F1680"/>
    <w:rsid w:val="466C7301"/>
    <w:rsid w:val="48D94EB3"/>
    <w:rsid w:val="4A5461B1"/>
    <w:rsid w:val="4D2B5F4E"/>
    <w:rsid w:val="4FD06C0A"/>
    <w:rsid w:val="50674613"/>
    <w:rsid w:val="50D954C3"/>
    <w:rsid w:val="511B6F73"/>
    <w:rsid w:val="52481FEA"/>
    <w:rsid w:val="568C41E3"/>
    <w:rsid w:val="5B5B00B0"/>
    <w:rsid w:val="5BB93D18"/>
    <w:rsid w:val="5C08561B"/>
    <w:rsid w:val="5DAD29EB"/>
    <w:rsid w:val="5DC7319D"/>
    <w:rsid w:val="5EA66A16"/>
    <w:rsid w:val="62506761"/>
    <w:rsid w:val="637F33D0"/>
    <w:rsid w:val="63D335DC"/>
    <w:rsid w:val="664F6A60"/>
    <w:rsid w:val="66B50D79"/>
    <w:rsid w:val="66DE2AC5"/>
    <w:rsid w:val="68180AC9"/>
    <w:rsid w:val="687E6DC0"/>
    <w:rsid w:val="689A0C6D"/>
    <w:rsid w:val="69E91EAC"/>
    <w:rsid w:val="6A8E2138"/>
    <w:rsid w:val="6C3C753D"/>
    <w:rsid w:val="6F2514C9"/>
    <w:rsid w:val="6F9452A2"/>
    <w:rsid w:val="70F826F5"/>
    <w:rsid w:val="7226713C"/>
    <w:rsid w:val="74F22821"/>
    <w:rsid w:val="75F34612"/>
    <w:rsid w:val="77512E3F"/>
    <w:rsid w:val="78DC5F5E"/>
    <w:rsid w:val="7A6B18FD"/>
    <w:rsid w:val="7A747F2A"/>
    <w:rsid w:val="7C7302D4"/>
    <w:rsid w:val="7F45772D"/>
    <w:rsid w:val="7FCF6FF7"/>
    <w:rsid w:val="FBFF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styleId="8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9">
    <w:name w:val="样式1"/>
    <w:basedOn w:val="1"/>
    <w:qFormat/>
    <w:uiPriority w:val="0"/>
    <w:pPr>
      <w:widowControl/>
      <w:jc w:val="left"/>
    </w:pPr>
    <w:rPr>
      <w:rFonts w:ascii="仿宋" w:hAnsi="仿宋" w:eastAsia="仿宋" w:cs="仿宋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3058</Words>
  <Characters>3455</Characters>
  <Lines>0</Lines>
  <Paragraphs>0</Paragraphs>
  <TotalTime>0</TotalTime>
  <ScaleCrop>false</ScaleCrop>
  <LinksUpToDate>false</LinksUpToDate>
  <CharactersWithSpaces>3621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2025-06-03T09:47:00Z</dcterms:created>
  <dc:creator>冬日忘了雪絮</dc:creator>
  <cp:lastModifiedBy>kylin</cp:lastModifiedBy>
  <cp:lastPrinted>2025-06-16T17:05:00Z</cp:lastPrinted>
  <dcterms:modified xsi:type="dcterms:W3CDTF">2025-09-16T17:30:12Z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C306F3EC72EA4EB78C6D1845174D14AA_11</vt:lpwstr>
  </property>
  <property fmtid="{D5CDD505-2E9C-101B-9397-08002B2CF9AE}" pid="4" name="KSOTemplateDocerSaveRecord">
    <vt:lpwstr>eyJoZGlkIjoiMzRjMDYxMTdhMDhlZDkzMTAxMWJiMGI1ZWRmN2NiY2EiLCJ1c2VySWQiOiIzNjkzMTE3NzMifQ==</vt:lpwstr>
  </property>
</Properties>
</file>