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2024年度茶林镇人民政府整体支出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>双牌县茶林镇人民政府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2025年6月19日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pStyle w:val="6"/>
        <w:shd w:val="clear" w:color="auto" w:fill="FFFFFF"/>
        <w:spacing w:beforeAutospacing="0" w:afterAutospacing="0" w:line="560" w:lineRule="exact"/>
        <w:ind w:left="64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1、部门职责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（一）负责贯彻执行党的基本路线、方针政策和国家法律、法规，落实上级党委、政府的各项决议和决定。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（二）对本辖区内的重大问题进行决策，研究制定经济社会和文化发展规划。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（三）依照法律和政策，运用经济法律和行政等各种手段，对社会、经济、文化进行管理、监督和调控。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（四）负责本辖区内社会公益事业的建设，促进科技、文化、教育、环保等各项社会事业的协调发展。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（五）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维护社会秩序，保证社会公正，不断改善经济社会发展环境，为经济建设和人民生活创造良好的条件。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（六）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加强民主法制宣传教育，加强社会管理综合治理，完善农村治安防控体系，保障人民生命财产安全，确保社会稳定。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（七）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领导共青团和妇联等组织，搞好民族宗教和统一战线工作。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（八）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完成上级组织交办的其他事项。</w:t>
      </w:r>
    </w:p>
    <w:p>
      <w:pPr>
        <w:pStyle w:val="6"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2、机构设置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 xml:space="preserve">镇机关内设机构设置如下: </w:t>
      </w:r>
      <w:r>
        <w:rPr>
          <w:rFonts w:hint="eastAsia" w:ascii="仿宋_GB2312" w:hAnsi="仿宋_GB2312" w:eastAsia="仿宋_GB2312"/>
          <w:sz w:val="32"/>
        </w:rPr>
        <w:t>党政办公室、党建办公室、经济发展办公室、平安法治和应急管理办公室。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镇直属事业单位和综合行政执法机构设置如下：</w:t>
      </w:r>
      <w:r>
        <w:rPr>
          <w:rFonts w:hint="eastAsia" w:ascii="仿宋_GB2312" w:hAnsi="仿宋_GB2312" w:eastAsia="仿宋_GB2312"/>
          <w:sz w:val="32"/>
        </w:rPr>
        <w:t>便民服务中心、生态事务中心、退役军人服务站、综合行政执法大队。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单位实有在职人数44人，其中：行政编制14人，事业编制29人（其中1人在阳明山），工勤编制1人。离退休人员6人。单位公务车辆1辆，单位其他车辆1辆（消防用车）。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3、单位年度整体支出绩效目标，项目支出绩效目标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（1）部门年度整体支出绩效目标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认真贯彻执行党的基本路线、方针政策和上级组织的决议、指示、命令；对本镇的重大问题进行决策，研究制定全镇经济、社会和文化发展规划。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（2）项目支出绩效目标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保障镇政府的基本运转，不断提升茶林镇人民政府的服务水平。</w:t>
      </w:r>
    </w:p>
    <w:p>
      <w:pPr>
        <w:pStyle w:val="10"/>
        <w:spacing w:line="570" w:lineRule="exact"/>
        <w:ind w:firstLine="64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>
      <w:pPr>
        <w:pStyle w:val="10"/>
        <w:spacing w:line="570" w:lineRule="exact"/>
        <w:ind w:firstLine="640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2024年度茶林镇人民政府决算支出金额为687.04万元。</w:t>
      </w:r>
    </w:p>
    <w:p>
      <w:pPr>
        <w:pStyle w:val="10"/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（一）基本支出情况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基本支出：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536.16</w:t>
      </w:r>
      <w:r>
        <w:rPr>
          <w:rFonts w:ascii="Times New Roman" w:hAnsi="Times New Roman" w:eastAsia="仿宋_GB2312"/>
          <w:spacing w:val="-6"/>
          <w:kern w:val="2"/>
          <w:sz w:val="32"/>
        </w:rPr>
        <w:t>万元，占总支出的比重为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78.04</w:t>
      </w:r>
      <w:r>
        <w:rPr>
          <w:rFonts w:ascii="Times New Roman" w:hAnsi="Times New Roman" w:eastAsia="仿宋_GB2312"/>
          <w:spacing w:val="-6"/>
          <w:kern w:val="2"/>
          <w:sz w:val="32"/>
        </w:rPr>
        <w:t>%。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其中，</w:t>
      </w:r>
      <w:r>
        <w:rPr>
          <w:rFonts w:ascii="Times New Roman" w:hAnsi="Times New Roman" w:eastAsia="仿宋_GB2312"/>
          <w:spacing w:val="-6"/>
          <w:kern w:val="2"/>
          <w:sz w:val="32"/>
        </w:rPr>
        <w:t>工资福利支出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487.38万元</w:t>
      </w:r>
      <w:r>
        <w:rPr>
          <w:rFonts w:ascii="Times New Roman" w:hAnsi="Times New Roman" w:eastAsia="仿宋_GB2312"/>
          <w:spacing w:val="-6"/>
          <w:kern w:val="2"/>
          <w:sz w:val="32"/>
        </w:rPr>
        <w:t>，主要包括：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基本工资147.37万元，津贴补贴80.43万元，奖金88.28万元，绩效工资61.90万元，机关事业单位基本养老保险缴费47.80万元，职工基本医疗保险缴费25.90万元，住房公积金35.70万元。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商品和服务支出48.6万元，主要包括：办公费8.25万元，印刷费5.55万元，电费3.5万元，邮电费0.10万元，差旅费2万元，维修（护）费0.87万元，会议费1万元，培训费1.61万元，公务接待费11.89万元，劳务费3万元，工会经费1万元，福利费4万元，公务用车运行维护费2.94万元，其他交通费用1.39万元，其他商品和服务支出1.5万元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资本性支出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0.18万元，主要包括：办公设备购置0.18万元。</w:t>
      </w:r>
    </w:p>
    <w:p>
      <w:pPr>
        <w:pStyle w:val="10"/>
        <w:numPr>
          <w:ilvl w:val="0"/>
          <w:numId w:val="2"/>
        </w:numPr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项目支出情况</w:t>
      </w:r>
    </w:p>
    <w:p>
      <w:pPr>
        <w:spacing w:line="570" w:lineRule="exact"/>
        <w:ind w:left="640"/>
        <w:outlineLvl w:val="1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项目支出：150.88万元，占总支出的比重为21.96%。</w:t>
      </w:r>
    </w:p>
    <w:p>
      <w:pPr>
        <w:spacing w:line="570" w:lineRule="exact"/>
        <w:ind w:firstLine="616" w:firstLineChars="200"/>
        <w:outlineLvl w:val="1"/>
        <w:rPr>
          <w:rFonts w:hint="default" w:eastAsia="仿宋_GB2312"/>
          <w:sz w:val="32"/>
        </w:rPr>
      </w:pPr>
      <w:r>
        <w:rPr>
          <w:rFonts w:eastAsia="仿宋_GB2312"/>
          <w:spacing w:val="-6"/>
          <w:sz w:val="32"/>
        </w:rPr>
        <w:t>主要包括：人大代表联络站建设资金、乡镇纪委工作经费、乡镇纪委办案专项工作经费、乡镇各部门工作经费、单位运转经费、乡镇消防建设工作经费、解决茶林镇创建“扫黄打非”基层示范标兵工作经费、乡镇党建工作经费、三支一扶经费、乡镇消防建设工作经费、关于下达2020年“三馆一站”免费开放省级配套资金的通知、关于提前下达2020年中央补助地方美术馆、公共图书馆、文化馆（站）免费开放专项资金的通知、村干部基本养老保险、茶林镇高速出入口疫情防控点工作经费、村级运转经费、村级服务群众专项经费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</w:p>
    <w:p>
      <w:pPr>
        <w:spacing w:line="570" w:lineRule="exact"/>
        <w:ind w:firstLine="640" w:firstLineChars="200"/>
        <w:outlineLvl w:val="1"/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2024年度茶林镇人民政府决算支出金额为126.46万元。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eastAsia="仿宋_GB2312"/>
          <w:spacing w:val="-6"/>
          <w:sz w:val="32"/>
        </w:rPr>
        <w:t>其中，商品和服务支出为122.44万元，主要包括：差旅费6.68万元，维修（护）费3.53万元，劳务费0.19万元，工会经4万元，福利费0.85万元，税金及附加费用97万元，其他商</w:t>
      </w:r>
      <w:r>
        <w:rPr>
          <w:rFonts w:ascii="Times New Roman" w:hAnsi="Times New Roman" w:eastAsia="仿宋_GB2312"/>
          <w:spacing w:val="-6"/>
          <w:kern w:val="2"/>
          <w:sz w:val="32"/>
        </w:rPr>
        <w:t>品和服务支出10.19万元。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资本性支出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4.02万元，主要包括：土地补偿3.82万元，，地上附着物和青苗补偿0.2万元。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  <w:r>
        <w:rPr>
          <w:rFonts w:hint="eastAsia" w:ascii="Times New Roman" w:hAnsi="Times New Roman" w:eastAsia="仿宋_GB2312"/>
          <w:color w:val="000000"/>
          <w:sz w:val="32"/>
        </w:rPr>
        <w:t>若无，请注明“我单位无国有资本经营预算支出情况”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  <w:r>
        <w:rPr>
          <w:rFonts w:hint="eastAsia" w:ascii="Times New Roman" w:hAnsi="Times New Roman" w:eastAsia="仿宋_GB2312"/>
          <w:color w:val="000000"/>
          <w:sz w:val="32"/>
        </w:rPr>
        <w:t>若无，请注明“我单位无社会保险基金预算支出情况”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pStyle w:val="11"/>
        <w:spacing w:line="600" w:lineRule="exact"/>
        <w:ind w:firstLine="640"/>
        <w:rPr>
          <w:rFonts w:ascii="Times New Roman" w:hAnsi="Times New Roman" w:eastAsia="仿宋_GB2312" w:cstheme="minorBidi"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</w:rPr>
        <w:t>根据预算绩效管理要求，我单位组织对2024年度部门整体支出和专项资金实施了全覆盖性的绩效评价，撰写了整体支出绩效评价报告和项目支出绩效评价报告。绩效自评结果显示，上述项目支出绩效情况较为理想，均达到了项目申请时设定的各项绩效目标。</w:t>
      </w:r>
    </w:p>
    <w:p>
      <w:pPr>
        <w:pStyle w:val="11"/>
        <w:spacing w:line="600" w:lineRule="exact"/>
        <w:ind w:firstLine="640"/>
        <w:rPr>
          <w:rFonts w:ascii="Times New Roman" w:hAnsi="Times New Roman" w:eastAsia="仿宋_GB2312" w:cstheme="minorBidi"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</w:rPr>
        <w:t>从经济性情况分析看，预算资金覆盖各个需求方面，“三公”经费预算没有超过上年预算安排。预算资金能保障单位正常运转需要，分配办法科学，考虑的因素必要合理，分配的结果合理，能基本保证人员经费支出和机构全年工作运转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预算编制通过根据下一年度内单位可预见的工作任务，确定了单位年度预算目标，细化了预算指标，但是在实际支付过程中，由于实际情况有变动无法准确预估，导致个别情况未能严格按照预算指标执行。人员严重缺编与工作任务繁重矛盾日益突出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八、下一步改进措施</w:t>
      </w:r>
    </w:p>
    <w:p>
      <w:pPr>
        <w:spacing w:line="57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57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2、加强财务管理，严格财务审核。加强单位财务管理，健全单位财务管理制度体系，规范单位财务行为。</w:t>
      </w:r>
    </w:p>
    <w:p>
      <w:pPr>
        <w:spacing w:line="57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560" w:lineRule="exact"/>
        <w:ind w:firstLine="645"/>
        <w:jc w:val="left"/>
        <w:outlineLvl w:val="0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>
      <w:pPr>
        <w:pStyle w:val="2"/>
        <w:ind w:left="420" w:firstLine="640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严格按照政府信息公开的有关要求，强化评价结果应用，逐步公开财政支出项目预算及绩效评价结果，接受社会公众对财政资金使用效益的监督。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</w:rPr>
      </w:pPr>
      <w:r>
        <w:rPr>
          <w:rFonts w:eastAsia="黑体"/>
          <w:sz w:val="32"/>
        </w:rPr>
        <w:t>其他需要说明的情况</w:t>
      </w:r>
    </w:p>
    <w:p>
      <w:pPr>
        <w:spacing w:line="570" w:lineRule="exact"/>
        <w:ind w:firstLine="480" w:firstLineChars="150"/>
        <w:jc w:val="left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 xml:space="preserve"> 无。</w:t>
      </w:r>
    </w:p>
    <w:p>
      <w:pPr>
        <w:spacing w:line="440" w:lineRule="exact"/>
        <w:rPr>
          <w:rFonts w:hint="default" w:eastAsia="黑体"/>
        </w:rPr>
      </w:pPr>
    </w:p>
    <w:p>
      <w:pPr>
        <w:pStyle w:val="2"/>
        <w:ind w:left="420"/>
        <w:rPr>
          <w:rFonts w:hint="default" w:eastAsia="黑体"/>
        </w:rPr>
      </w:pPr>
    </w:p>
    <w:p>
      <w:pPr>
        <w:pStyle w:val="2"/>
        <w:ind w:left="420"/>
        <w:rPr>
          <w:rFonts w:hint="default" w:eastAsia="黑体"/>
        </w:rPr>
      </w:pPr>
    </w:p>
    <w:p>
      <w:pPr>
        <w:pStyle w:val="2"/>
        <w:ind w:left="420"/>
        <w:rPr>
          <w:rFonts w:hint="default" w:eastAsia="黑体"/>
        </w:rPr>
      </w:pPr>
    </w:p>
    <w:p>
      <w:pPr>
        <w:pStyle w:val="2"/>
        <w:ind w:leftChars="0" w:firstLine="0" w:firstLineChars="0"/>
        <w:rPr>
          <w:rFonts w:hint="default" w:eastAsia="黑体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2024年度部门整体支出绩效评价基础数据表</w:t>
      </w:r>
    </w:p>
    <w:tbl>
      <w:tblPr>
        <w:tblStyle w:val="7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2024年实际在职人数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83.02%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2024年预算数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2024年决算数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596.2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532.62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559.12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107.14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48.8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62.57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18.69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14.85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11.95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688.83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802.39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1228.15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301.86</w:t>
            </w:r>
            <w:r>
              <w:rPr>
                <w:rFonts w:asciiTheme="minorEastAsia" w:hAnsiTheme="minorEastAsia" w:eastAsiaTheme="minorEastAsia" w:cstheme="minorEastAsia"/>
                <w:color w:val="0000FF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346.6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559.12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559.12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（2024年完工项目）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压缩一般性支出。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2"/>
          <w:szCs w:val="22"/>
        </w:rPr>
      </w:pPr>
      <w:r>
        <w:rPr>
          <w:rFonts w:asciiTheme="minorEastAsia" w:hAnsiTheme="minorEastAsia" w:eastAsiaTheme="minorEastAsia" w:cstheme="minorEastAsia"/>
          <w:sz w:val="22"/>
          <w:szCs w:val="22"/>
        </w:rPr>
        <w:t>填表人：厉振华 填报日期：2025.06.19联系电话：1814</w:t>
      </w:r>
      <w:bookmarkStart w:id="0" w:name="_GoBack"/>
      <w:bookmarkEnd w:id="0"/>
      <w:r>
        <w:rPr>
          <w:rFonts w:asciiTheme="minorEastAsia" w:hAnsiTheme="minorEastAsia" w:eastAsiaTheme="minorEastAsia" w:cstheme="minorEastAsia"/>
          <w:sz w:val="22"/>
          <w:szCs w:val="22"/>
        </w:rPr>
        <w:t>30394 单位负责人签字：</w:t>
      </w: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2024年度部门整体支出绩效自评表</w:t>
      </w:r>
    </w:p>
    <w:tbl>
      <w:tblPr>
        <w:tblStyle w:val="7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双牌县茶林镇人民政府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1335.01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1984.72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1787.27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90.05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一般公共预算：687.04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其中：基本支出：559.12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政府性基金拨款：126.46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项目支出：1228.15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其他资金：973.77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认真贯彻执行党的基本路线、方针政策和上级组织的决议、指示、命令；对本镇的重大问题进行决策，研究制定全镇经济、社会和文化发展规划。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认真贯彻执行党的基本路线、方针政策和上级组织的决议、指示、命令；对本镇的重大问题进行决策，研究制定全镇经济、社会和文化发展规划。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(30分)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数量指标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单位考核人数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44人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44人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质量指标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时效指标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2024年12月31日之前完成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2024年12月31日之前已完成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（20分）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促进本乡经济发展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效果显著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效果显著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经济增长、物价稳定、公平分配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有效保障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有效保障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生态效益指标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改善环境、保护环境意识提高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有效保障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有效保障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可持续影响指标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可持续影响情况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效果明显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效果明显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成本指标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（30分）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经济成本指标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基本支出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≤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559.12万元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559.12万元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≤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1228.15万元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1228.15万元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社会成本指标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社会成本节约率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生态环境成本指标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生态环境成本节约率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（10分）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群众满意度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2"/>
          <w:szCs w:val="22"/>
        </w:rPr>
      </w:pPr>
      <w:r>
        <w:rPr>
          <w:rFonts w:asciiTheme="minorEastAsia" w:hAnsiTheme="minorEastAsia" w:eastAsiaTheme="minorEastAsia" w:cstheme="minorEastAsia"/>
          <w:sz w:val="22"/>
          <w:szCs w:val="22"/>
        </w:rPr>
        <w:t>填表人：厉振华 填报日期：2025.06.19 联系电话：18394单位负责人签字：</w:t>
      </w:r>
    </w:p>
    <w:p>
      <w:pPr>
        <w:widowControl/>
        <w:jc w:val="left"/>
        <w:rPr>
          <w:rFonts w:hint="default" w:eastAsiaTheme="minorEastAsia"/>
        </w:rPr>
      </w:pPr>
      <w:r>
        <w:rPr>
          <w:rFonts w:hint="default" w:eastAsiaTheme="minorEastAsia"/>
        </w:rPr>
        <w:br w:type="page"/>
      </w:r>
    </w:p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1228.15万元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双牌县茶林镇人民政府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保证镇政府的基本运转，不断提升政府的服务水平。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年初预算数802.4万元，全年执行数1228.15万元，各项目均按时保质保量完成，项目资金专款专用。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项目管理机制不健全。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无。</w:t>
            </w: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2"/>
          <w:szCs w:val="22"/>
        </w:rPr>
        <w:t>填表人：厉振华填报日期：2025.06.19联系电话：181464单位负责人签字：</w:t>
      </w:r>
      <w:r>
        <w:rPr>
          <w:rFonts w:hint="default" w:asciiTheme="minorEastAsia" w:hAnsiTheme="minorEastAsia" w:eastAsiaTheme="minorEastAsia" w:cstheme="minorEastAsia"/>
          <w:sz w:val="24"/>
        </w:rPr>
        <w:br w:type="page"/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2024年度项目支出绩效自评表</w:t>
      </w:r>
    </w:p>
    <w:tbl>
      <w:tblPr>
        <w:tblStyle w:val="7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双牌县茶林镇人民政府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双牌县茶林镇人民政府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802.4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1409.5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1228.15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145.3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293.6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277.3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657.1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1115.9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951.21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保障政府的基本运转，不断提升茶林镇人民政府服务水平。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保障政府的基本运转，不断提升茶林镇人民政府服务水平。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成本指标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支出控制在预算内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802.4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1228.15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社会成本指标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社会成本节约率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生态环境成本指标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改善环境，保护环境意识提高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产出指标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单位考核人数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≥43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44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项目验收合格率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效益指标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促进本乡经济发展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保护生态发展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经济增长、物价稳定、公平分配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满意度指标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2"/>
          <w:szCs w:val="22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eastAsia="仿宋_GB231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2"/>
          <w:szCs w:val="22"/>
        </w:rPr>
        <w:t>填表人：厉振华 填报日期：2025.06.19 联系电话：1814694  单位负责人签字：</w:t>
      </w:r>
    </w:p>
    <w:p>
      <w:pPr>
        <w:rPr>
          <w:rFonts w:hint="default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- 9 -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- 10 -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3E420"/>
    <w:multiLevelType w:val="singleLevel"/>
    <w:tmpl w:val="1F43E4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AyMGQxMWRlNGIzN2U3OTIwZTcyOWUxZTM3NjFmOGYifQ=="/>
  </w:docVars>
  <w:rsids>
    <w:rsidRoot w:val="00172A27"/>
    <w:rsid w:val="00025123"/>
    <w:rsid w:val="00034D1B"/>
    <w:rsid w:val="00035792"/>
    <w:rsid w:val="00046911"/>
    <w:rsid w:val="0015335F"/>
    <w:rsid w:val="00172A27"/>
    <w:rsid w:val="001A72AE"/>
    <w:rsid w:val="002C7770"/>
    <w:rsid w:val="00417428"/>
    <w:rsid w:val="00440AD5"/>
    <w:rsid w:val="00516447"/>
    <w:rsid w:val="00527D84"/>
    <w:rsid w:val="00621BEE"/>
    <w:rsid w:val="006A35F1"/>
    <w:rsid w:val="007853E2"/>
    <w:rsid w:val="007C2F93"/>
    <w:rsid w:val="00830337"/>
    <w:rsid w:val="00847393"/>
    <w:rsid w:val="008560FA"/>
    <w:rsid w:val="00862936"/>
    <w:rsid w:val="00867A6B"/>
    <w:rsid w:val="008C30C6"/>
    <w:rsid w:val="008E310E"/>
    <w:rsid w:val="008F751C"/>
    <w:rsid w:val="009215E7"/>
    <w:rsid w:val="00943B03"/>
    <w:rsid w:val="00991C86"/>
    <w:rsid w:val="0099497B"/>
    <w:rsid w:val="00AD4257"/>
    <w:rsid w:val="00B92DC5"/>
    <w:rsid w:val="00C93D7B"/>
    <w:rsid w:val="00CA5611"/>
    <w:rsid w:val="00D133BF"/>
    <w:rsid w:val="00D9466E"/>
    <w:rsid w:val="00DB52EC"/>
    <w:rsid w:val="00DD283E"/>
    <w:rsid w:val="00FB2E2F"/>
    <w:rsid w:val="00FE545D"/>
    <w:rsid w:val="01AC4AB6"/>
    <w:rsid w:val="01B464A4"/>
    <w:rsid w:val="022E2032"/>
    <w:rsid w:val="030D40BE"/>
    <w:rsid w:val="032D7C50"/>
    <w:rsid w:val="05C70E9C"/>
    <w:rsid w:val="09A53E58"/>
    <w:rsid w:val="0B964496"/>
    <w:rsid w:val="0C253F71"/>
    <w:rsid w:val="0CCE5073"/>
    <w:rsid w:val="0CFF716D"/>
    <w:rsid w:val="0DAA40DD"/>
    <w:rsid w:val="0E2F32D0"/>
    <w:rsid w:val="0E7F1BB7"/>
    <w:rsid w:val="0EEB7910"/>
    <w:rsid w:val="101F3C57"/>
    <w:rsid w:val="105E064F"/>
    <w:rsid w:val="10D70330"/>
    <w:rsid w:val="11537872"/>
    <w:rsid w:val="1548367B"/>
    <w:rsid w:val="154B3473"/>
    <w:rsid w:val="15A563D8"/>
    <w:rsid w:val="15B02F86"/>
    <w:rsid w:val="19554C44"/>
    <w:rsid w:val="19946E8F"/>
    <w:rsid w:val="1BB06804"/>
    <w:rsid w:val="1BCE59A7"/>
    <w:rsid w:val="1C092E0C"/>
    <w:rsid w:val="1D116C0A"/>
    <w:rsid w:val="1D5E5630"/>
    <w:rsid w:val="1F9C1D8C"/>
    <w:rsid w:val="20BA3D5C"/>
    <w:rsid w:val="20FE29CD"/>
    <w:rsid w:val="213827F6"/>
    <w:rsid w:val="231B6D5D"/>
    <w:rsid w:val="236B2A0F"/>
    <w:rsid w:val="24756501"/>
    <w:rsid w:val="24BE0B85"/>
    <w:rsid w:val="24C12C12"/>
    <w:rsid w:val="24E84F20"/>
    <w:rsid w:val="25930275"/>
    <w:rsid w:val="2630783C"/>
    <w:rsid w:val="2663469C"/>
    <w:rsid w:val="28FE60D3"/>
    <w:rsid w:val="291853E7"/>
    <w:rsid w:val="294C493A"/>
    <w:rsid w:val="2AF82401"/>
    <w:rsid w:val="2BAA0794"/>
    <w:rsid w:val="2BD61589"/>
    <w:rsid w:val="2DD96B6F"/>
    <w:rsid w:val="2EAD5EEA"/>
    <w:rsid w:val="2EBA25D8"/>
    <w:rsid w:val="2EF37D5C"/>
    <w:rsid w:val="2F160640"/>
    <w:rsid w:val="303D3015"/>
    <w:rsid w:val="316519D2"/>
    <w:rsid w:val="31EF3498"/>
    <w:rsid w:val="32762A9F"/>
    <w:rsid w:val="32F20377"/>
    <w:rsid w:val="330B1B18"/>
    <w:rsid w:val="33457B5A"/>
    <w:rsid w:val="339B0587"/>
    <w:rsid w:val="33EA0D37"/>
    <w:rsid w:val="34D50167"/>
    <w:rsid w:val="37863A81"/>
    <w:rsid w:val="37C60704"/>
    <w:rsid w:val="386233D9"/>
    <w:rsid w:val="38685317"/>
    <w:rsid w:val="38EA5012"/>
    <w:rsid w:val="39C528E0"/>
    <w:rsid w:val="3A4A561C"/>
    <w:rsid w:val="3A790D03"/>
    <w:rsid w:val="3BF8519E"/>
    <w:rsid w:val="3DFB432B"/>
    <w:rsid w:val="41095CC0"/>
    <w:rsid w:val="410A0F82"/>
    <w:rsid w:val="41A60F90"/>
    <w:rsid w:val="437042B4"/>
    <w:rsid w:val="43D25C86"/>
    <w:rsid w:val="44970710"/>
    <w:rsid w:val="471C5C4A"/>
    <w:rsid w:val="47796CD1"/>
    <w:rsid w:val="47FF7E2A"/>
    <w:rsid w:val="48E96000"/>
    <w:rsid w:val="4A7E5437"/>
    <w:rsid w:val="4AB65B44"/>
    <w:rsid w:val="4AFA7765"/>
    <w:rsid w:val="4B230DFE"/>
    <w:rsid w:val="4B490F32"/>
    <w:rsid w:val="4B564457"/>
    <w:rsid w:val="4B82443D"/>
    <w:rsid w:val="4BDB7584"/>
    <w:rsid w:val="4C575977"/>
    <w:rsid w:val="4C9B7E6F"/>
    <w:rsid w:val="4DF30F3A"/>
    <w:rsid w:val="4E8B7C40"/>
    <w:rsid w:val="4EA03605"/>
    <w:rsid w:val="4F1637A4"/>
    <w:rsid w:val="4F204746"/>
    <w:rsid w:val="4FE85264"/>
    <w:rsid w:val="500F1BD2"/>
    <w:rsid w:val="510C754E"/>
    <w:rsid w:val="51C40746"/>
    <w:rsid w:val="51F021AD"/>
    <w:rsid w:val="521A36CE"/>
    <w:rsid w:val="53F76A11"/>
    <w:rsid w:val="543E6CC0"/>
    <w:rsid w:val="55412274"/>
    <w:rsid w:val="55C03679"/>
    <w:rsid w:val="573E1C0D"/>
    <w:rsid w:val="57C446E9"/>
    <w:rsid w:val="580E7831"/>
    <w:rsid w:val="58820FB8"/>
    <w:rsid w:val="58F9524E"/>
    <w:rsid w:val="5A364E7A"/>
    <w:rsid w:val="5ABA52A9"/>
    <w:rsid w:val="5B835E40"/>
    <w:rsid w:val="5C8E01AF"/>
    <w:rsid w:val="5F1F4E98"/>
    <w:rsid w:val="5FA36AB1"/>
    <w:rsid w:val="6057789C"/>
    <w:rsid w:val="62BE6D8B"/>
    <w:rsid w:val="64E742EF"/>
    <w:rsid w:val="65842EE1"/>
    <w:rsid w:val="66291CDA"/>
    <w:rsid w:val="67B33271"/>
    <w:rsid w:val="684B0AD7"/>
    <w:rsid w:val="684F3513"/>
    <w:rsid w:val="697358D9"/>
    <w:rsid w:val="6A3E38C7"/>
    <w:rsid w:val="6AF66D9D"/>
    <w:rsid w:val="6B767770"/>
    <w:rsid w:val="6C926CE7"/>
    <w:rsid w:val="6CF44C41"/>
    <w:rsid w:val="6E351362"/>
    <w:rsid w:val="74A215D5"/>
    <w:rsid w:val="74DC6033"/>
    <w:rsid w:val="75073918"/>
    <w:rsid w:val="76754F96"/>
    <w:rsid w:val="76906B27"/>
    <w:rsid w:val="771A18F7"/>
    <w:rsid w:val="77307FCF"/>
    <w:rsid w:val="784A00C8"/>
    <w:rsid w:val="79AE093E"/>
    <w:rsid w:val="7A5F3E53"/>
    <w:rsid w:val="7E8E7D1E"/>
    <w:rsid w:val="7E991F23"/>
    <w:rsid w:val="7EB5519D"/>
    <w:rsid w:val="7F813741"/>
    <w:rsid w:val="9FB3D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rFonts w:hint="default" w:ascii="Calibri" w:hAnsi="Calibri" w:eastAsia="宋体" w:cs="Times New Roman"/>
      <w:szCs w:val="21"/>
    </w:rPr>
  </w:style>
  <w:style w:type="character" w:customStyle="1" w:styleId="12">
    <w:name w:val="页眉 Char"/>
    <w:basedOn w:val="8"/>
    <w:link w:val="5"/>
    <w:qFormat/>
    <w:uiPriority w:val="0"/>
    <w:rPr>
      <w:rFonts w:eastAsia="Times New Roman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848</Words>
  <Characters>4839</Characters>
  <Lines>40</Lines>
  <Paragraphs>11</Paragraphs>
  <TotalTime>62</TotalTime>
  <ScaleCrop>false</ScaleCrop>
  <LinksUpToDate>false</LinksUpToDate>
  <CharactersWithSpaces>5676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2025-06-19T16:12:00Z</dcterms:created>
  <dc:creator>海之韵</dc:creator>
  <cp:lastModifiedBy>kylin</cp:lastModifiedBy>
  <cp:lastPrinted>2025-06-19T17:00:00Z</cp:lastPrinted>
  <dcterms:modified xsi:type="dcterms:W3CDTF">2025-09-16T17:06:36Z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D59F2E10D76C4F168F60D3D23D5A2E7E_13</vt:lpwstr>
  </property>
  <property fmtid="{D5CDD505-2E9C-101B-9397-08002B2CF9AE}" pid="4" name="KSOTemplateDocerSaveRecord">
    <vt:lpwstr>eyJoZGlkIjoiNmVlODI0YmNlNGMwZWRlNjg0ODlhMTBjNzg5MTZmM2MifQ==</vt:lpwstr>
  </property>
</Properties>
</file>