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>
      <w:pPr>
        <w:spacing w:before="389" w:line="429" w:lineRule="auto"/>
        <w:ind w:left="2711" w:hanging="2679"/>
        <w:jc w:val="both"/>
        <w:rPr>
          <w:rFonts w:hint="eastAsia" w:ascii="宋体" w:hAnsi="宋体" w:eastAsia="宋体" w:cs="宋体"/>
          <w:b/>
          <w:bCs/>
          <w:spacing w:val="24"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pacing w:val="24"/>
          <w:sz w:val="48"/>
          <w:szCs w:val="48"/>
        </w:rPr>
        <w:t>2024年度</w:t>
      </w:r>
      <w:r>
        <w:rPr>
          <w:rFonts w:hint="eastAsia" w:ascii="宋体" w:hAnsi="宋体" w:eastAsia="宋体" w:cs="宋体"/>
          <w:b/>
          <w:bCs/>
          <w:spacing w:val="24"/>
          <w:sz w:val="48"/>
          <w:szCs w:val="48"/>
          <w:lang w:val="en-US" w:eastAsia="zh-CN"/>
        </w:rPr>
        <w:t>双牌县公安局交通警察大队</w:t>
      </w:r>
    </w:p>
    <w:p>
      <w:pPr>
        <w:spacing w:before="389" w:line="429" w:lineRule="auto"/>
        <w:ind w:left="4911" w:leftChars="888" w:hanging="3046" w:hangingChars="575"/>
        <w:jc w:val="both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24"/>
          <w:sz w:val="48"/>
          <w:szCs w:val="48"/>
        </w:rPr>
        <w:t>整体支出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绩效自评报告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1965"/>
        <w:rPr>
          <w:rFonts w:hint="default" w:ascii="Arial" w:eastAsia="仿宋"/>
          <w:sz w:val="21"/>
          <w:lang w:val="en-US"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251460</wp:posOffset>
            </wp:positionV>
            <wp:extent cx="8445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4585" cy="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单位名称(盖章):</w:t>
      </w:r>
      <w:r>
        <w:rPr>
          <w:rFonts w:hint="eastAsia"/>
          <w:u w:val="single"/>
          <w:lang w:val="en-US" w:eastAsia="zh-CN"/>
        </w:rPr>
        <w:t>双牌县公安局交通警察大队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5" w:lineRule="auto"/>
        <w:ind w:left="323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sz w:val="28"/>
          <w:szCs w:val="28"/>
        </w:rPr>
        <w:t>年</w:t>
      </w:r>
      <w:r>
        <w:rPr>
          <w:rFonts w:ascii="楷体" w:hAnsi="楷体" w:eastAsia="楷体" w:cs="楷体"/>
          <w:spacing w:val="51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>月</w:t>
      </w:r>
      <w:r>
        <w:rPr>
          <w:rFonts w:ascii="楷体" w:hAnsi="楷体" w:eastAsia="楷体" w:cs="楷体"/>
          <w:spacing w:val="43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>日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4" w:line="224" w:lineRule="auto"/>
        <w:ind w:left="3305"/>
      </w:pPr>
      <w:r>
        <w:rPr>
          <w:spacing w:val="14"/>
        </w:rPr>
        <w:t>(此页为封面)</w:t>
      </w:r>
    </w:p>
    <w:p>
      <w:pPr>
        <w:spacing w:line="224" w:lineRule="auto"/>
        <w:sectPr>
          <w:footerReference r:id="rId5" w:type="default"/>
          <w:pgSz w:w="11760" w:h="16680"/>
          <w:pgMar w:top="1417" w:right="1693" w:bottom="1680" w:left="1544" w:header="0" w:footer="1317" w:gutter="0"/>
          <w:cols w:space="720" w:num="1"/>
        </w:sectPr>
      </w:pPr>
    </w:p>
    <w:p>
      <w:pPr>
        <w:spacing w:before="167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2"/>
          <w:sz w:val="31"/>
          <w:szCs w:val="31"/>
        </w:rPr>
        <w:t>一、部门(单位)基本情况</w:t>
      </w:r>
    </w:p>
    <w:p>
      <w:pPr>
        <w:widowControl w:val="0"/>
        <w:kinsoku/>
        <w:autoSpaceDE/>
        <w:autoSpaceDN/>
        <w:adjustRightInd/>
        <w:snapToGrid w:val="0"/>
        <w:spacing w:line="520" w:lineRule="exact"/>
        <w:ind w:firstLine="642" w:firstLineChars="200"/>
        <w:jc w:val="both"/>
        <w:textAlignment w:val="auto"/>
        <w:rPr>
          <w:rFonts w:hint="default" w:ascii="楷体_GB2312" w:hAnsi="仿宋" w:eastAsia="楷体_GB2312" w:cs="Times New Roman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/>
          <w:snapToGrid/>
          <w:kern w:val="2"/>
          <w:sz w:val="32"/>
          <w:szCs w:val="32"/>
          <w:lang w:eastAsia="zh-CN"/>
        </w:rPr>
        <w:t>(一)</w:t>
      </w:r>
      <w:r>
        <w:rPr>
          <w:rFonts w:hint="eastAsia" w:ascii="楷体_GB2312" w:hAnsi="仿宋" w:eastAsia="楷体_GB2312" w:cs="Times New Roman"/>
          <w:b/>
          <w:snapToGrid/>
          <w:kern w:val="2"/>
          <w:sz w:val="32"/>
          <w:szCs w:val="32"/>
          <w:lang w:val="en-US" w:eastAsia="zh-CN"/>
        </w:rPr>
        <w:t>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  <w:r>
        <w:rPr>
          <w:rFonts w:hint="eastAsia" w:ascii="仿宋_GB2312" w:eastAsia="仿宋_GB2312"/>
          <w:color w:val="000000"/>
          <w:sz w:val="32"/>
          <w:szCs w:val="32"/>
        </w:rPr>
        <w:t>我队是行政机关，主管全县道路交通安全和交通秩序以及机动车登记、驾驶员管理的执法部门。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（一）贯彻执行国家、省、市有关道路交通安全和交通秩序的法律、法规及政策，维护道路秩序。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（二）承担道路交通事故的安全宣传、隐患排查和交通事故处置、调解等工作，指导基层交通安全组织建设和开展交通安全宣传教育活动。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（三）查处酒驾、毒驾、超员、超载、超速、疲劳驾驶等严重交通违法行为。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（四）实施交通警（保）卫工作，参与处置突发事件，协同其他警种和部门维护公路治安秩序，打击车匪路霸及其他犯罪嫌疑人，依法查处乱设卡、乱罚款、乱收费行为。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（五）承办小型载客汽车、大中型载货汽车、摩托车等机动车安全检验，登记发证，驾驶员培训学习、考试、核实发证等工作。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（六）信息报送，典型宣传报道，各类资料建档管理及数据的登记、统计、分类上报工作。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（七）完成县委、县政府和上级公安机关交办的其它工作。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2．机构情况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双牌县公安局交通警察大队内设七个股所中队：办公室、安宣股、法制科技股、车管所、城关中队、茶林中队、打鼓坪中队。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3．人员情况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。截止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在编在岗民警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公安局借调民警、职工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，退休民警职工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 主要工作成效。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认真贯彻落实县委、县政府和上级业务部门的安排部署，全警出动，落实责任，严格管理，突出重点，强化措施，全力消除安全隐患，最大限度预防和减少了道路交通事故的发生，为人民群众出行创造了一个安全的道路交通环境。加大重点违法行为集中整治力度，持续保持严查严管态势，重点查处酒驾、醉驾、毒驾、涉牌涉证、三超一疲劳、货运车农用车违法载人、摩托车电动车闯红灯等严重交通违法行为。牵头开展了全县所有道路安全隐患排查工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加强道路交通问题风险隐患排查治理整改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spacing w:before="198" w:line="301" w:lineRule="auto"/>
        <w:ind w:right="99" w:firstLine="780"/>
        <w:rPr>
          <w:rFonts w:hint="eastAsia" w:ascii="楷体_GB2312" w:eastAsia="楷体_GB2312" w:cs="Times New Roman"/>
          <w:b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Times New Roman"/>
          <w:b/>
          <w:snapToGrid/>
          <w:color w:val="000000"/>
          <w:kern w:val="2"/>
          <w:sz w:val="32"/>
          <w:szCs w:val="32"/>
          <w:lang w:val="en-US" w:eastAsia="zh-CN" w:bidi="ar-SA"/>
        </w:rPr>
        <w:t>(二)部门(单位)整体支出规模</w:t>
      </w:r>
      <w:r>
        <w:rPr>
          <w:rFonts w:hint="eastAsia" w:ascii="楷体_GB2312" w:eastAsia="楷体_GB2312" w:cs="Times New Roman"/>
          <w:b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楷体_GB2312" w:eastAsia="楷体_GB2312" w:cs="Times New Roman"/>
          <w:b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本部门整体支出和项目支出实行绩效目标管理，纳入2024年部门整体支出绩效目标金额为1590.3万元，其中，基本支出626.89万元，项目支出963.41万元。</w:t>
      </w:r>
    </w:p>
    <w:p>
      <w:pPr>
        <w:spacing w:before="222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二、一般公共预算支出情况</w:t>
      </w: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default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( 一)基本支出情况。基本支出626.89万元，其中：工资福利支出509.02万元，商品和服务支出117.08万元，对个人和家庭的补助0.79万元。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eastAsia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项目支出情况。项目支出963.41万元，其中：工资福利支出62.83万元，商品和服务支出728.6万元，对个人和家庭的补助7.99万元，资本性支出163.99万元。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firstLine="627"/>
        <w:jc w:val="both"/>
        <w:rPr>
          <w:rFonts w:hint="default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“三公”经费支出</w:t>
      </w:r>
      <w:r>
        <w:rPr>
          <w:rFonts w:hint="eastAsia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情况。</w:t>
      </w:r>
      <w:r>
        <w:rPr>
          <w:rFonts w:hint="default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“三公”经费</w:t>
      </w:r>
      <w:r>
        <w:rPr>
          <w:rFonts w:hint="eastAsia" w:ascii="仿宋_GB2312" w:hAnsi="仿宋" w:eastAsia="仿宋_GB2312" w:cs="Arial"/>
          <w:snapToGrid w:val="0"/>
          <w:color w:val="auto"/>
          <w:kern w:val="0"/>
          <w:sz w:val="32"/>
          <w:szCs w:val="32"/>
          <w:lang w:val="en-US" w:eastAsia="zh-CN" w:bidi="ar-SA"/>
        </w:rPr>
        <w:t>总支出50.26万元，其中：公务用车运行维护费49.56万元，公务接待费0.7万元。</w:t>
      </w:r>
    </w:p>
    <w:p>
      <w:pPr>
        <w:pStyle w:val="2"/>
        <w:spacing w:before="192" w:line="277" w:lineRule="auto"/>
        <w:ind w:right="129" w:firstLine="654"/>
        <w:rPr>
          <w:rFonts w:hint="eastAsia" w:eastAsia="仿宋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三、政府性基金预算支出情况。</w:t>
      </w:r>
      <w:r>
        <w:rPr>
          <w:spacing w:val="2"/>
          <w:sz w:val="31"/>
          <w:szCs w:val="31"/>
        </w:rPr>
        <w:t>我单位无</w:t>
      </w:r>
      <w:r>
        <w:rPr>
          <w:spacing w:val="18"/>
          <w:sz w:val="31"/>
          <w:szCs w:val="31"/>
        </w:rPr>
        <w:t>政府性基金预算支出情况</w:t>
      </w:r>
      <w:r>
        <w:rPr>
          <w:rFonts w:hint="eastAsia"/>
          <w:spacing w:val="18"/>
          <w:sz w:val="31"/>
          <w:szCs w:val="31"/>
          <w:lang w:eastAsia="zh-CN"/>
        </w:rPr>
        <w:t>。</w:t>
      </w:r>
    </w:p>
    <w:p>
      <w:pPr>
        <w:pStyle w:val="2"/>
        <w:spacing w:before="221" w:line="275" w:lineRule="auto"/>
        <w:ind w:right="135" w:firstLine="654"/>
        <w:rPr>
          <w:rFonts w:hint="eastAsia" w:eastAsia="仿宋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四、国有资本经营预算支出情况。</w:t>
      </w:r>
      <w:r>
        <w:rPr>
          <w:spacing w:val="1"/>
          <w:sz w:val="31"/>
          <w:szCs w:val="31"/>
        </w:rPr>
        <w:t>我单位</w:t>
      </w:r>
      <w:r>
        <w:rPr>
          <w:spacing w:val="18"/>
          <w:sz w:val="31"/>
          <w:szCs w:val="31"/>
        </w:rPr>
        <w:t>无国有资本经营预算支出情况</w:t>
      </w:r>
      <w:r>
        <w:rPr>
          <w:rFonts w:hint="eastAsia"/>
          <w:spacing w:val="18"/>
          <w:sz w:val="31"/>
          <w:szCs w:val="31"/>
          <w:lang w:eastAsia="zh-CN"/>
        </w:rPr>
        <w:t>。</w:t>
      </w:r>
    </w:p>
    <w:p>
      <w:pPr>
        <w:pStyle w:val="2"/>
        <w:spacing w:before="214" w:line="278" w:lineRule="auto"/>
        <w:ind w:right="115" w:firstLine="654"/>
        <w:rPr>
          <w:rFonts w:hint="eastAsia" w:eastAsia="仿宋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五、社会保险基金预算支出情况。</w:t>
      </w:r>
      <w:r>
        <w:rPr>
          <w:spacing w:val="2"/>
          <w:sz w:val="31"/>
          <w:szCs w:val="31"/>
        </w:rPr>
        <w:t>我单位</w:t>
      </w:r>
      <w:r>
        <w:rPr>
          <w:spacing w:val="18"/>
          <w:sz w:val="31"/>
          <w:szCs w:val="31"/>
        </w:rPr>
        <w:t>无社会保险基金预算支出情况</w:t>
      </w:r>
      <w:r>
        <w:rPr>
          <w:rFonts w:hint="eastAsia"/>
          <w:spacing w:val="18"/>
          <w:sz w:val="31"/>
          <w:szCs w:val="31"/>
          <w:lang w:eastAsia="zh-CN"/>
        </w:rPr>
        <w:t>。</w:t>
      </w:r>
    </w:p>
    <w:p>
      <w:pPr>
        <w:spacing w:before="217"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六、部门整体支出绩效情况</w:t>
      </w:r>
    </w:p>
    <w:p>
      <w:pPr>
        <w:spacing w:line="600" w:lineRule="exact"/>
        <w:ind w:firstLine="624" w:firstLineChars="200"/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从经济性情况分析看，预算资金覆盖各个需求方面，“三公”经费预算没有超过上年预算安排。202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4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年预算资金能保障单位正常运转需要，分配办法科学，考虑的因素必要合理，分配的结果合理，能基本保证人员经费支出和机构全年工作运转。</w:t>
      </w:r>
    </w:p>
    <w:p>
      <w:pPr>
        <w:spacing w:line="560" w:lineRule="exact"/>
        <w:ind w:firstLine="624" w:firstLineChars="200"/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从效率性情况分析看，建立了适合本单位的实际情况的内部控制体系。分析风险隐患，完善风险评估机制，制定风险策略；有效运用不相容岗位相分离，内部授权控制审批、归口管理、预算控制、财产保护控制、会计控制、单位控制、信息内部公开等内部控制基本方法，实现内部控制体系全面有效实施，并对针对存在的问题，抓好整改落实，进一步健全制度，提高执行力，完善监督措施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从有效性情况分析看，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我单位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通过系统专项整治行动，加大重点违法行为集中整治力度，全年共查处交通违法41833起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共排查出道路交通风险隐患71处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开展大型宣讲活动20余场，开展对相关从业人员交通安全培训4次，曝光交通违法和公职人员交通违法4期，发放宣传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资料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3万余份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交通事故总数同比下降0.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%，亡人事故数和亡人数较去年下降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44.44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%。</w:t>
      </w:r>
    </w:p>
    <w:p>
      <w:pPr>
        <w:spacing w:line="600" w:lineRule="exact"/>
        <w:ind w:firstLine="628" w:firstLineChars="200"/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从可持续性分析看，以“压事故，保平安、保畅通”为主线，始终坚持“生命至上、人民至上”安全理念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确保全县交通领域安全生产形势持续稳定向好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。</w:t>
      </w:r>
    </w:p>
    <w:p>
      <w:pPr>
        <w:spacing w:before="18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七、存在的问题及原因分析</w:t>
      </w:r>
    </w:p>
    <w:p>
      <w:pPr>
        <w:pStyle w:val="2"/>
        <w:spacing w:before="186" w:line="340" w:lineRule="auto"/>
        <w:ind w:firstLine="650"/>
        <w:jc w:val="both"/>
        <w:rPr>
          <w:spacing w:val="17"/>
          <w:sz w:val="31"/>
          <w:szCs w:val="31"/>
        </w:rPr>
      </w:pPr>
      <w:r>
        <w:rPr>
          <w:spacing w:val="17"/>
          <w:sz w:val="31"/>
          <w:szCs w:val="31"/>
        </w:rPr>
        <w:t>1、预算编制工作不够细化，款类项科目摆放不够精准。</w:t>
      </w:r>
    </w:p>
    <w:p>
      <w:pPr>
        <w:pStyle w:val="2"/>
        <w:spacing w:before="186" w:line="340" w:lineRule="auto"/>
        <w:ind w:firstLine="650"/>
        <w:jc w:val="both"/>
        <w:rPr>
          <w:spacing w:val="17"/>
          <w:sz w:val="31"/>
          <w:szCs w:val="31"/>
        </w:rPr>
      </w:pPr>
      <w:r>
        <w:rPr>
          <w:spacing w:val="17"/>
          <w:sz w:val="31"/>
          <w:szCs w:val="31"/>
        </w:rPr>
        <w:t>2、预算执行率有待提高，由于预算项目未实施或未及时报账导致年末预算资金未支出。</w:t>
      </w:r>
    </w:p>
    <w:p>
      <w:pPr>
        <w:pStyle w:val="2"/>
        <w:spacing w:before="186" w:line="340" w:lineRule="auto"/>
        <w:ind w:firstLine="650"/>
        <w:jc w:val="both"/>
        <w:rPr>
          <w:spacing w:val="17"/>
          <w:sz w:val="31"/>
          <w:szCs w:val="31"/>
        </w:rPr>
      </w:pPr>
      <w:r>
        <w:rPr>
          <w:spacing w:val="17"/>
          <w:sz w:val="31"/>
          <w:szCs w:val="31"/>
        </w:rPr>
        <w:t>3、绩效目标设立不够细化、量化，资金使用效益有待进一步提高。</w:t>
      </w:r>
    </w:p>
    <w:p>
      <w:pPr>
        <w:numPr>
          <w:ilvl w:val="0"/>
          <w:numId w:val="2"/>
        </w:numPr>
        <w:spacing w:line="221" w:lineRule="auto"/>
        <w:ind w:left="654"/>
        <w:rPr>
          <w:rFonts w:ascii="黑体" w:hAnsi="黑体" w:eastAsia="黑体" w:cs="黑体"/>
          <w:b/>
          <w:bCs/>
          <w:spacing w:val="5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下一步改进措施</w:t>
      </w:r>
    </w:p>
    <w:p>
      <w:pPr>
        <w:pStyle w:val="2"/>
        <w:spacing w:before="186" w:line="340" w:lineRule="auto"/>
        <w:ind w:firstLine="650"/>
        <w:jc w:val="both"/>
        <w:rPr>
          <w:spacing w:val="17"/>
          <w:sz w:val="31"/>
          <w:szCs w:val="31"/>
        </w:rPr>
      </w:pPr>
      <w:r>
        <w:rPr>
          <w:rFonts w:hint="eastAsia"/>
          <w:spacing w:val="17"/>
          <w:sz w:val="31"/>
          <w:szCs w:val="31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pStyle w:val="2"/>
        <w:spacing w:before="186" w:line="340" w:lineRule="auto"/>
        <w:ind w:firstLine="650"/>
        <w:jc w:val="both"/>
        <w:rPr>
          <w:spacing w:val="17"/>
          <w:sz w:val="31"/>
          <w:szCs w:val="31"/>
        </w:rPr>
      </w:pPr>
      <w:r>
        <w:rPr>
          <w:rFonts w:hint="eastAsia"/>
          <w:spacing w:val="17"/>
          <w:sz w:val="31"/>
          <w:szCs w:val="31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spacing w:before="186" w:line="340" w:lineRule="auto"/>
        <w:ind w:firstLine="650"/>
        <w:jc w:val="both"/>
        <w:rPr>
          <w:spacing w:val="17"/>
          <w:sz w:val="31"/>
          <w:szCs w:val="31"/>
        </w:rPr>
      </w:pPr>
      <w:r>
        <w:rPr>
          <w:rFonts w:hint="eastAsia"/>
          <w:spacing w:val="17"/>
          <w:sz w:val="31"/>
          <w:szCs w:val="31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pStyle w:val="2"/>
        <w:spacing w:before="186" w:line="340" w:lineRule="auto"/>
        <w:ind w:firstLine="650"/>
        <w:jc w:val="both"/>
        <w:rPr>
          <w:rFonts w:ascii="黑体" w:hAnsi="黑体" w:eastAsia="黑体" w:cs="黑体"/>
          <w:b/>
          <w:bCs/>
          <w:spacing w:val="6"/>
          <w:sz w:val="31"/>
          <w:szCs w:val="31"/>
        </w:rPr>
      </w:pPr>
      <w:r>
        <w:rPr>
          <w:rFonts w:hint="eastAsia"/>
          <w:spacing w:val="17"/>
          <w:sz w:val="31"/>
          <w:szCs w:val="31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before="196" w:line="221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九、部门整体支出绩效自评结果拟应用和公开情况</w:t>
      </w:r>
    </w:p>
    <w:p>
      <w:pPr>
        <w:spacing w:line="600" w:lineRule="exact"/>
        <w:ind w:firstLine="688" w:firstLineChars="200"/>
        <w:rPr>
          <w:rFonts w:hint="eastAsia" w:ascii="仿宋" w:hAnsi="仿宋" w:eastAsia="仿宋" w:cs="仿宋"/>
          <w:snapToGrid w:val="0"/>
          <w:color w:val="000000" w:themeColor="text1"/>
          <w:spacing w:val="17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en-US" w:bidi="ar-SA"/>
        </w:rPr>
        <w:t>根据部门整体支出绩效评价指标体系，</w:t>
      </w:r>
      <w:r>
        <w:rPr>
          <w:rFonts w:hint="eastAsia" w:ascii="仿宋" w:hAnsi="仿宋" w:eastAsia="仿宋" w:cs="仿宋"/>
          <w:snapToGrid w:val="0"/>
          <w:color w:val="000000" w:themeColor="text1"/>
          <w:spacing w:val="17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我单位202</w:t>
      </w:r>
      <w:r>
        <w:rPr>
          <w:rFonts w:hint="eastAsia" w:ascii="仿宋" w:hAnsi="仿宋" w:eastAsia="仿宋" w:cs="仿宋"/>
          <w:snapToGrid w:val="0"/>
          <w:color w:val="000000" w:themeColor="text1"/>
          <w:spacing w:val="17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snapToGrid w:val="0"/>
          <w:color w:val="000000" w:themeColor="text1"/>
          <w:spacing w:val="17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年度评价得分为</w:t>
      </w:r>
      <w:r>
        <w:rPr>
          <w:rFonts w:hint="eastAsia" w:ascii="仿宋" w:hAnsi="仿宋" w:eastAsia="仿宋" w:cs="仿宋"/>
          <w:snapToGrid w:val="0"/>
          <w:color w:val="000000" w:themeColor="text1"/>
          <w:spacing w:val="17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99.27</w:t>
      </w:r>
      <w:r>
        <w:rPr>
          <w:rFonts w:hint="eastAsia" w:ascii="仿宋" w:hAnsi="仿宋" w:eastAsia="仿宋" w:cs="仿宋"/>
          <w:snapToGrid w:val="0"/>
          <w:color w:val="000000" w:themeColor="text1"/>
          <w:spacing w:val="17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分。</w:t>
      </w:r>
    </w:p>
    <w:p>
      <w:pPr>
        <w:spacing w:before="188" w:line="221" w:lineRule="auto"/>
        <w:ind w:left="654"/>
        <w:rPr>
          <w:rFonts w:ascii="黑体" w:hAnsi="黑体" w:eastAsia="黑体" w:cs="黑体"/>
          <w:b/>
          <w:bCs/>
          <w:spacing w:val="4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lang w:val="en-US" w:eastAsia="zh-CN"/>
        </w:rPr>
        <w:t>十、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其他需要说明的情况</w:t>
      </w:r>
    </w:p>
    <w:p>
      <w:pPr>
        <w:spacing w:line="600" w:lineRule="exact"/>
        <w:ind w:firstLine="688" w:firstLineChars="200"/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1"/>
          <w:szCs w:val="31"/>
          <w:lang w:val="en-US" w:eastAsia="zh-CN" w:bidi="ar-SA"/>
        </w:rPr>
        <w:t>无</w:t>
      </w:r>
    </w:p>
    <w:p>
      <w:pPr>
        <w:spacing w:line="221" w:lineRule="auto"/>
        <w:rPr>
          <w:rFonts w:ascii="黑体" w:hAnsi="黑体" w:eastAsia="黑体" w:cs="黑体"/>
          <w:sz w:val="31"/>
          <w:szCs w:val="31"/>
        </w:rPr>
      </w:pPr>
    </w:p>
    <w:p>
      <w:pPr>
        <w:pStyle w:val="2"/>
        <w:rPr>
          <w:rFonts w:hint="default" w:eastAsia="黑体"/>
          <w:lang w:val="en-US" w:eastAsia="zh-CN"/>
        </w:rPr>
        <w:sectPr>
          <w:footerReference r:id="rId6" w:type="default"/>
          <w:pgSz w:w="11780" w:h="16680"/>
          <w:pgMar w:top="1417" w:right="1564" w:bottom="1686" w:left="1580" w:header="0" w:footer="1284" w:gutter="0"/>
          <w:cols w:space="720" w:num="1"/>
        </w:sect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 xml:space="preserve">   </w:t>
      </w:r>
    </w:p>
    <w:tbl>
      <w:tblPr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848"/>
        <w:gridCol w:w="850"/>
        <w:gridCol w:w="1182"/>
        <w:gridCol w:w="664"/>
        <w:gridCol w:w="649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财政供养人员情况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编制数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2024年实际在职人数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经费控制情况(万元)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2023年决算数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三公经费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17.65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1、公务用车购置和维护经费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其中：公车购置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公车运行维护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2、出国经费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3、公务接待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754.99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1、业务工作经费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754.99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2、运行维护经费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100.29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117.08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其中：办公经费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水费、电费、差旅费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会议费、培训费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政府采购金额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3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（2024年完工项目）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实际规模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规模控制率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预算投资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厉行节约保障措施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完善各项规章制度，加强内部控制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</w:pPr>
    </w:p>
    <w:p>
      <w:pPr>
        <w:pStyle w:val="2"/>
      </w:pPr>
    </w:p>
    <w:tbl>
      <w:tblPr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34"/>
        <w:gridCol w:w="1836"/>
        <w:gridCol w:w="631"/>
        <w:gridCol w:w="961"/>
        <w:gridCol w:w="961"/>
        <w:gridCol w:w="626"/>
        <w:gridCol w:w="433"/>
        <w:gridCol w:w="433"/>
        <w:gridCol w:w="590"/>
        <w:gridCol w:w="921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预算部门名称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双牌县公安局交通警察大队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1606.22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1716.21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1590.30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92.66%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按收入性质分：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按支出性质分：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1716.21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其中:基本支出：</w:t>
            </w: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政府性基金拨款：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纳入专户管理的非税收入拨款：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极开展道路交通违法集中整治专项行动，启动查缉布控系统。交通保畅扎实完成，今年以来，交警圆满完成了各项重要时段、重要节假日及其他活动道路保畅工作。交通事故处理扎实规范，大队严格落实错案责任追究机制，确保事故处理“依法、公开、公正、公平”。交通安全宣传扎实展开，道路基础设施建设扎实完善，部门协作扎实紧密。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全面完成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评扣分标准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开展执勤执法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按照完成率打分，满分10，每降低10个百分点扣1分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工作质量完成度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完分成100%计10分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项目时效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按项目时效完成所有工作任务，满分为10分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非税收入完成度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按时完成非税收入计划，满分为10分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维护全县交通安全秩序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根据交通安全情况记分，满分为10分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服务对象满意度大于90%为满分，10分，每降低5个百分点扣1分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部门整体投入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1590.29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按工作进度完成资金拨付，满分10分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99.27</w:t>
            </w:r>
          </w:p>
        </w:tc>
      </w:tr>
    </w:tbl>
    <w:p>
      <w:pPr>
        <w:pStyle w:val="2"/>
      </w:pPr>
    </w:p>
    <w:p>
      <w:pPr>
        <w:pStyle w:val="2"/>
      </w:pPr>
    </w:p>
    <w:tbl>
      <w:tblPr>
        <w:tblW w:w="8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72"/>
        <w:gridCol w:w="1272"/>
        <w:gridCol w:w="944"/>
        <w:gridCol w:w="888"/>
        <w:gridCol w:w="827"/>
        <w:gridCol w:w="799"/>
        <w:gridCol w:w="894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项目支出名称</w:t>
            </w:r>
          </w:p>
        </w:tc>
        <w:tc>
          <w:tcPr>
            <w:tcW w:w="7678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2024年非税返还收入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8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4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双牌县公安局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双牌县公安局交通警察大队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260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资金来源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其中:当年财政拨款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325.6</w:t>
            </w:r>
          </w:p>
        </w:tc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566.25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476.58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上年结转金额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其它资金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325.6</w:t>
            </w:r>
          </w:p>
        </w:tc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566.25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476.58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84.00%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44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23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4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2024年非税返还收入</w:t>
            </w:r>
          </w:p>
        </w:tc>
        <w:tc>
          <w:tcPr>
            <w:tcW w:w="3234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4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4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4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4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3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完成非税收入目标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道路交通隐患整改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罚没收入和行政性收入完成度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办理业务及时度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返还额度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98.40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W w:w="9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317"/>
        <w:gridCol w:w="1318"/>
        <w:gridCol w:w="1010"/>
        <w:gridCol w:w="950"/>
        <w:gridCol w:w="716"/>
        <w:gridCol w:w="635"/>
        <w:gridCol w:w="1004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项目支出名称</w:t>
            </w:r>
          </w:p>
        </w:tc>
        <w:tc>
          <w:tcPr>
            <w:tcW w:w="7667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2024年协警经费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7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5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双牌县公安局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3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双牌县公安局交通警察大队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263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资金来源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其中:当年财政拨款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上年结转金额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其它资金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5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0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5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2024年协警经费</w:t>
            </w:r>
          </w:p>
        </w:tc>
        <w:tc>
          <w:tcPr>
            <w:tcW w:w="3072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6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7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协警经费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198.4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198.4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道路交通警务辅助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工作完成及时性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辅助保障道路交通安全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198.4</w:t>
            </w: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198.4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8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W w:w="9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71"/>
        <w:gridCol w:w="1471"/>
        <w:gridCol w:w="1124"/>
        <w:gridCol w:w="1060"/>
        <w:gridCol w:w="727"/>
        <w:gridCol w:w="618"/>
        <w:gridCol w:w="1004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项目支出名称</w:t>
            </w:r>
          </w:p>
        </w:tc>
        <w:tc>
          <w:tcPr>
            <w:tcW w:w="8176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2024人民警察值勤津贴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6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2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双牌县公安局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2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双牌县公安局交通警察大队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301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资金来源</w:t>
            </w:r>
          </w:p>
        </w:tc>
        <w:tc>
          <w:tcPr>
            <w:tcW w:w="11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0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6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其中:当年财政拨款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10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上年结转金额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其它资金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10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2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295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1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2024人民警察值勤津贴</w:t>
            </w:r>
          </w:p>
        </w:tc>
        <w:tc>
          <w:tcPr>
            <w:tcW w:w="2955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1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1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5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5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1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经费总额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本年内完成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按时发放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完成本年预算安排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民警满意度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38.44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85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Microsoft YaHei" w:hAnsi="Microsoft YaHei" w:eastAsia="Microsoft YaHei" w:cs="Microsoft YaHe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footerReference r:id="rId7" w:type="default"/>
      <w:pgSz w:w="11800" w:h="16800"/>
      <w:pgMar w:top="1428" w:right="1770" w:bottom="1551" w:left="1594" w:header="0" w:footer="13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icrosoft YaHei U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39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9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35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pacing w:val="-8"/>
        <w:sz w:val="26"/>
        <w:szCs w:val="2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F41A3"/>
    <w:multiLevelType w:val="singleLevel"/>
    <w:tmpl w:val="F7CF41A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A21238"/>
    <w:multiLevelType w:val="singleLevel"/>
    <w:tmpl w:val="4AA21238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962A3"/>
    <w:rsid w:val="015C48BA"/>
    <w:rsid w:val="01934780"/>
    <w:rsid w:val="020B7D64"/>
    <w:rsid w:val="027C5214"/>
    <w:rsid w:val="02CE3596"/>
    <w:rsid w:val="037B196F"/>
    <w:rsid w:val="03C2759E"/>
    <w:rsid w:val="056F72B2"/>
    <w:rsid w:val="05CF7D50"/>
    <w:rsid w:val="071D689A"/>
    <w:rsid w:val="073267E9"/>
    <w:rsid w:val="073E518E"/>
    <w:rsid w:val="07C03DF5"/>
    <w:rsid w:val="09096974"/>
    <w:rsid w:val="09CB4CD3"/>
    <w:rsid w:val="0A2A19F9"/>
    <w:rsid w:val="0A60565A"/>
    <w:rsid w:val="0B12290A"/>
    <w:rsid w:val="0CA35A93"/>
    <w:rsid w:val="0CC779D3"/>
    <w:rsid w:val="11001706"/>
    <w:rsid w:val="123553DF"/>
    <w:rsid w:val="12931B0E"/>
    <w:rsid w:val="129B16E6"/>
    <w:rsid w:val="13F35552"/>
    <w:rsid w:val="1448764C"/>
    <w:rsid w:val="14D3484E"/>
    <w:rsid w:val="155B515D"/>
    <w:rsid w:val="160311B9"/>
    <w:rsid w:val="16CA259A"/>
    <w:rsid w:val="18092C65"/>
    <w:rsid w:val="1B81223B"/>
    <w:rsid w:val="20F543CB"/>
    <w:rsid w:val="21254871"/>
    <w:rsid w:val="21DD705D"/>
    <w:rsid w:val="228645D9"/>
    <w:rsid w:val="22D62B74"/>
    <w:rsid w:val="26C54B2C"/>
    <w:rsid w:val="27F51441"/>
    <w:rsid w:val="2A0B6CFA"/>
    <w:rsid w:val="2A984622"/>
    <w:rsid w:val="2D9D410D"/>
    <w:rsid w:val="2EB6422E"/>
    <w:rsid w:val="2FBE65BC"/>
    <w:rsid w:val="30A43510"/>
    <w:rsid w:val="30BD0622"/>
    <w:rsid w:val="316A69FC"/>
    <w:rsid w:val="32452FC5"/>
    <w:rsid w:val="3256492F"/>
    <w:rsid w:val="33E52369"/>
    <w:rsid w:val="34381B90"/>
    <w:rsid w:val="34433534"/>
    <w:rsid w:val="345020EE"/>
    <w:rsid w:val="34E76D46"/>
    <w:rsid w:val="358931C8"/>
    <w:rsid w:val="35DE3514"/>
    <w:rsid w:val="37492E67"/>
    <w:rsid w:val="38BB7B3D"/>
    <w:rsid w:val="38CA7D80"/>
    <w:rsid w:val="38CF5396"/>
    <w:rsid w:val="38E54BBA"/>
    <w:rsid w:val="39137979"/>
    <w:rsid w:val="39D76BF8"/>
    <w:rsid w:val="39F155FB"/>
    <w:rsid w:val="3A687850"/>
    <w:rsid w:val="3B464036"/>
    <w:rsid w:val="3C131A3E"/>
    <w:rsid w:val="3CDF16C9"/>
    <w:rsid w:val="3CF7CD2A"/>
    <w:rsid w:val="3E6447D3"/>
    <w:rsid w:val="3EDF3E59"/>
    <w:rsid w:val="40556AC9"/>
    <w:rsid w:val="40FC5196"/>
    <w:rsid w:val="414D154E"/>
    <w:rsid w:val="42D92A00"/>
    <w:rsid w:val="460C7C2A"/>
    <w:rsid w:val="46476EB4"/>
    <w:rsid w:val="464A0752"/>
    <w:rsid w:val="46833B40"/>
    <w:rsid w:val="489F6B33"/>
    <w:rsid w:val="48D32C81"/>
    <w:rsid w:val="4AEA4585"/>
    <w:rsid w:val="4BA40904"/>
    <w:rsid w:val="4DC4528E"/>
    <w:rsid w:val="4EBE7F2F"/>
    <w:rsid w:val="50D6330E"/>
    <w:rsid w:val="510734C7"/>
    <w:rsid w:val="51FD2506"/>
    <w:rsid w:val="523A5B1F"/>
    <w:rsid w:val="53310CD0"/>
    <w:rsid w:val="570A3D11"/>
    <w:rsid w:val="57A852D8"/>
    <w:rsid w:val="57E74053"/>
    <w:rsid w:val="58C6010C"/>
    <w:rsid w:val="59505C28"/>
    <w:rsid w:val="5BD40D92"/>
    <w:rsid w:val="5C8A31FF"/>
    <w:rsid w:val="5DCB1D21"/>
    <w:rsid w:val="5F781A34"/>
    <w:rsid w:val="5FFC4413"/>
    <w:rsid w:val="60FF065F"/>
    <w:rsid w:val="61001CE1"/>
    <w:rsid w:val="62DD081F"/>
    <w:rsid w:val="631A52DC"/>
    <w:rsid w:val="65167D25"/>
    <w:rsid w:val="66081D64"/>
    <w:rsid w:val="66434B4A"/>
    <w:rsid w:val="669435F8"/>
    <w:rsid w:val="66D01138"/>
    <w:rsid w:val="686137D7"/>
    <w:rsid w:val="68684D3C"/>
    <w:rsid w:val="68CD1043"/>
    <w:rsid w:val="68EC771B"/>
    <w:rsid w:val="694A599C"/>
    <w:rsid w:val="6A310DC4"/>
    <w:rsid w:val="6A89513B"/>
    <w:rsid w:val="6CB5251A"/>
    <w:rsid w:val="6E843F52"/>
    <w:rsid w:val="6F997ED1"/>
    <w:rsid w:val="70EE7DA8"/>
    <w:rsid w:val="722515A8"/>
    <w:rsid w:val="734C0DB6"/>
    <w:rsid w:val="7530273D"/>
    <w:rsid w:val="756E3266"/>
    <w:rsid w:val="758D193E"/>
    <w:rsid w:val="76592168"/>
    <w:rsid w:val="773B5735"/>
    <w:rsid w:val="77DC6BAC"/>
    <w:rsid w:val="77F17064"/>
    <w:rsid w:val="78567FC7"/>
    <w:rsid w:val="7860158C"/>
    <w:rsid w:val="7BBC2F7D"/>
    <w:rsid w:val="7D603DDC"/>
    <w:rsid w:val="7DBC6AE1"/>
    <w:rsid w:val="7E69DE48"/>
    <w:rsid w:val="7FBF5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5939</Words>
  <Characters>6547</Characters>
  <TotalTime>60</TotalTime>
  <ScaleCrop>false</ScaleCrop>
  <LinksUpToDate>false</LinksUpToDate>
  <CharactersWithSpaces>6704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2025-09-02T18:38:00Z</dcterms:created>
  <dc:creator>92184</dc:creator>
  <cp:lastModifiedBy>kylin</cp:lastModifiedBy>
  <dcterms:modified xsi:type="dcterms:W3CDTF">2025-09-22T16:55:51Z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2025-09-02T10:38:57Z</vt:filetime>
  </property>
  <property fmtid="{D5CDD505-2E9C-101B-9397-08002B2CF9AE}" pid="4" name="UsrData">
    <vt:lpwstr>68b658bcea88aa001f2537ccwl</vt:lpwstr>
  </property>
  <property fmtid="{D5CDD505-2E9C-101B-9397-08002B2CF9AE}" pid="5" name="KSOProductBuildVer">
    <vt:lpwstr>2052-11.8.2.10505</vt:lpwstr>
  </property>
  <property fmtid="{D5CDD505-2E9C-101B-9397-08002B2CF9AE}" pid="6" name="ICV">
    <vt:lpwstr>F293880E45774F47827582E5579D9967_13</vt:lpwstr>
  </property>
  <property fmtid="{D5CDD505-2E9C-101B-9397-08002B2CF9AE}" pid="7" name="KSOTemplateDocerSaveRecord">
    <vt:lpwstr>eyJoZGlkIjoiYTUwZDA4MGIwZTE1YTE5Y2Y0MGQ1ZmJmMjc0NzExYzYiLCJ1c2VySWQiOiIzMjQwMjEzNTMifQ==</vt:lpwstr>
  </property>
</Properties>
</file>