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outlineLvl w:val="1"/>
        <w:rPr>
          <w:rFonts w:hint="eastAsia" w:ascii="方正小标宋简体" w:eastAsia="方正小标宋简体"/>
          <w:sz w:val="52"/>
          <w:szCs w:val="24"/>
        </w:rPr>
      </w:pPr>
    </w:p>
    <w:p>
      <w:pPr>
        <w:spacing w:beforeLines="0" w:afterLines="0"/>
        <w:jc w:val="center"/>
        <w:outlineLvl w:val="1"/>
        <w:rPr>
          <w:rFonts w:hint="eastAsia" w:ascii="方正小标宋简体" w:eastAsia="方正小标宋简体"/>
          <w:sz w:val="52"/>
          <w:szCs w:val="24"/>
        </w:rPr>
      </w:pPr>
    </w:p>
    <w:p>
      <w:pPr>
        <w:spacing w:beforeLines="0" w:afterLines="0"/>
        <w:jc w:val="center"/>
        <w:outlineLvl w:val="1"/>
        <w:rPr>
          <w:rFonts w:hint="eastAsia" w:ascii="方正小标宋简体" w:eastAsia="方正小标宋简体"/>
          <w:sz w:val="52"/>
          <w:szCs w:val="24"/>
        </w:rPr>
      </w:pPr>
    </w:p>
    <w:p>
      <w:pPr>
        <w:spacing w:beforeLines="0" w:afterLines="0"/>
        <w:jc w:val="center"/>
        <w:outlineLvl w:val="1"/>
        <w:rPr>
          <w:rFonts w:hint="eastAsia" w:ascii="方正小标宋简体" w:eastAsia="方正小标宋简体"/>
          <w:sz w:val="52"/>
          <w:szCs w:val="24"/>
          <w:lang w:val="en-US" w:eastAsia="zh-CN"/>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双牌县市场监督管理局</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整体支出绩效自评报告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jc w:val="center"/>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lang w:val="en-US" w:eastAsia="zh-CN"/>
        </w:rPr>
        <w:t>双牌县市场监督管理局</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年</w:t>
      </w:r>
      <w:r>
        <w:rPr>
          <w:rFonts w:hint="eastAsia" w:eastAsia="楷体_GB2312"/>
          <w:sz w:val="32"/>
          <w:szCs w:val="24"/>
          <w:lang w:val="en-US" w:eastAsia="zh-CN"/>
        </w:rPr>
        <w:t>5</w:t>
      </w:r>
      <w:r>
        <w:rPr>
          <w:rFonts w:hint="eastAsia" w:eastAsia="楷体_GB2312"/>
          <w:sz w:val="32"/>
          <w:szCs w:val="24"/>
        </w:rPr>
        <w:t>月</w:t>
      </w:r>
      <w:r>
        <w:rPr>
          <w:rFonts w:hint="eastAsia" w:eastAsia="楷体_GB2312"/>
          <w:sz w:val="32"/>
          <w:szCs w:val="24"/>
          <w:lang w:val="en-US" w:eastAsia="zh-CN"/>
        </w:rPr>
        <w:t>10</w:t>
      </w:r>
      <w:r>
        <w:rPr>
          <w:rFonts w:hint="eastAsia" w:eastAsia="楷体_GB2312"/>
          <w:sz w:val="32"/>
          <w:szCs w:val="24"/>
        </w:rPr>
        <w:t>日</w:t>
      </w:r>
    </w:p>
    <w:p>
      <w:pPr>
        <w:numPr>
          <w:ilvl w:val="0"/>
          <w:numId w:val="1"/>
        </w:numPr>
        <w:spacing w:beforeLines="0" w:afterLines="0" w:line="570" w:lineRule="exact"/>
        <w:ind w:left="640" w:firstLine="0"/>
        <w:outlineLvl w:val="0"/>
        <w:rPr>
          <w:rFonts w:hint="default" w:eastAsia="黑体"/>
          <w:sz w:val="32"/>
          <w:szCs w:val="24"/>
        </w:rPr>
      </w:pPr>
      <w:r>
        <w:rPr>
          <w:rFonts w:hint="default" w:eastAsia="仿宋_GB2312"/>
          <w:sz w:val="32"/>
          <w:szCs w:val="24"/>
        </w:rPr>
        <w:br w:type="page"/>
      </w:r>
      <w:r>
        <w:rPr>
          <w:rFonts w:hint="eastAsia" w:eastAsia="黑体"/>
          <w:sz w:val="32"/>
          <w:szCs w:val="24"/>
        </w:rPr>
        <w:t>部门（单位）基本情况</w:t>
      </w:r>
    </w:p>
    <w:p>
      <w:pPr>
        <w:numPr>
          <w:ilvl w:val="0"/>
          <w:numId w:val="2"/>
        </w:numPr>
        <w:shd w:val="clear" w:color="auto" w:fill="FFFFFF"/>
        <w:spacing w:beforeLines="0" w:afterLines="0" w:line="570" w:lineRule="exact"/>
        <w:ind w:firstLine="640" w:firstLineChars="200"/>
        <w:outlineLvl w:val="1"/>
        <w:rPr>
          <w:rFonts w:hint="eastAsia" w:ascii="仿宋_GB2312" w:eastAsia="仿宋_GB2312"/>
          <w:sz w:val="32"/>
          <w:szCs w:val="24"/>
        </w:rPr>
      </w:pPr>
      <w:r>
        <w:rPr>
          <w:rFonts w:hint="eastAsia" w:ascii="仿宋_GB2312" w:eastAsia="仿宋_GB2312"/>
          <w:sz w:val="32"/>
          <w:szCs w:val="24"/>
        </w:rPr>
        <w:t>部门（单位）职能职责、机构编制、人员构成等。</w:t>
      </w:r>
    </w:p>
    <w:p>
      <w:pPr>
        <w:snapToGrid w:val="0"/>
        <w:spacing w:line="520" w:lineRule="exact"/>
        <w:ind w:firstLine="960" w:firstLineChars="300"/>
        <w:rPr>
          <w:rFonts w:hint="eastAsia" w:ascii="仿宋_GB2312" w:hAnsi="仿宋" w:eastAsia="仿宋_GB2312"/>
          <w:sz w:val="32"/>
          <w:szCs w:val="32"/>
        </w:rPr>
      </w:pPr>
      <w:r>
        <w:rPr>
          <w:rFonts w:hint="eastAsia" w:ascii="仿宋_GB2312" w:hAnsi="仿宋" w:eastAsia="仿宋_GB2312"/>
          <w:sz w:val="32"/>
          <w:szCs w:val="32"/>
        </w:rPr>
        <w:t>1．主要职能。</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（1）负责市场综合监督管理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（2）负责市场主体统一登记注册</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（3）负责权限范围内食品、药品、医疗器械、化妆品、特种设备、计量器具的许可管理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（4）负责组织和指导市场监管综合执法工作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（5）根据授权负责反垄断统一执法</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（6）负责监督管理市场秩序</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（7）负责宏观质量管理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（8）负责产品质量安全监督管理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（9）负责特种设备安全监督管理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（10）负责食品安全监督管理综合协调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（11） 负责食品安全监督管理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（12）负责统一管理计量工作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（13）负责统一管理标准化工作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（14）负责统一管理检验检测工作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（15） 负责统一管理、监督和综合协调全县认证认可工作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（16）负责市场监督管理、知识产权领域科技和信息化建设、新闻宣传、对外交流与合作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（17）负责实施知识产权战略，推进知识产权强县建设</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（18）负责保护知识产权</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（19）负责知识产权创造运用</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（20）负责组织开展有关服务领域消费维权工作，查处制售假冒伪劣等违法行为</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（21）负责指导消费者咨询、申诉、举报受理、处理和网络体系建设等工作，保护经营者、消费者合法权益</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（22）负责职责范围内的药品、医疗器械和化妆品的质量管理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（23）负责职责范围内药品、医疗器械和化妆品上市后风险管理</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（24）负责组织实施职责范围内药品、医疗器械和化妆品监督检查</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（25）负责县委组织部门安排的小微企业、个体工商户、专业市场的党建工作，指导全县相关工作</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（26）完成县委、县政府交办的其他任务</w:t>
      </w:r>
    </w:p>
    <w:p>
      <w:pPr>
        <w:pStyle w:val="2"/>
        <w:ind w:left="0" w:leftChars="0" w:firstLine="640" w:firstLineChars="200"/>
        <w:rPr>
          <w:rFonts w:hint="default" w:ascii="仿宋_GB2312" w:hAnsi="仿宋" w:eastAsia="仿宋_GB2312" w:cstheme="minorBidi"/>
          <w:kern w:val="2"/>
          <w:sz w:val="32"/>
          <w:szCs w:val="32"/>
          <w:lang w:val="en-US" w:eastAsia="zh-CN" w:bidi="ar-SA"/>
        </w:rPr>
      </w:pPr>
      <w:r>
        <w:rPr>
          <w:rFonts w:hint="eastAsia" w:ascii="仿宋_GB2312" w:hAnsi="仿宋" w:eastAsia="仿宋_GB2312" w:cstheme="minorBidi"/>
          <w:kern w:val="2"/>
          <w:sz w:val="32"/>
          <w:szCs w:val="32"/>
          <w:lang w:val="en-US" w:eastAsia="zh-CN" w:bidi="ar-SA"/>
        </w:rPr>
        <w:t>2.机构编制、人员构成</w:t>
      </w:r>
    </w:p>
    <w:p>
      <w:pPr>
        <w:pStyle w:val="7"/>
        <w:spacing w:line="600" w:lineRule="exact"/>
        <w:ind w:firstLine="640"/>
        <w:rPr>
          <w:rFonts w:hint="eastAsia"/>
          <w:color w:val="0070C0"/>
        </w:rPr>
      </w:pPr>
      <w:r>
        <w:rPr>
          <w:rFonts w:hint="eastAsia" w:ascii="仿宋_GB2312" w:hAnsi="仿宋_GB2312" w:eastAsia="仿宋_GB2312" w:cs="Times New Roman"/>
          <w:color w:val="auto"/>
          <w:kern w:val="2"/>
          <w:sz w:val="32"/>
          <w:szCs w:val="32"/>
          <w:lang w:val="en-US" w:eastAsia="zh-CN" w:bidi="ar-SA"/>
        </w:rPr>
        <w:t>本单位属县人民政府组成部门，为正科级行政单位，在职在编人员80人，其中：行政编制26人、事业编制54人。人员编制人数160人，在编实有车辆5辆，退休人员51人。</w:t>
      </w:r>
    </w:p>
    <w:p>
      <w:pPr>
        <w:numPr>
          <w:ilvl w:val="0"/>
          <w:numId w:val="2"/>
        </w:numPr>
        <w:spacing w:beforeLines="0" w:afterLines="0" w:line="570" w:lineRule="exact"/>
        <w:ind w:left="0" w:leftChars="0" w:firstLine="640" w:firstLineChars="200"/>
        <w:outlineLvl w:val="1"/>
        <w:rPr>
          <w:rFonts w:hint="eastAsia" w:eastAsia="仿宋_GB2312"/>
          <w:color w:val="000000"/>
          <w:sz w:val="32"/>
          <w:szCs w:val="24"/>
        </w:rPr>
      </w:pPr>
      <w:r>
        <w:rPr>
          <w:rFonts w:hint="eastAsia" w:ascii="仿宋_GB2312" w:eastAsia="仿宋_GB2312"/>
          <w:sz w:val="32"/>
          <w:szCs w:val="24"/>
        </w:rPr>
        <w:t>部门（单位）整体支出规模</w:t>
      </w:r>
      <w:r>
        <w:rPr>
          <w:rFonts w:hint="eastAsia" w:ascii="仿宋_GB2312" w:hAnsi="仿宋_GB2312" w:eastAsia="仿宋_GB2312" w:cs="仿宋_GB2312"/>
          <w:sz w:val="32"/>
          <w:szCs w:val="32"/>
        </w:rPr>
        <w:t>，</w:t>
      </w:r>
      <w:r>
        <w:rPr>
          <w:rFonts w:hint="eastAsia" w:eastAsia="仿宋_GB2312"/>
          <w:color w:val="000000"/>
          <w:sz w:val="32"/>
          <w:szCs w:val="24"/>
        </w:rPr>
        <w:t>包括但不限于部门整体支出情况、部门预算收支决算情况及“三公经费”支出使用和管理情况。</w:t>
      </w:r>
    </w:p>
    <w:p>
      <w:pPr>
        <w:pStyle w:val="2"/>
        <w:numPr>
          <w:ilvl w:val="0"/>
          <w:numId w:val="0"/>
        </w:numPr>
        <w:rPr>
          <w:rFonts w:hint="eastAsia" w:ascii="仿宋_GB2312" w:hAnsi="仿宋_GB2312" w:eastAsia="仿宋_GB2312" w:cs="Times New Roman"/>
          <w:color w:val="auto"/>
          <w:kern w:val="2"/>
          <w:sz w:val="32"/>
          <w:szCs w:val="32"/>
          <w:lang w:val="en-US" w:eastAsia="zh-CN" w:bidi="ar-SA"/>
        </w:rPr>
      </w:pPr>
      <w:r>
        <w:rPr>
          <w:rFonts w:hint="eastAsia" w:eastAsia="宋体"/>
          <w:lang w:val="en-US" w:eastAsia="zh-CN"/>
        </w:rPr>
        <w:t xml:space="preserve">   </w:t>
      </w:r>
      <w:r>
        <w:rPr>
          <w:rFonts w:hint="eastAsia" w:eastAsia="宋体"/>
          <w:color w:val="0000FF"/>
          <w:lang w:val="en-US" w:eastAsia="zh-CN"/>
        </w:rPr>
        <w:t xml:space="preserve">   </w:t>
      </w:r>
      <w:r>
        <w:rPr>
          <w:rFonts w:hint="eastAsia" w:ascii="仿宋_GB2312" w:hAnsi="仿宋_GB2312" w:eastAsia="仿宋_GB2312" w:cs="Times New Roman"/>
          <w:color w:val="auto"/>
          <w:kern w:val="2"/>
          <w:sz w:val="32"/>
          <w:szCs w:val="32"/>
          <w:lang w:val="en-US" w:eastAsia="zh-CN" w:bidi="ar-SA"/>
        </w:rPr>
        <w:t>2023年公共预算财政拨款支出1415.71万元,其中：基本支出</w:t>
      </w:r>
      <w:r>
        <w:rPr>
          <w:rFonts w:ascii="Segoe UI" w:hAnsi="Segoe UI" w:eastAsia="Segoe UI" w:cs="Segoe UI"/>
          <w:i w:val="0"/>
          <w:iCs w:val="0"/>
          <w:caps w:val="0"/>
          <w:color w:val="000000"/>
          <w:spacing w:val="0"/>
          <w:sz w:val="28"/>
          <w:szCs w:val="28"/>
          <w:shd w:val="clear" w:fill="FFFFFF"/>
        </w:rPr>
        <w:t>1045.8</w:t>
      </w:r>
      <w:r>
        <w:rPr>
          <w:rFonts w:hint="eastAsia" w:ascii="Segoe UI" w:hAnsi="Segoe UI" w:eastAsia="宋体" w:cs="Segoe UI"/>
          <w:i w:val="0"/>
          <w:iCs w:val="0"/>
          <w:caps w:val="0"/>
          <w:color w:val="000000"/>
          <w:spacing w:val="0"/>
          <w:sz w:val="28"/>
          <w:szCs w:val="28"/>
          <w:shd w:val="clear" w:fill="FFFFFF"/>
          <w:lang w:val="en-US" w:eastAsia="zh-CN"/>
        </w:rPr>
        <w:t>6</w:t>
      </w:r>
      <w:r>
        <w:rPr>
          <w:rFonts w:hint="eastAsia" w:ascii="仿宋_GB2312" w:hAnsi="仿宋_GB2312" w:eastAsia="仿宋_GB2312" w:cs="Times New Roman"/>
          <w:color w:val="auto"/>
          <w:kern w:val="2"/>
          <w:sz w:val="32"/>
          <w:szCs w:val="32"/>
          <w:lang w:val="en-US" w:eastAsia="zh-CN" w:bidi="ar-SA"/>
        </w:rPr>
        <w:t>万元，项目支出</w:t>
      </w:r>
      <w:r>
        <w:rPr>
          <w:rFonts w:ascii="Segoe UI" w:hAnsi="Segoe UI" w:eastAsia="Segoe UI" w:cs="Segoe UI"/>
          <w:i w:val="0"/>
          <w:iCs w:val="0"/>
          <w:caps w:val="0"/>
          <w:color w:val="000000"/>
          <w:spacing w:val="0"/>
          <w:sz w:val="28"/>
          <w:szCs w:val="28"/>
          <w:shd w:val="clear" w:fill="FFFFFF"/>
        </w:rPr>
        <w:t>369.85</w:t>
      </w:r>
      <w:r>
        <w:rPr>
          <w:rFonts w:hint="eastAsia" w:ascii="仿宋_GB2312" w:hAnsi="仿宋_GB2312" w:eastAsia="仿宋_GB2312" w:cs="Times New Roman"/>
          <w:color w:val="auto"/>
          <w:kern w:val="2"/>
          <w:sz w:val="32"/>
          <w:szCs w:val="32"/>
          <w:lang w:val="en-US" w:eastAsia="zh-CN" w:bidi="ar-SA"/>
        </w:rPr>
        <w:t>万元。</w:t>
      </w:r>
    </w:p>
    <w:p>
      <w:pPr>
        <w:snapToGrid w:val="0"/>
        <w:spacing w:line="520" w:lineRule="exact"/>
        <w:ind w:firstLine="640" w:firstLineChars="200"/>
        <w:rPr>
          <w:rFonts w:hint="default" w:ascii="仿宋_GB2312" w:hAnsi="仿宋_GB2312" w:eastAsia="仿宋_GB2312" w:cs="Times New Roman"/>
          <w:color w:val="auto"/>
          <w:kern w:val="2"/>
          <w:sz w:val="32"/>
          <w:szCs w:val="32"/>
          <w:lang w:val="en-US" w:eastAsia="zh-CN" w:bidi="ar-SA"/>
        </w:rPr>
      </w:pPr>
      <w:r>
        <w:rPr>
          <w:rFonts w:hint="eastAsia" w:ascii="仿宋_GB2312" w:hAnsi="仿宋" w:eastAsia="仿宋_GB2312" w:cs="仿宋"/>
          <w:color w:val="auto"/>
          <w:sz w:val="32"/>
          <w:szCs w:val="32"/>
        </w:rPr>
        <w:t>202</w:t>
      </w:r>
      <w:r>
        <w:rPr>
          <w:rFonts w:hint="eastAsia" w:ascii="仿宋_GB2312" w:hAnsi="仿宋" w:eastAsia="仿宋_GB2312" w:cs="仿宋"/>
          <w:color w:val="auto"/>
          <w:sz w:val="32"/>
          <w:szCs w:val="32"/>
          <w:lang w:val="en-US" w:eastAsia="zh-CN"/>
        </w:rPr>
        <w:t>3</w:t>
      </w:r>
      <w:r>
        <w:rPr>
          <w:rFonts w:hint="eastAsia" w:ascii="仿宋_GB2312" w:hAnsi="仿宋" w:eastAsia="仿宋_GB2312" w:cs="仿宋"/>
          <w:color w:val="auto"/>
          <w:sz w:val="32"/>
          <w:szCs w:val="32"/>
        </w:rPr>
        <w:t>年公务用车运行维护费为98000元，较202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年9</w:t>
      </w:r>
      <w:r>
        <w:rPr>
          <w:rFonts w:hint="eastAsia" w:ascii="仿宋_GB2312" w:hAnsi="仿宋" w:eastAsia="仿宋_GB2312" w:cs="仿宋"/>
          <w:color w:val="auto"/>
          <w:sz w:val="32"/>
          <w:szCs w:val="32"/>
          <w:lang w:val="en-US" w:eastAsia="zh-CN"/>
        </w:rPr>
        <w:t>8000</w:t>
      </w:r>
      <w:r>
        <w:rPr>
          <w:rFonts w:hint="eastAsia" w:ascii="仿宋_GB2312" w:hAnsi="仿宋" w:eastAsia="仿宋_GB2312" w:cs="仿宋"/>
          <w:color w:val="auto"/>
          <w:sz w:val="32"/>
          <w:szCs w:val="32"/>
        </w:rPr>
        <w:t>元</w:t>
      </w:r>
      <w:r>
        <w:rPr>
          <w:rFonts w:hint="eastAsia" w:ascii="仿宋_GB2312" w:hAnsi="仿宋" w:eastAsia="仿宋_GB2312" w:cs="仿宋"/>
          <w:color w:val="auto"/>
          <w:sz w:val="32"/>
          <w:szCs w:val="32"/>
          <w:lang w:val="en-US" w:eastAsia="zh-CN"/>
        </w:rPr>
        <w:t>持平</w:t>
      </w:r>
      <w:r>
        <w:rPr>
          <w:rFonts w:hint="eastAsia" w:ascii="仿宋_GB2312" w:hAnsi="仿宋" w:eastAsia="仿宋_GB2312" w:cs="仿宋"/>
          <w:color w:val="auto"/>
          <w:sz w:val="32"/>
          <w:szCs w:val="32"/>
        </w:rPr>
        <w:t>；2023年公务接待费</w:t>
      </w:r>
      <w:bookmarkStart w:id="0" w:name="OLE_LINK1"/>
      <w:r>
        <w:rPr>
          <w:rFonts w:hint="eastAsia" w:ascii="仿宋_GB2312" w:hAnsi="仿宋" w:eastAsia="仿宋_GB2312" w:cs="仿宋"/>
          <w:color w:val="auto"/>
          <w:sz w:val="32"/>
          <w:szCs w:val="32"/>
        </w:rPr>
        <w:t>1187</w:t>
      </w:r>
      <w:bookmarkEnd w:id="0"/>
      <w:r>
        <w:rPr>
          <w:rFonts w:hint="eastAsia" w:ascii="仿宋_GB2312" w:hAnsi="仿宋" w:eastAsia="仿宋_GB2312" w:cs="仿宋"/>
          <w:color w:val="auto"/>
          <w:sz w:val="32"/>
          <w:szCs w:val="32"/>
          <w:lang w:val="en-US" w:eastAsia="zh-CN"/>
        </w:rPr>
        <w:t>49</w:t>
      </w:r>
      <w:r>
        <w:rPr>
          <w:rFonts w:hint="eastAsia" w:ascii="仿宋_GB2312" w:hAnsi="仿宋" w:eastAsia="仿宋_GB2312" w:cs="仿宋"/>
          <w:color w:val="auto"/>
          <w:sz w:val="32"/>
          <w:szCs w:val="32"/>
        </w:rPr>
        <w:t>元，较202</w:t>
      </w:r>
      <w:r>
        <w:rPr>
          <w:rFonts w:hint="eastAsia" w:ascii="仿宋_GB2312" w:hAnsi="仿宋" w:eastAsia="仿宋_GB2312" w:cs="仿宋"/>
          <w:color w:val="auto"/>
          <w:sz w:val="32"/>
          <w:szCs w:val="32"/>
          <w:lang w:val="en-US" w:eastAsia="zh-CN"/>
        </w:rPr>
        <w:t>2</w:t>
      </w:r>
      <w:r>
        <w:rPr>
          <w:rFonts w:hint="eastAsia" w:ascii="仿宋_GB2312" w:hAnsi="仿宋" w:eastAsia="仿宋_GB2312" w:cs="仿宋"/>
          <w:color w:val="auto"/>
          <w:sz w:val="32"/>
          <w:szCs w:val="32"/>
        </w:rPr>
        <w:t>年118768</w:t>
      </w:r>
      <w:r>
        <w:rPr>
          <w:rFonts w:hint="eastAsia" w:ascii="仿宋_GB2312" w:hAnsi="仿宋" w:eastAsia="仿宋_GB2312" w:cs="仿宋"/>
          <w:color w:val="auto"/>
          <w:sz w:val="32"/>
          <w:szCs w:val="32"/>
          <w:lang w:val="en-US" w:eastAsia="zh-CN"/>
        </w:rPr>
        <w:t>减少了19</w:t>
      </w:r>
      <w:r>
        <w:rPr>
          <w:rFonts w:hint="eastAsia" w:ascii="仿宋_GB2312" w:hAnsi="仿宋" w:eastAsia="仿宋_GB2312" w:cs="仿宋"/>
          <w:color w:val="auto"/>
          <w:sz w:val="32"/>
          <w:szCs w:val="32"/>
        </w:rPr>
        <w:t>元；</w:t>
      </w:r>
    </w:p>
    <w:p>
      <w:pPr>
        <w:pStyle w:val="7"/>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7"/>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pStyle w:val="7"/>
        <w:spacing w:line="600" w:lineRule="exact"/>
        <w:ind w:firstLine="640"/>
        <w:rPr>
          <w:rFonts w:hint="default" w:ascii="Times New Roman" w:hAnsi="Times New Roman" w:eastAsia="仿宋_GB2312"/>
          <w:sz w:val="32"/>
          <w:szCs w:val="24"/>
        </w:rPr>
      </w:pPr>
      <w:r>
        <w:rPr>
          <w:rFonts w:hint="eastAsia" w:ascii="仿宋_GB2312" w:hAnsi="仿宋_GB2312" w:eastAsia="仿宋_GB2312" w:cs="Times New Roman"/>
          <w:color w:val="000000"/>
          <w:kern w:val="2"/>
          <w:sz w:val="32"/>
          <w:szCs w:val="32"/>
          <w:lang w:val="en-US" w:eastAsia="zh-CN" w:bidi="ar-SA"/>
        </w:rPr>
        <w:t>2023年度基本支出为</w:t>
      </w:r>
      <w:bookmarkStart w:id="1" w:name="OLE_LINK2"/>
      <w:r>
        <w:rPr>
          <w:rFonts w:ascii="Segoe UI" w:hAnsi="Segoe UI" w:eastAsia="Segoe UI" w:cs="Segoe UI"/>
          <w:i w:val="0"/>
          <w:iCs w:val="0"/>
          <w:caps w:val="0"/>
          <w:color w:val="000000"/>
          <w:spacing w:val="0"/>
          <w:sz w:val="28"/>
          <w:szCs w:val="28"/>
          <w:shd w:val="clear" w:fill="FFFFFF"/>
        </w:rPr>
        <w:t>1045.8</w:t>
      </w:r>
      <w:r>
        <w:rPr>
          <w:rFonts w:hint="eastAsia" w:ascii="Segoe UI" w:hAnsi="Segoe UI" w:eastAsia="宋体" w:cs="Segoe UI"/>
          <w:i w:val="0"/>
          <w:iCs w:val="0"/>
          <w:caps w:val="0"/>
          <w:color w:val="000000"/>
          <w:spacing w:val="0"/>
          <w:sz w:val="28"/>
          <w:szCs w:val="28"/>
          <w:shd w:val="clear" w:fill="FFFFFF"/>
          <w:lang w:val="en-US" w:eastAsia="zh-CN"/>
        </w:rPr>
        <w:t>6</w:t>
      </w:r>
      <w:bookmarkEnd w:id="1"/>
      <w:r>
        <w:rPr>
          <w:rFonts w:hint="eastAsia" w:ascii="仿宋_GB2312" w:hAnsi="仿宋_GB2312" w:eastAsia="仿宋_GB2312" w:cs="Times New Roman"/>
          <w:color w:val="000000"/>
          <w:kern w:val="2"/>
          <w:sz w:val="32"/>
          <w:szCs w:val="32"/>
          <w:lang w:val="en-US" w:eastAsia="zh-CN" w:bidi="ar-SA"/>
        </w:rPr>
        <w:t>万元，占总支出比重为73.88%。一般公共预算财政拨款基本支出中人员经费952.3万元，主要包括：基本工资、津贴补贴、奖金、社会保障缴费、其他工资福利支出、离休费、退休费、抚恤金、奖励金、住房公积金、其他对个人和家庭的补助；一般公共预算财政拨款基本支出中公用经费93.56万元，主要包括：办公费、印刷费、邮电费、差旅费、维修（护）费、会议费、培训费、公务接待费、劳务费、工会经费、福利费、公务用车运行维护费、其他交通费用、其他商品和服务支出、办公设备购置。</w:t>
      </w:r>
    </w:p>
    <w:p>
      <w:pPr>
        <w:pStyle w:val="7"/>
        <w:numPr>
          <w:ilvl w:val="0"/>
          <w:numId w:val="2"/>
        </w:numPr>
        <w:spacing w:beforeLines="0" w:afterLines="0" w:line="570" w:lineRule="exact"/>
        <w:ind w:left="0" w:leftChars="0" w:firstLine="640" w:firstLineChars="200"/>
        <w:outlineLvl w:val="1"/>
        <w:rPr>
          <w:rFonts w:hint="eastAsia" w:ascii="Times New Roman" w:hAnsi="Times New Roman" w:eastAsia="仿宋_GB2312"/>
          <w:sz w:val="32"/>
          <w:szCs w:val="24"/>
        </w:rPr>
      </w:pPr>
      <w:r>
        <w:rPr>
          <w:rFonts w:hint="eastAsia" w:ascii="Times New Roman" w:hAnsi="Times New Roman" w:eastAsia="仿宋_GB2312"/>
          <w:sz w:val="32"/>
          <w:szCs w:val="24"/>
        </w:rPr>
        <w:t>项目支出情况</w:t>
      </w:r>
    </w:p>
    <w:p>
      <w:pPr>
        <w:pStyle w:val="7"/>
        <w:spacing w:beforeLines="-2147483648" w:afterLines="-2147483648" w:line="600" w:lineRule="exact"/>
        <w:ind w:firstLine="640"/>
        <w:rPr>
          <w:rFonts w:hint="default" w:ascii="Times New Roman" w:hAnsi="Times New Roman" w:eastAsia="仿宋_GB2312"/>
          <w:sz w:val="32"/>
          <w:szCs w:val="24"/>
          <w:lang w:val="en-US" w:eastAsia="zh-CN"/>
        </w:rPr>
      </w:pPr>
      <w:r>
        <w:rPr>
          <w:rFonts w:hint="eastAsia" w:ascii="Times New Roman" w:hAnsi="Times New Roman" w:eastAsia="仿宋_GB2312"/>
          <w:sz w:val="32"/>
          <w:szCs w:val="24"/>
          <w:lang w:val="en-US" w:eastAsia="zh-CN"/>
        </w:rPr>
        <w:t xml:space="preserve"> </w:t>
      </w:r>
      <w:r>
        <w:rPr>
          <w:rFonts w:hint="eastAsia" w:ascii="仿宋_GB2312" w:hAnsi="仿宋_GB2312" w:eastAsia="仿宋_GB2312" w:cs="Times New Roman"/>
          <w:color w:val="000000"/>
          <w:kern w:val="2"/>
          <w:sz w:val="32"/>
          <w:szCs w:val="32"/>
          <w:lang w:val="en-US" w:eastAsia="zh-CN" w:bidi="ar-SA"/>
        </w:rPr>
        <w:t>2023年度项目支出为</w:t>
      </w:r>
      <w:bookmarkStart w:id="2" w:name="OLE_LINK3"/>
      <w:r>
        <w:rPr>
          <w:rFonts w:ascii="Segoe UI" w:hAnsi="Segoe UI" w:eastAsia="Segoe UI" w:cs="Segoe UI"/>
          <w:i w:val="0"/>
          <w:iCs w:val="0"/>
          <w:caps w:val="0"/>
          <w:color w:val="000000"/>
          <w:spacing w:val="0"/>
          <w:sz w:val="28"/>
          <w:szCs w:val="28"/>
          <w:shd w:val="clear" w:fill="FFFFFF"/>
        </w:rPr>
        <w:t>369.85</w:t>
      </w:r>
      <w:bookmarkEnd w:id="2"/>
      <w:r>
        <w:rPr>
          <w:rFonts w:hint="eastAsia" w:ascii="仿宋_GB2312" w:hAnsi="仿宋_GB2312" w:eastAsia="仿宋_GB2312" w:cs="Times New Roman"/>
          <w:color w:val="000000"/>
          <w:kern w:val="2"/>
          <w:sz w:val="32"/>
          <w:szCs w:val="32"/>
          <w:lang w:val="en-US" w:eastAsia="zh-CN" w:bidi="ar-SA"/>
        </w:rPr>
        <w:t>万元，占总支出的比重为26.12%，是指单位为完成特定行政工作任务或事业发展目标而发生的支出，其中：1、知识产权宏观管理支出10万元；2、一般行政管理事务173.26万元；3、其他市场监督管理事务132.95万元；4、食品安全监管事务支出14.97万元。5.药品事务支出22.7万元。6.行政运行支出11.86万元。7.疾病预防控制机构支出4.12万元。</w:t>
      </w:r>
    </w:p>
    <w:p>
      <w:pPr>
        <w:pStyle w:val="7"/>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三、政府性基金预算支出情况。</w:t>
      </w:r>
    </w:p>
    <w:p>
      <w:pPr>
        <w:pStyle w:val="7"/>
        <w:spacing w:beforeLines="0" w:afterLines="0" w:line="570" w:lineRule="exact"/>
        <w:ind w:firstLine="64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仿宋_GB2312"/>
          <w:color w:val="000000"/>
          <w:sz w:val="32"/>
          <w:szCs w:val="24"/>
        </w:rPr>
        <w:t>我单位无政府性基金预算支出情况</w:t>
      </w:r>
    </w:p>
    <w:p>
      <w:pPr>
        <w:pStyle w:val="7"/>
        <w:numPr>
          <w:ilvl w:val="0"/>
          <w:numId w:val="3"/>
        </w:numPr>
        <w:spacing w:beforeLines="0" w:afterLines="0" w:line="570" w:lineRule="exact"/>
        <w:ind w:firstLine="640"/>
        <w:jc w:val="left"/>
        <w:outlineLvl w:val="0"/>
        <w:rPr>
          <w:rFonts w:hint="eastAsia" w:ascii="Times New Roman" w:hAnsi="Times New Roman" w:eastAsia="黑体"/>
          <w:sz w:val="32"/>
          <w:szCs w:val="24"/>
        </w:rPr>
      </w:pPr>
      <w:r>
        <w:rPr>
          <w:rFonts w:hint="eastAsia" w:ascii="Times New Roman" w:hAnsi="Times New Roman" w:eastAsia="黑体"/>
          <w:sz w:val="32"/>
          <w:szCs w:val="24"/>
        </w:rPr>
        <w:t>国有资本经营预算支出情况。</w:t>
      </w:r>
    </w:p>
    <w:p>
      <w:pPr>
        <w:pStyle w:val="7"/>
        <w:numPr>
          <w:ilvl w:val="0"/>
          <w:numId w:val="0"/>
        </w:numPr>
        <w:spacing w:beforeLines="0" w:afterLines="0" w:line="570" w:lineRule="exact"/>
        <w:ind w:firstLine="640" w:firstLineChars="20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我单位无国有资本经营预算支出情况</w:t>
      </w:r>
    </w:p>
    <w:p>
      <w:pPr>
        <w:pStyle w:val="7"/>
        <w:numPr>
          <w:ilvl w:val="0"/>
          <w:numId w:val="3"/>
        </w:numPr>
        <w:spacing w:beforeLines="0" w:afterLines="0" w:line="570" w:lineRule="exact"/>
        <w:ind w:left="0" w:leftChars="0" w:firstLine="640" w:firstLineChars="200"/>
        <w:jc w:val="left"/>
        <w:outlineLvl w:val="0"/>
        <w:rPr>
          <w:rFonts w:hint="eastAsia" w:ascii="Times New Roman" w:hAnsi="Times New Roman" w:eastAsia="黑体"/>
          <w:sz w:val="32"/>
          <w:szCs w:val="24"/>
        </w:rPr>
      </w:pPr>
      <w:r>
        <w:rPr>
          <w:rFonts w:hint="eastAsia" w:ascii="Times New Roman" w:hAnsi="Times New Roman" w:eastAsia="黑体"/>
          <w:sz w:val="32"/>
          <w:szCs w:val="24"/>
        </w:rPr>
        <w:t>社会保险基金预算支出情况。</w:t>
      </w:r>
    </w:p>
    <w:p>
      <w:pPr>
        <w:pStyle w:val="7"/>
        <w:numPr>
          <w:ilvl w:val="0"/>
          <w:numId w:val="0"/>
        </w:numPr>
        <w:spacing w:beforeLines="0" w:afterLines="0" w:line="570" w:lineRule="exact"/>
        <w:ind w:leftChars="200" w:firstLine="320" w:firstLineChars="100"/>
        <w:jc w:val="left"/>
        <w:outlineLvl w:val="0"/>
        <w:rPr>
          <w:rFonts w:hint="eastAsia" w:ascii="Times New Roman" w:hAnsi="Times New Roman" w:eastAsia="黑体"/>
          <w:sz w:val="32"/>
          <w:szCs w:val="24"/>
        </w:rPr>
      </w:pPr>
      <w:r>
        <w:rPr>
          <w:rFonts w:hint="eastAsia" w:ascii="Times New Roman" w:hAnsi="Times New Roman" w:eastAsia="仿宋_GB2312"/>
          <w:color w:val="000000"/>
          <w:sz w:val="32"/>
          <w:szCs w:val="24"/>
        </w:rPr>
        <w:t>我单位无社会保险基金预算支出情况</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pStyle w:val="7"/>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在县委县政府的正确领导下，全局干部职工凝心聚力、解放思想、开拓思路、攻坚克难，突出“转职能，强服务；强监管，保安全；重执法，维民权；夯基础，见成效”的工作方针，形成了1+1+1大于3的良好局面，全局工作有序开展，取得了较好的成绩，圆满完成县委县政府和上级主管部门交办的工作任务，主要绩效如下：</w:t>
      </w:r>
    </w:p>
    <w:p>
      <w:pPr>
        <w:pStyle w:val="7"/>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1、积极落实了商事登记制度改革各项措施，随着商事登记制度改革的落实，全县市场主体稳步增长；</w:t>
      </w:r>
    </w:p>
    <w:p>
      <w:pPr>
        <w:pStyle w:val="7"/>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2、维护市场经济秩序，切实加强对企业监督管理：积极开展个体企业状态的抽查、调查和核实工作，对超市、综合市场、水果店等经营的蔬菜、水果、肉禽、水产品、蛋等进行抽检；</w:t>
      </w:r>
    </w:p>
    <w:p>
      <w:pPr>
        <w:pStyle w:val="7"/>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3、切实加强特种设备安全监管：我局认真开展了特种设备的监督检验与定期检验工作。协助省特检院永州分院对我县特种设备使用单位的特种设备进行了监督检验与过期检验；</w:t>
      </w:r>
    </w:p>
    <w:p>
      <w:pPr>
        <w:pStyle w:val="7"/>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4、切实加强计量及认证工作：开展了免检工作、强检工作、计量检测工作和计量认证工作。</w:t>
      </w:r>
    </w:p>
    <w:p>
      <w:pPr>
        <w:pStyle w:val="7"/>
        <w:spacing w:beforeLines="0" w:afterLines="0" w:line="570" w:lineRule="exact"/>
        <w:ind w:firstLine="640"/>
        <w:jc w:val="left"/>
        <w:outlineLvl w:val="0"/>
        <w:rPr>
          <w:rFonts w:hint="eastAsia" w:eastAsia="仿宋_GB2312"/>
          <w:color w:val="000000"/>
          <w:sz w:val="32"/>
          <w:szCs w:val="24"/>
        </w:rPr>
      </w:pPr>
      <w:r>
        <w:rPr>
          <w:rFonts w:hint="eastAsia" w:eastAsia="仿宋_GB2312"/>
          <w:color w:val="000000"/>
          <w:sz w:val="32"/>
          <w:szCs w:val="24"/>
        </w:rPr>
        <w:t>切实加强行政执法工作，开展了执法培训，充分利用局内网等督促指导执法人员学习法律法规、探讨业务工作。</w:t>
      </w:r>
    </w:p>
    <w:p>
      <w:pPr>
        <w:pStyle w:val="7"/>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spacing w:beforeLines="0" w:afterLines="0" w:line="570" w:lineRule="exact"/>
        <w:ind w:firstLine="640" w:firstLineChars="200"/>
        <w:jc w:val="left"/>
        <w:outlineLvl w:val="0"/>
        <w:rPr>
          <w:rFonts w:hint="eastAsia" w:eastAsia="仿宋_GB2312"/>
          <w:color w:val="000000"/>
          <w:sz w:val="32"/>
          <w:szCs w:val="24"/>
        </w:rPr>
      </w:pPr>
      <w:r>
        <w:rPr>
          <w:rFonts w:hint="eastAsia" w:eastAsia="仿宋_GB2312"/>
          <w:color w:val="000000"/>
          <w:sz w:val="32"/>
          <w:szCs w:val="24"/>
        </w:rPr>
        <w:t>1、预算执行率有待提高。由于预算项目未及时报账导致年末预算资金未形成支出。</w:t>
      </w:r>
    </w:p>
    <w:p>
      <w:pPr>
        <w:spacing w:beforeLines="0" w:afterLines="0" w:line="570" w:lineRule="exact"/>
        <w:ind w:firstLine="640" w:firstLineChars="200"/>
        <w:jc w:val="left"/>
        <w:outlineLvl w:val="0"/>
        <w:rPr>
          <w:rFonts w:hint="eastAsia" w:eastAsia="仿宋_GB2312"/>
          <w:color w:val="000000"/>
          <w:sz w:val="32"/>
          <w:szCs w:val="24"/>
        </w:rPr>
      </w:pPr>
      <w:r>
        <w:rPr>
          <w:rFonts w:hint="eastAsia" w:eastAsia="仿宋_GB2312"/>
          <w:color w:val="000000"/>
          <w:sz w:val="32"/>
          <w:szCs w:val="24"/>
        </w:rPr>
        <w:t>2、专项资金少，资金压力大。针对我局经济基础薄弱、资金压力大的现状，重点产业项目尚需进一步的加强。</w:t>
      </w:r>
    </w:p>
    <w:p>
      <w:pPr>
        <w:spacing w:beforeLines="0" w:afterLines="0" w:line="570" w:lineRule="exact"/>
        <w:ind w:firstLine="640" w:firstLineChars="200"/>
        <w:jc w:val="left"/>
        <w:outlineLvl w:val="0"/>
        <w:rPr>
          <w:rFonts w:hint="eastAsia" w:eastAsia="仿宋_GB2312"/>
          <w:color w:val="000000"/>
          <w:sz w:val="32"/>
          <w:szCs w:val="24"/>
        </w:rPr>
      </w:pPr>
      <w:r>
        <w:rPr>
          <w:rFonts w:hint="eastAsia" w:eastAsia="仿宋_GB2312"/>
          <w:color w:val="000000"/>
          <w:sz w:val="32"/>
          <w:szCs w:val="24"/>
        </w:rPr>
        <w:t>3、预算编制不够明确和细化，预算编制的合理性需要提高，预算执行力度还要进一步加强。资金使用效益有待进一步提高，绩效目标设立不够明确、细化和量化。</w:t>
      </w:r>
    </w:p>
    <w:p>
      <w:pPr>
        <w:spacing w:beforeLines="0" w:afterLines="0" w:line="570" w:lineRule="exact"/>
        <w:ind w:firstLine="640" w:firstLineChars="200"/>
        <w:jc w:val="left"/>
        <w:outlineLvl w:val="0"/>
        <w:rPr>
          <w:rFonts w:hint="eastAsia" w:eastAsia="仿宋_GB2312"/>
          <w:color w:val="000000"/>
          <w:sz w:val="32"/>
          <w:szCs w:val="24"/>
        </w:rPr>
      </w:pPr>
      <w:r>
        <w:rPr>
          <w:rFonts w:hint="eastAsia" w:eastAsia="仿宋_GB2312"/>
          <w:color w:val="000000"/>
          <w:sz w:val="32"/>
          <w:szCs w:val="24"/>
        </w:rPr>
        <w:t>4、人员严重缺编与工作任务繁重矛盾日益突出。</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spacing w:beforeLines="0" w:afterLines="0" w:line="570" w:lineRule="exact"/>
        <w:ind w:firstLine="640" w:firstLineChars="200"/>
        <w:jc w:val="left"/>
        <w:outlineLvl w:val="0"/>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（一）加强部门预算管理,合理安排财政资金。增强行政成本意识，细化经费预算编制，在保证单位正常工作需要的人员经费和公用经费的前提下，严格控制 “三公”经费支出。各项支出遵照预算执行，确保支出与预算的对应衔接，着力提高预算执行力。</w:t>
      </w:r>
    </w:p>
    <w:p>
      <w:pPr>
        <w:spacing w:beforeLines="0" w:afterLines="0" w:line="570" w:lineRule="exact"/>
        <w:ind w:firstLine="640" w:firstLineChars="200"/>
        <w:jc w:val="left"/>
        <w:outlineLvl w:val="0"/>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二）加强“三公”经费管理，严控“三公”经费规模。我单位在既有的制度办法基础上，进一步研究完善公务接待、公务用车配置使用和因公出国(境)等管理制度和审核程序，将“三公”经费严格纳入预算管理，严控 “三公”经费支出。</w:t>
      </w:r>
    </w:p>
    <w:p>
      <w:pPr>
        <w:spacing w:beforeLines="0" w:afterLines="0" w:line="570" w:lineRule="exact"/>
        <w:ind w:firstLine="640" w:firstLineChars="200"/>
        <w:jc w:val="left"/>
        <w:outlineLvl w:val="0"/>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三）加强对公用支出中重点费用的管理。规范会议费、培训费、差旅费、办公费等费用开支标准，按照国家规定的标准和范围列支，控制会议培训的数量、规模，简化会议培训的形式；控制差旅活动的人数和天数，不安排无明确目的的公务考察活动，出差完善审批程序；坚持厉行节约的原则，控制和压缩办公经费支出，各项费用严格控制在预算额度内使用。</w:t>
      </w:r>
    </w:p>
    <w:p>
      <w:pPr>
        <w:spacing w:beforeLines="0" w:afterLines="0" w:line="570" w:lineRule="exact"/>
        <w:ind w:firstLine="640" w:firstLineChars="200"/>
        <w:jc w:val="left"/>
        <w:outlineLvl w:val="0"/>
        <w:rPr>
          <w:rFonts w:hint="default" w:ascii="Times New Roman" w:hAnsi="Times New Roman" w:eastAsia="仿宋_GB2312"/>
          <w:color w:val="000000"/>
          <w:sz w:val="32"/>
          <w:szCs w:val="24"/>
        </w:rPr>
      </w:pPr>
      <w:r>
        <w:rPr>
          <w:rFonts w:hint="default" w:ascii="Times New Roman" w:hAnsi="Times New Roman" w:eastAsia="仿宋_GB2312"/>
          <w:color w:val="000000"/>
          <w:sz w:val="32"/>
          <w:szCs w:val="24"/>
        </w:rPr>
        <w:t>（四）规范资金结算管理。各项支出按照批准的预算和有关规定审核办理，各项费用严格按照经费审批程序审批后才能报销，杜绝不合理的开支。资金支付执行国库集中支付结算方式，规范公务支出中的现金提取和使用，保证资金支付的安全、透明、规范，提高财政资金支付效率。</w:t>
      </w:r>
    </w:p>
    <w:p>
      <w:pPr>
        <w:spacing w:beforeLines="0" w:afterLines="0" w:line="570" w:lineRule="exact"/>
        <w:ind w:firstLine="645"/>
        <w:jc w:val="left"/>
        <w:outlineLvl w:val="0"/>
        <w:rPr>
          <w:rFonts w:hint="eastAsia" w:eastAsia="黑体"/>
          <w:sz w:val="32"/>
          <w:szCs w:val="24"/>
        </w:rPr>
      </w:pPr>
      <w:r>
        <w:rPr>
          <w:rFonts w:hint="eastAsia" w:eastAsia="黑体"/>
          <w:sz w:val="32"/>
          <w:szCs w:val="24"/>
        </w:rPr>
        <w:t>九、部门整体支出绩效自评结果拟应用和公开情况</w:t>
      </w:r>
    </w:p>
    <w:p>
      <w:pPr>
        <w:spacing w:beforeLines="0" w:afterLines="0" w:line="570" w:lineRule="exact"/>
        <w:ind w:firstLine="645"/>
        <w:jc w:val="left"/>
        <w:outlineLvl w:val="0"/>
        <w:rPr>
          <w:rFonts w:hint="default"/>
        </w:rPr>
      </w:pPr>
      <w:r>
        <w:rPr>
          <w:rFonts w:hint="eastAsia" w:ascii="仿宋_GB2312" w:hAnsi="仿宋_GB2312" w:eastAsia="仿宋_GB2312"/>
          <w:color w:val="000000"/>
          <w:sz w:val="32"/>
          <w:szCs w:val="32"/>
        </w:rPr>
        <w:t>根据部门整体支出绩效评价指标体系，我单位202</w:t>
      </w:r>
      <w:r>
        <w:rPr>
          <w:rFonts w:hint="eastAsia" w:ascii="仿宋_GB2312" w:hAnsi="仿宋_GB2312" w:eastAsia="仿宋_GB2312"/>
          <w:color w:val="000000"/>
          <w:sz w:val="32"/>
          <w:szCs w:val="32"/>
          <w:lang w:val="en-US" w:eastAsia="zh-CN"/>
        </w:rPr>
        <w:t>3</w:t>
      </w:r>
      <w:r>
        <w:rPr>
          <w:rFonts w:hint="eastAsia" w:ascii="仿宋_GB2312" w:hAnsi="仿宋_GB2312" w:eastAsia="仿宋_GB2312"/>
          <w:color w:val="000000"/>
          <w:sz w:val="32"/>
          <w:szCs w:val="32"/>
        </w:rPr>
        <w:t>年度评价得分为</w:t>
      </w:r>
      <w:r>
        <w:rPr>
          <w:rFonts w:hint="eastAsia" w:ascii="仿宋_GB2312" w:hAnsi="仿宋_GB2312" w:eastAsia="仿宋_GB2312"/>
          <w:color w:val="000000"/>
          <w:sz w:val="32"/>
          <w:szCs w:val="32"/>
          <w:lang w:val="en-US" w:eastAsia="zh-CN"/>
        </w:rPr>
        <w:t>100</w:t>
      </w:r>
      <w:r>
        <w:rPr>
          <w:rFonts w:hint="eastAsia" w:ascii="仿宋_GB2312" w:hAnsi="仿宋_GB2312" w:eastAsia="仿宋_GB2312"/>
          <w:color w:val="000000"/>
          <w:sz w:val="32"/>
          <w:szCs w:val="32"/>
        </w:rPr>
        <w:t>分。</w:t>
      </w:r>
    </w:p>
    <w:p>
      <w:pPr>
        <w:spacing w:beforeLines="0" w:afterLines="0" w:line="570" w:lineRule="exact"/>
        <w:ind w:firstLine="645"/>
        <w:jc w:val="left"/>
        <w:rPr>
          <w:rFonts w:hint="default" w:eastAsia="黑体"/>
          <w:sz w:val="32"/>
          <w:szCs w:val="24"/>
        </w:rPr>
      </w:pPr>
      <w:r>
        <w:rPr>
          <w:rFonts w:hint="eastAsia" w:eastAsia="黑体"/>
          <w:sz w:val="32"/>
          <w:szCs w:val="24"/>
        </w:rPr>
        <w:t>其他需要说明的情况</w:t>
      </w:r>
    </w:p>
    <w:p>
      <w:pPr>
        <w:spacing w:beforeLines="0" w:after="120" w:afterLines="50" w:line="600" w:lineRule="exact"/>
        <w:rPr>
          <w:rFonts w:hint="default" w:eastAsia="黑体"/>
          <w:sz w:val="32"/>
          <w:szCs w:val="24"/>
          <w:lang w:val="en-US" w:eastAsia="zh-CN"/>
        </w:rPr>
      </w:pPr>
      <w:r>
        <w:rPr>
          <w:rFonts w:hint="eastAsia" w:eastAsia="黑体"/>
          <w:sz w:val="32"/>
          <w:szCs w:val="24"/>
          <w:lang w:val="en-US" w:eastAsia="zh-CN"/>
        </w:rPr>
        <w:t xml:space="preserve">    </w:t>
      </w:r>
      <w:r>
        <w:rPr>
          <w:rFonts w:hint="eastAsia" w:ascii="仿宋_GB2312" w:hAnsi="仿宋_GB2312" w:eastAsia="仿宋_GB2312"/>
          <w:color w:val="000000"/>
          <w:sz w:val="32"/>
          <w:szCs w:val="32"/>
          <w:lang w:val="en-US" w:eastAsia="zh-CN"/>
        </w:rPr>
        <w:t>无</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5"/>
        <w:tblW w:w="960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160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80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997.9</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t>1045.86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val="en-US" w:eastAsia="zh-CN"/>
              </w:rPr>
              <w:t>1045.86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109.76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105.2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105.2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0.23</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26.14</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13.5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21.67</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21.7</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21.7</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9.8</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9.8</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9.8</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9.8</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9.8</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11.87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11.9</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368.06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369.85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0"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1"/>
                <w:szCs w:val="21"/>
              </w:rPr>
              <w:t>食品安全事务、农产品检测费、发明专利、非税办案工作经费</w:t>
            </w:r>
            <w:r>
              <w:rPr>
                <w:rFonts w:hint="eastAsia" w:asciiTheme="minorEastAsia" w:hAnsiTheme="minorEastAsia" w:eastAsiaTheme="minorEastAsia" w:cstheme="minorEastAsia"/>
                <w:sz w:val="21"/>
                <w:szCs w:val="21"/>
                <w:lang w:eastAsia="zh-CN"/>
              </w:rPr>
              <w:t>、工业企业产品质量定期检测经费、</w:t>
            </w:r>
            <w:r>
              <w:rPr>
                <w:rFonts w:hint="eastAsia" w:asciiTheme="minorEastAsia" w:hAnsiTheme="minorEastAsia" w:eastAsiaTheme="minorEastAsia" w:cstheme="minorEastAsia"/>
                <w:sz w:val="21"/>
                <w:szCs w:val="21"/>
                <w:lang w:val="en-US" w:eastAsia="zh-CN"/>
              </w:rPr>
              <w:t>食品安全“两个责任”机制包保工作经费、创建食品安全示范县</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166.26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146.5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79"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1"/>
                <w:szCs w:val="21"/>
                <w:lang w:val="en-US" w:eastAsia="zh-CN"/>
              </w:rPr>
              <w:t>2021年知识产权相关奖补资金、解决市场主体高质量发展工作经费、印章刻制费用、开展解决国家基本公共服务标准化试验点验收所需工作经费、</w:t>
            </w:r>
            <w:r>
              <w:rPr>
                <w:rFonts w:hint="eastAsia" w:asciiTheme="minorEastAsia" w:hAnsiTheme="minorEastAsia" w:eastAsiaTheme="minorEastAsia" w:cstheme="minorEastAsia"/>
                <w:sz w:val="21"/>
                <w:szCs w:val="21"/>
              </w:rPr>
              <w:t>关于解决疫情防控党校隔离点餐费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36.57</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44.1053</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44.1053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1"/>
                <w:szCs w:val="21"/>
                <w:lang w:val="en-US" w:eastAsia="zh-CN"/>
              </w:rPr>
              <w:t>湖南省市场监管专项资金、中央食品药品补助资金</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121.5</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121.5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136.11</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136.11</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1045.86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1045.86</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6"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1.加强领导，确保节约落到实处；2.加强宣传，促进正确观念的树立；3.完善机制，确保节约措施的落实；</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16"/>
          <w:szCs w:val="16"/>
        </w:rPr>
      </w:pPr>
      <w:r>
        <w:rPr>
          <w:rFonts w:hint="eastAsia" w:asciiTheme="minorEastAsia" w:hAnsiTheme="minorEastAsia" w:eastAsiaTheme="minorEastAsia" w:cstheme="minorEastAsia"/>
          <w:sz w:val="16"/>
          <w:szCs w:val="16"/>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Theme="minorEastAsia" w:hAnsiTheme="minorEastAsia" w:eastAsiaTheme="minorEastAsia" w:cstheme="minorEastAsia"/>
          <w:sz w:val="24"/>
          <w:szCs w:val="24"/>
        </w:rPr>
        <w:t>填表人：        填报日期：          联系电话：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5"/>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1"/>
                <w:szCs w:val="21"/>
              </w:rPr>
              <w:t>食品安全事务、农产品检测费、发明专利、</w:t>
            </w:r>
            <w:r>
              <w:rPr>
                <w:rFonts w:hint="eastAsia" w:asciiTheme="minorEastAsia" w:hAnsiTheme="minorEastAsia" w:eastAsiaTheme="minorEastAsia" w:cstheme="minorEastAsia"/>
                <w:sz w:val="21"/>
                <w:szCs w:val="21"/>
                <w:lang w:val="en-US" w:eastAsia="zh-CN"/>
              </w:rPr>
              <w:t>2023</w:t>
            </w:r>
            <w:r>
              <w:rPr>
                <w:rFonts w:hint="eastAsia" w:asciiTheme="minorEastAsia" w:hAnsiTheme="minorEastAsia" w:eastAsiaTheme="minorEastAsia" w:cstheme="minorEastAsia"/>
                <w:sz w:val="21"/>
                <w:szCs w:val="21"/>
              </w:rPr>
              <w:t>非税办案工作经费</w:t>
            </w:r>
            <w:r>
              <w:rPr>
                <w:rFonts w:hint="eastAsia" w:asciiTheme="minorEastAsia" w:hAnsiTheme="minorEastAsia" w:eastAsiaTheme="minorEastAsia" w:cstheme="minorEastAsia"/>
                <w:sz w:val="21"/>
                <w:szCs w:val="21"/>
                <w:lang w:eastAsia="zh-CN"/>
              </w:rPr>
              <w:t>、</w:t>
            </w:r>
            <w:bookmarkStart w:id="3" w:name="OLE_LINK6"/>
            <w:r>
              <w:rPr>
                <w:rFonts w:hint="eastAsia" w:asciiTheme="minorEastAsia" w:hAnsiTheme="minorEastAsia" w:eastAsiaTheme="minorEastAsia" w:cstheme="minorEastAsia"/>
                <w:sz w:val="21"/>
                <w:szCs w:val="21"/>
                <w:lang w:eastAsia="zh-CN"/>
              </w:rPr>
              <w:t>食品安全“两个责任”机制包保工作</w:t>
            </w:r>
            <w:bookmarkEnd w:id="3"/>
            <w:r>
              <w:rPr>
                <w:rFonts w:hint="eastAsia" w:asciiTheme="minorEastAsia" w:hAnsiTheme="minorEastAsia" w:eastAsiaTheme="minorEastAsia" w:cstheme="minorEastAsia"/>
                <w:sz w:val="21"/>
                <w:szCs w:val="21"/>
                <w:lang w:eastAsia="zh-CN"/>
              </w:rPr>
              <w:t>经费、创建食品安全示范县</w:t>
            </w:r>
            <w:r>
              <w:rPr>
                <w:rFonts w:hint="eastAsia" w:asciiTheme="minorEastAsia" w:hAnsiTheme="minorEastAsia" w:eastAsiaTheme="minorEastAsia" w:cstheme="minorEastAsia"/>
                <w:sz w:val="21"/>
                <w:szCs w:val="21"/>
                <w:lang w:val="en-US" w:eastAsia="zh-CN"/>
              </w:rPr>
              <w:t>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369.85万元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双牌县市场监督管理局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提高执法能力，抓好监管工作，促进市场主体发育</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both"/>
              <w:rPr>
                <w:rFonts w:hint="default" w:asciiTheme="minorEastAsia" w:hAnsiTheme="minorEastAsia" w:eastAsiaTheme="minorEastAsia" w:cstheme="minorEastAsia"/>
                <w:sz w:val="24"/>
                <w:szCs w:val="24"/>
                <w:lang w:val="en-US" w:eastAsia="zh-CN"/>
              </w:rPr>
            </w:pPr>
            <w:bookmarkStart w:id="4" w:name="OLE_LINK7"/>
            <w:r>
              <w:rPr>
                <w:rFonts w:hint="eastAsia" w:asciiTheme="minorEastAsia" w:hAnsiTheme="minorEastAsia" w:eastAsiaTheme="minorEastAsia" w:cstheme="minorEastAsia"/>
                <w:sz w:val="24"/>
                <w:szCs w:val="24"/>
                <w:lang w:val="en-US" w:eastAsia="zh-CN"/>
              </w:rPr>
              <w:t>加大食品创建力度，努力落实食品安全“两个责任”机制包保工作，为新企业提供免费刻制公章服务，完成双牌县发明专利任务，完成价格监督，公平竞争工作，提高食品药品监管能力</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完成食品安全宣传，进行了资料印刷，广告投放，落实了食品安全“两个责任”机制包保工作，为新企业免费刻制公章，完成双牌县发明专利任务，完成价格监督，公平竞争工作，提高食品药品监管能力</w:t>
            </w:r>
          </w:p>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预算执行率有待提高，由于预算项目未及时报账导致年末预算资金未形成支出；专项资金少，资金压力大，针对我局经济基础薄弱、资金压力大的现状，重点产业项目尚需进一步的加强。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加强部门预算管理,合理安排财政资金。增强行政成本意识，细化经费预算编制，在保证单位正常工作需要的人员经费和公用经费的前提下，严格控制 “三公”经费支出。各项支出遵照预算执行，确保支出与预算的对应衔接，着力提高预算执行力。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896"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pPr>
              <w:spacing w:beforeLines="0" w:afterLines="0"/>
              <w:rPr>
                <w:rFonts w:hint="eastAsia" w:asciiTheme="minorEastAsia" w:hAnsiTheme="minorEastAsia" w:eastAsiaTheme="minorEastAsia" w:cstheme="minorEastAsia"/>
                <w:sz w:val="24"/>
                <w:szCs w:val="24"/>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       填报日期：         联系电话：         单位负责人签字：</w:t>
      </w: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5"/>
        <w:tblW w:w="945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color w:val="000000"/>
                <w:sz w:val="24"/>
                <w:szCs w:val="24"/>
                <w:lang w:val="en-US" w:eastAsia="zh-CN"/>
              </w:rPr>
            </w:pPr>
            <w:bookmarkStart w:id="5" w:name="OLE_LINK5"/>
            <w:r>
              <w:rPr>
                <w:rFonts w:hint="eastAsia" w:asciiTheme="minorEastAsia" w:hAnsiTheme="minorEastAsia" w:eastAsiaTheme="minorEastAsia" w:cstheme="minorEastAsia"/>
                <w:sz w:val="21"/>
                <w:szCs w:val="21"/>
              </w:rPr>
              <w:t>食品安全事务、农产品检测费、发明专利、</w:t>
            </w:r>
            <w:r>
              <w:rPr>
                <w:rFonts w:hint="eastAsia" w:asciiTheme="minorEastAsia" w:hAnsiTheme="minorEastAsia" w:eastAsiaTheme="minorEastAsia" w:cstheme="minorEastAsia"/>
                <w:sz w:val="21"/>
                <w:szCs w:val="21"/>
                <w:lang w:val="en-US" w:eastAsia="zh-CN"/>
              </w:rPr>
              <w:t>2023</w:t>
            </w:r>
            <w:r>
              <w:rPr>
                <w:rFonts w:hint="eastAsia" w:asciiTheme="minorEastAsia" w:hAnsiTheme="minorEastAsia" w:eastAsiaTheme="minorEastAsia" w:cstheme="minorEastAsia"/>
                <w:sz w:val="21"/>
                <w:szCs w:val="21"/>
              </w:rPr>
              <w:t>非税办案工作经费</w:t>
            </w:r>
            <w:r>
              <w:rPr>
                <w:rFonts w:hint="eastAsia" w:asciiTheme="minorEastAsia" w:hAnsiTheme="minorEastAsia" w:eastAsiaTheme="minorEastAsia" w:cstheme="minorEastAsia"/>
                <w:sz w:val="21"/>
                <w:szCs w:val="21"/>
                <w:lang w:eastAsia="zh-CN"/>
              </w:rPr>
              <w:t>、食品安全“两个责任”机制包保工作经费、创建食品安全示范县</w:t>
            </w:r>
            <w:r>
              <w:rPr>
                <w:rFonts w:hint="eastAsia" w:asciiTheme="minorEastAsia" w:hAnsiTheme="minorEastAsia" w:eastAsiaTheme="minorEastAsia" w:cstheme="minorEastAsia"/>
                <w:sz w:val="21"/>
                <w:szCs w:val="21"/>
                <w:lang w:val="en-US" w:eastAsia="zh-CN"/>
              </w:rPr>
              <w:t>等</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23"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1"/>
                <w:szCs w:val="21"/>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永州市市场监督管理局</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双牌县市场监督管理局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327.22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369.85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369.85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327.22</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369.85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369.85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抓好市场监管工作</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抓好市场监管工作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成本指标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369.85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369.85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656"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18"/>
                <w:szCs w:val="18"/>
              </w:rPr>
              <w:t>重大食品安全监管责任</w:t>
            </w:r>
            <w:r>
              <w:rPr>
                <w:rFonts w:hint="eastAsia" w:asciiTheme="minorEastAsia" w:hAnsiTheme="minorEastAsia" w:eastAsiaTheme="minorEastAsia" w:cstheme="minorEastAsia"/>
                <w:color w:val="000000"/>
                <w:sz w:val="20"/>
                <w:szCs w:val="20"/>
              </w:rPr>
              <w:t>事故</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8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促进企业新办</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bookmarkStart w:id="6" w:name="OLE_LINK4"/>
            <w:r>
              <w:rPr>
                <w:rFonts w:hint="eastAsia" w:asciiTheme="minorEastAsia" w:hAnsiTheme="minorEastAsia" w:eastAsiaTheme="minorEastAsia" w:cstheme="minorEastAsia"/>
                <w:color w:val="000000"/>
                <w:sz w:val="24"/>
                <w:szCs w:val="24"/>
                <w:lang w:val="en-US" w:eastAsia="zh-CN"/>
              </w:rPr>
              <w:t>稳中向好</w:t>
            </w:r>
            <w:bookmarkEnd w:id="6"/>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稳中向好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生态环境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1"/>
                <w:szCs w:val="21"/>
                <w:lang w:val="en-US" w:eastAsia="zh-CN"/>
              </w:rPr>
              <w:t>稳中向好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1"/>
                <w:szCs w:val="21"/>
                <w:lang w:val="en-US" w:eastAsia="zh-CN"/>
              </w:rPr>
              <w:t>稳中向好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成本指标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369.85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369.85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0"/>
                <w:szCs w:val="20"/>
              </w:rPr>
              <w:t>检查食品经营户次数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130家次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130家次</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2"/>
                <w:szCs w:val="22"/>
              </w:rPr>
              <w:t>检查覆盖率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54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1"/>
                <w:szCs w:val="21"/>
                <w:lang w:val="en-US" w:eastAsia="zh-CN"/>
              </w:rPr>
              <w:t>免费给新办企业刻印章覆盖率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2"/>
                <w:szCs w:val="22"/>
              </w:rPr>
              <w:t>补助资金预算执行率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促进市场主体培育</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逐步提高</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逐步提高</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保障食品行业健康有序发展</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逐步提高</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rPr>
              <w:t>逐步提高</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生态环境</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稳中向好</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稳中向好</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18"/>
                <w:szCs w:val="18"/>
                <w:lang w:val="en-US" w:eastAsia="zh-CN"/>
              </w:rPr>
              <w:t>双牌市场主体发展情况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逐步提高</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逐步提高</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群众对监管成果的满意度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90%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90%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rPr>
              <w:t>　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2"/>
          <w:szCs w:val="24"/>
        </w:rPr>
        <w:sectPr>
          <w:footerReference r:id="rId3" w:type="default"/>
          <w:footerReference r:id="rId4"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       填报日期：         联系电话：         单位负责人签字：</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bookmarkStart w:id="7" w:name="_GoBack"/>
      <w:bookmarkEnd w:id="7"/>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5"/>
        <w:tblW w:w="93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62"/>
        <w:gridCol w:w="948"/>
        <w:gridCol w:w="930"/>
        <w:gridCol w:w="1078"/>
        <w:gridCol w:w="68"/>
        <w:gridCol w:w="1078"/>
        <w:gridCol w:w="1202"/>
        <w:gridCol w:w="718"/>
        <w:gridCol w:w="884"/>
        <w:gridCol w:w="14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双牌县市场监督管理局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1412.31</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1415.71</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1415.71</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1415.71</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1045.86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政府性基金拨款：</w:t>
            </w:r>
            <w:r>
              <w:rPr>
                <w:rFonts w:hint="eastAsia" w:asciiTheme="minorEastAsia" w:hAnsiTheme="minorEastAsia" w:eastAsiaTheme="minorEastAsia" w:cstheme="minorEastAsia"/>
                <w:color w:val="000000"/>
                <w:sz w:val="24"/>
                <w:szCs w:val="24"/>
                <w:lang w:val="en-US" w:eastAsia="zh-CN"/>
              </w:rPr>
              <w:t>0</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369.85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46"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强化执法力度，营造宽松平等的准入环境、公平竞争的市场环境、安全放心的消费环境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强化执法力度，营造宽松平等的准入环境、公平竞争的市场环境、安全放心的消费环境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药品医疗器械监督检查覆盖率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食用农产品不合格产品后处理率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0"/>
                <w:szCs w:val="20"/>
              </w:rPr>
              <w:t>开展餐饮单位量化评级工作，量化分级管理率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0"/>
                <w:szCs w:val="20"/>
              </w:rPr>
              <w:t>重要工业产品质量监督抽查合格率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90%</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95%</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支出时效</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2023.12</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2023.12</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支出控制在预算内</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促进市场稳步发展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维护消费者权益</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维护生态和谐</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促进可持续发展</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lang w:val="en-US" w:eastAsia="zh-CN"/>
              </w:rPr>
              <w:t>群众满意度</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良好</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8</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100</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无</w:t>
            </w:r>
          </w:p>
        </w:tc>
      </w:tr>
    </w:tbl>
    <w:p>
      <w:pPr>
        <w:pStyle w:val="2"/>
      </w:pPr>
      <w:r>
        <w:rPr>
          <w:rFonts w:hint="eastAsia" w:eastAsia="仿宋_GB2312"/>
          <w:sz w:val="22"/>
          <w:szCs w:val="24"/>
        </w:rPr>
        <w:t xml:space="preserve">填表人：        </w:t>
      </w:r>
      <w:r>
        <w:rPr>
          <w:rFonts w:hint="default" w:eastAsia="仿宋_GB2312"/>
          <w:sz w:val="22"/>
          <w:szCs w:val="24"/>
        </w:rPr>
        <w:t xml:space="preserve"> </w:t>
      </w:r>
      <w:r>
        <w:rPr>
          <w:rFonts w:hint="eastAsia" w:eastAsia="仿宋_GB2312"/>
          <w:sz w:val="22"/>
          <w:szCs w:val="24"/>
        </w:rPr>
        <w:t xml:space="preserve">填报日期：       </w:t>
      </w:r>
      <w:r>
        <w:rPr>
          <w:rFonts w:hint="default" w:eastAsia="仿宋_GB2312"/>
          <w:sz w:val="22"/>
          <w:szCs w:val="24"/>
        </w:rPr>
        <w:t xml:space="preserve">   </w:t>
      </w:r>
      <w:r>
        <w:rPr>
          <w:rFonts w:hint="eastAsia" w:eastAsia="仿宋_GB2312"/>
          <w:sz w:val="22"/>
          <w:szCs w:val="24"/>
        </w:rPr>
        <w:t>联系电话：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7093C3EA-491D-4823-881E-1A01101648A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4A6CECB-C903-4A61-B628-53523B2B0BA3}"/>
  </w:font>
  <w:font w:name="方正小标宋简体">
    <w:panose1 w:val="02000000000000000000"/>
    <w:charset w:val="86"/>
    <w:family w:val="script"/>
    <w:pitch w:val="default"/>
    <w:sig w:usb0="00000000" w:usb1="00000000" w:usb2="00000000" w:usb3="00000000" w:csb0="00000000" w:csb1="00000000"/>
    <w:embedRegular r:id="rId3" w:fontKey="{972DA97D-3976-4AEE-A3D5-4A0DF64753D6}"/>
  </w:font>
  <w:font w:name="仿宋_GB2312">
    <w:altName w:val="仿宋"/>
    <w:panose1 w:val="02010609030101010101"/>
    <w:charset w:val="86"/>
    <w:family w:val="modern"/>
    <w:pitch w:val="default"/>
    <w:sig w:usb0="00000000" w:usb1="00000000" w:usb2="00000000" w:usb3="00000000" w:csb0="00040000" w:csb1="00000000"/>
    <w:embedRegular r:id="rId4" w:fontKey="{BF7D4047-9C7C-4342-9091-EDFCEDE48B46}"/>
  </w:font>
  <w:font w:name="楷体_GB2312">
    <w:panose1 w:val="02010609030101010101"/>
    <w:charset w:val="86"/>
    <w:family w:val="modern"/>
    <w:pitch w:val="default"/>
    <w:sig w:usb0="00000000" w:usb1="00000000" w:usb2="00000000" w:usb3="00000000" w:csb0="00000000" w:csb1="00000000"/>
    <w:embedRegular r:id="rId5" w:fontKey="{CF66D0D3-6301-47D5-A31E-C3049F643CE8}"/>
  </w:font>
  <w:font w:name="仿宋">
    <w:panose1 w:val="02010609060101010101"/>
    <w:charset w:val="86"/>
    <w:family w:val="modern"/>
    <w:pitch w:val="default"/>
    <w:sig w:usb0="800002BF" w:usb1="38CF7CFA" w:usb2="00000016" w:usb3="00000000" w:csb0="00040001" w:csb1="00000000"/>
    <w:embedRegular r:id="rId6" w:fontKey="{1BD0C9C5-C77A-48A2-9BED-F5447590235B}"/>
  </w:font>
  <w:font w:name="Segoe UI">
    <w:panose1 w:val="020B0502040204020203"/>
    <w:charset w:val="00"/>
    <w:family w:val="auto"/>
    <w:pitch w:val="default"/>
    <w:sig w:usb0="E10022FF" w:usb1="C000E47F" w:usb2="00000029" w:usb3="00000000" w:csb0="200001DF" w:csb1="20000000"/>
    <w:embedRegular r:id="rId7" w:fontKey="{FF55C299-5998-40AB-926C-D8FADA8859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Vi9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08p8cLhiM5fv5y//Th//0yW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T1Yv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gUL1bCAQAAcAMAAA4AAAAAAAAAAQAgAAAAHgEAAGRycy9lMm9Eb2MueG1sUEsF&#10;BgAAAAAGAAYAWQEAAFIFAAAAAA==&#10;">
              <v:fill on="f" focussize="0,0"/>
              <v:stroke on="f"/>
              <v:imagedata o:title=""/>
              <o:lock v:ext="edit" aspectratio="f"/>
              <v:textbox inset="0mm,0mm,0mm,0mm" style="mso-fit-shape-to-text:t;">
                <w:txbxContent>
                  <w:p>
                    <w:pPr>
                      <w:pStyle w:val="4"/>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0DF13"/>
    <w:multiLevelType w:val="singleLevel"/>
    <w:tmpl w:val="51D0DF13"/>
    <w:lvl w:ilvl="0" w:tentative="0">
      <w:start w:val="4"/>
      <w:numFmt w:val="chineseCounting"/>
      <w:suff w:val="nothing"/>
      <w:lvlText w:val="%1、"/>
      <w:lvlJc w:val="left"/>
      <w:rPr>
        <w:rFonts w:hint="eastAsia"/>
      </w:rPr>
    </w:lvl>
  </w:abstractNum>
  <w:abstractNum w:abstractNumId="1">
    <w:nsid w:val="57EB91F6"/>
    <w:multiLevelType w:val="multilevel"/>
    <w:tmpl w:val="57EB91F6"/>
    <w:lvl w:ilvl="0" w:tentative="0">
      <w:start w:val="1"/>
      <w:numFmt w:val="chineseCounting"/>
      <w:suff w:val="nothing"/>
      <w:lvlText w:val="%1、"/>
      <w:lvlJc w:val="left"/>
      <w:pPr>
        <w:ind w:left="640" w:firstLine="0"/>
      </w:pPr>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2">
    <w:nsid w:val="703BF1F8"/>
    <w:multiLevelType w:val="singleLevel"/>
    <w:tmpl w:val="703BF1F8"/>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OTBhNWFmMmNkMTM0ZDNlOGZlODcxNzgxODhkZDYifQ=="/>
    <w:docVar w:name="KSO_WPS_MARK_KEY" w:val="c96456e1-48df-4eed-b8fd-19c7b207b89a"/>
  </w:docVars>
  <w:rsids>
    <w:rsidRoot w:val="00000000"/>
    <w:rsid w:val="13315BA7"/>
    <w:rsid w:val="16734728"/>
    <w:rsid w:val="1F0C3931"/>
    <w:rsid w:val="293009A9"/>
    <w:rsid w:val="34825E0A"/>
    <w:rsid w:val="38F82B3F"/>
    <w:rsid w:val="3CF655E7"/>
    <w:rsid w:val="438751EB"/>
    <w:rsid w:val="47A64B7B"/>
    <w:rsid w:val="4CCA6AD1"/>
    <w:rsid w:val="54241A57"/>
    <w:rsid w:val="54882C4A"/>
    <w:rsid w:val="583C6E9C"/>
    <w:rsid w:val="5E136238"/>
    <w:rsid w:val="628A21AA"/>
    <w:rsid w:val="62F45876"/>
    <w:rsid w:val="63FA30C1"/>
    <w:rsid w:val="651A4814"/>
    <w:rsid w:val="660B3602"/>
    <w:rsid w:val="6E6C4957"/>
    <w:rsid w:val="6EA67D62"/>
    <w:rsid w:val="7C0823C1"/>
    <w:rsid w:val="7EAB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qFormat/>
    <w:uiPriority w:val="0"/>
    <w:pPr>
      <w:widowControl w:val="0"/>
      <w:spacing w:before="100" w:beforeLines="0" w:beforeAutospacing="1" w:after="120" w:afterLines="0"/>
      <w:ind w:left="0" w:leftChars="200" w:firstLine="420" w:firstLineChars="200"/>
      <w:jc w:val="both"/>
    </w:pPr>
    <w:rPr>
      <w:rFonts w:hint="eastAsia" w:ascii="Times New Roman" w:hAnsi="Times New Roman" w:eastAsia="Times New Roman" w:cstheme="minorBidi"/>
      <w:kern w:val="2"/>
      <w:sz w:val="21"/>
      <w:szCs w:val="24"/>
      <w:lang w:val="en-US" w:eastAsia="zh-CN" w:bidi="ar-SA"/>
    </w:rPr>
  </w:style>
  <w:style w:type="paragraph" w:styleId="3">
    <w:name w:val="Body Text Indent"/>
    <w:qFormat/>
    <w:uiPriority w:val="0"/>
    <w:pPr>
      <w:widowControl w:val="0"/>
      <w:spacing w:beforeLines="0" w:after="120" w:afterLines="0"/>
      <w:ind w:left="420" w:leftChars="200"/>
      <w:jc w:val="both"/>
    </w:pPr>
    <w:rPr>
      <w:rFonts w:hint="eastAsia" w:ascii="Times New Roman" w:hAnsi="Times New Roman" w:eastAsia="Times New Roman" w:cstheme="minorBidi"/>
      <w:kern w:val="2"/>
      <w:sz w:val="21"/>
      <w:szCs w:val="24"/>
      <w:lang w:val="en-US" w:eastAsia="zh-CN" w:bidi="ar-SA"/>
    </w:rPr>
  </w:style>
  <w:style w:type="paragraph" w:styleId="4">
    <w:name w:val="footer"/>
    <w:basedOn w:val="1"/>
    <w:unhideWhenUsed/>
    <w:qFormat/>
    <w:uiPriority w:val="0"/>
    <w:pPr>
      <w:framePr w:wrap="around"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7">
    <w:name w:val="List Paragraph"/>
    <w:unhideWhenUsed/>
    <w:qFormat/>
    <w:uiPriority w:val="99"/>
    <w:pPr>
      <w:widowControl w:val="0"/>
      <w:spacing w:beforeLines="0" w:afterLines="0"/>
      <w:ind w:firstLine="420" w:firstLineChars="200"/>
      <w:jc w:val="both"/>
    </w:pPr>
    <w:rPr>
      <w:rFonts w:hint="default" w:ascii="Calibri" w:hAnsi="Calibri" w:eastAsia="Times New Roman" w:cstheme="minorBidi"/>
      <w:kern w:val="0"/>
      <w:sz w:val="2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2576</Words>
  <Characters>2730</Characters>
  <Lines>0</Lines>
  <Paragraphs>0</Paragraphs>
  <TotalTime>0</TotalTime>
  <ScaleCrop>false</ScaleCrop>
  <LinksUpToDate>false</LinksUpToDate>
  <CharactersWithSpaces>2745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2024-10-25T01:58:00Z</dcterms:created>
  <dc:creator>Administrator</dc:creator>
  <cp:lastModifiedBy>Administrator</cp:lastModifiedBy>
  <dcterms:modified xsi:type="dcterms:W3CDTF">2024-12-09T13:42:32Z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271F1427F14E494B90CCF5BDE428CCE6_12</vt:lpwstr>
  </property>
</Properties>
</file>