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cs="黑体" w:asciiTheme="minorEastAsia" w:hAnsiTheme="minorEastAsia" w:eastAsiaTheme="minorEastAsia"/>
          <w:sz w:val="30"/>
          <w:szCs w:val="30"/>
        </w:rPr>
      </w:pPr>
    </w:p>
    <w:p>
      <w:pPr>
        <w:widowControl/>
        <w:spacing w:line="500" w:lineRule="exact"/>
        <w:jc w:val="left"/>
        <w:rPr>
          <w:rFonts w:hint="default" w:cs="黑体" w:asciiTheme="minorEastAsia" w:hAnsiTheme="minorEastAsia" w:eastAsiaTheme="minorEastAsia"/>
          <w:sz w:val="30"/>
          <w:szCs w:val="30"/>
        </w:rPr>
      </w:pPr>
    </w:p>
    <w:p>
      <w:pPr>
        <w:widowControl/>
        <w:spacing w:line="500" w:lineRule="exact"/>
        <w:jc w:val="left"/>
        <w:rPr>
          <w:rFonts w:hint="default" w:cs="仿宋_GB2312" w:asciiTheme="minorEastAsia" w:hAnsiTheme="minorEastAsia" w:eastAsiaTheme="minorEastAsia"/>
          <w:sz w:val="30"/>
          <w:szCs w:val="30"/>
        </w:rPr>
      </w:pPr>
      <w:r>
        <w:rPr>
          <w:rFonts w:cs="黑体" w:asciiTheme="minorEastAsia" w:hAnsiTheme="minorEastAsia" w:eastAsiaTheme="minorEastAsia"/>
          <w:sz w:val="30"/>
          <w:szCs w:val="30"/>
        </w:rPr>
        <w:t>附件1</w:t>
      </w:r>
    </w:p>
    <w:p>
      <w:pPr>
        <w:spacing w:line="500" w:lineRule="exact"/>
        <w:jc w:val="center"/>
        <w:outlineLvl w:val="1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2023年度双牌县财政局整体支出</w:t>
      </w:r>
    </w:p>
    <w:p>
      <w:pPr>
        <w:spacing w:line="500" w:lineRule="exact"/>
        <w:jc w:val="center"/>
        <w:outlineLvl w:val="1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绩效自评报告</w:t>
      </w:r>
    </w:p>
    <w:p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ind w:firstLine="1800" w:firstLineChars="600"/>
        <w:rPr>
          <w:rFonts w:hint="default" w:asciiTheme="minorEastAsia" w:hAnsiTheme="minorEastAsia" w:eastAsiaTheme="minorEastAsia"/>
          <w:sz w:val="30"/>
          <w:szCs w:val="30"/>
          <w:u w:val="single"/>
        </w:rPr>
      </w:pPr>
      <w:r>
        <w:rPr>
          <w:rFonts w:asciiTheme="minorEastAsia" w:hAnsiTheme="minorEastAsia" w:eastAsiaTheme="minorEastAsia"/>
          <w:sz w:val="30"/>
          <w:szCs w:val="30"/>
        </w:rPr>
        <w:t>单位名称：</w:t>
      </w:r>
      <w:r>
        <w:rPr>
          <w:rFonts w:asciiTheme="minorEastAsia" w:hAnsiTheme="minorEastAsia" w:eastAsiaTheme="minorEastAsia"/>
          <w:sz w:val="30"/>
          <w:szCs w:val="30"/>
          <w:u w:val="single"/>
        </w:rPr>
        <w:t xml:space="preserve"> 双牌县财政局       </w:t>
      </w:r>
    </w:p>
    <w:p>
      <w:pPr>
        <w:spacing w:line="500" w:lineRule="exact"/>
        <w:ind w:firstLine="3000" w:firstLineChars="1000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ind w:firstLine="3000" w:firstLineChars="10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2024年 5 月26日</w:t>
      </w:r>
    </w:p>
    <w:p>
      <w:pPr>
        <w:spacing w:line="500" w:lineRule="exact"/>
        <w:jc w:val="center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spacing w:line="500" w:lineRule="exact"/>
        <w:jc w:val="center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（此页为封面）</w:t>
      </w:r>
    </w:p>
    <w:p>
      <w:pPr>
        <w:pStyle w:val="11"/>
        <w:spacing w:line="500" w:lineRule="exact"/>
        <w:ind w:left="709" w:firstLine="0" w:firstLineChars="0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br w:type="page"/>
      </w:r>
    </w:p>
    <w:p>
      <w:pPr>
        <w:pStyle w:val="11"/>
        <w:spacing w:line="500" w:lineRule="exact"/>
        <w:ind w:firstLine="6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一、部门整体情况</w:t>
      </w:r>
    </w:p>
    <w:p>
      <w:pPr>
        <w:spacing w:line="500" w:lineRule="exact"/>
        <w:ind w:left="709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一)、单位人员构成：县财政局年初在编在职实有人数83人。其中：行政人员48人，事业人员35人。退休人员59人，单位内设股室：</w:t>
      </w:r>
      <w:r>
        <w:rPr>
          <w:rFonts w:cs="宋体" w:asciiTheme="minorEastAsia" w:hAnsiTheme="minorEastAsia" w:eastAsiaTheme="minorEastAsia"/>
          <w:sz w:val="30"/>
          <w:szCs w:val="30"/>
        </w:rPr>
        <w:t>办公室、综合股、预算股、预算绩效管理股、国库股、企业股、经济建设股、农业股、行政政法教科文股、社会保障股、农村综合改革办公室、资产管理股、金融与债务股、财政监督检查股、监察室等15个职能股室，设双牌县政府采购监督管理办公室、双牌县财政投资评审中心、双牌县财政信息中心、双牌县国库支付核算中心、双牌县会计管理站、双牌县非税收入征收管理局、双牌县乡镇财政管理局、农信担保公司双牌分公司等8个归口管理单位。</w:t>
      </w:r>
    </w:p>
    <w:p>
      <w:pPr>
        <w:pStyle w:val="13"/>
        <w:spacing w:line="500" w:lineRule="exact"/>
        <w:ind w:left="710" w:leftChars="338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在编实有在职人数83人。其中:行政人员48人，事业人员35人。退休人员59人。</w:t>
      </w:r>
    </w:p>
    <w:p>
      <w:pPr>
        <w:pStyle w:val="13"/>
        <w:spacing w:line="500" w:lineRule="exact"/>
        <w:ind w:left="709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二)、主要职责职能</w:t>
      </w:r>
    </w:p>
    <w:p>
      <w:pPr>
        <w:pStyle w:val="13"/>
        <w:spacing w:line="500" w:lineRule="exact"/>
        <w:ind w:left="710" w:leftChars="338"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sz w:val="30"/>
          <w:szCs w:val="30"/>
        </w:rPr>
        <w:t>一)组织贯彻执行国家、省和市财税方针政策，拟定和执行全县财政制度、改革方案，指导全县财政工作；分析预测全县经济形势；提出运用财税政策实施调控和综合平衡全县社会财力的建议；贯彻执行有关分配政策，完善鼓励公益事业发展的财税意见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（二）起草财政、财务、会计管理规范性文件并监督实施。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三）承担县本级各项财政收支管理的责任。负责编制年度县本级预预算草案并组织执行。编制全县财政收支预算和部门预算，汇总全县部门预算和财政总预算；受全县人民政府委托，向县人民代表大会报告县本级、全县预算及其执行情况，向全县人大常委会报告预算。组织制定县本级经费开支标准、定额，负责审核批复部门(单位)的年度预预算。对财政性资金进行预算绩效管理，负责全县的预预算公开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四）负责政府非税收入管理，负责政府性基金管理，按规定管理行政事业性收费。管理财政票据。贯彻执行彩票监督管理政策和有关办法，管理彩票市场，会同有关部门监督和管理彩票公益金，管理其他彩票资金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（五）贯彻执行国库管理制度、国库集中支付制度，指导和监督县本级国库业务，按规定开展国库现金管理工作。负责制定政府采购制度并监督管理。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（六）贯彻执行国家、省和市税收法律、行政法规和税收调整政策，反馈政策执行情况，提出调整建议。参与县管理权限内有关税收政策及税收政策调整方案的调查研究，提出对策建议。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七）负责制定全县行政事业单位国有资产管理规章制度，会同有关部门管理行政事业单位国有资产，制定需要全县统一规定的开支标准和支出办法，负责财政预算内行政、事业单位和社会团体的非贸易外汇管理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八）负责审核和汇总编制全县国有资本经营预预算草案，制定国有资本经营预算的制度和办法，收取县本级企业国有资本收益，组织实施企业财务制度，按规定管理地方金融类企业国有资产，参与拟定企业国有资产管理相关制度，负责县级国有宣传文化、金融类企业的国有资产管理，按规定管理资产评估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九）负责办理和监督县财政经济发展支出、县级政府性投资项目的财政拨款，参与拟定县建设投资的有关规定，组织实施基本建设财务制度，负责有关政策性补贴和专项储备资金财政管理工作。负责农业综合开发管理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（十）会同有关部门管理全县财政社会保障和就业及医疗卫生支出，组织实施社会保障资金（基金）的财务管理制度，编制县社会保障预预算草案。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（十一）贯彻执行政府内外债务管理的政策、制度和办法，防范财政风险。负责统一管理县政府外债，制定基本管理制度。按规定管理外国政府和国际金融组织贷（赠）款。承担财税领域交流与合作的具体工作。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 （十二）负责管理全县的会计工作，监督和规范会计行为，组织实施国家统一的会计制度，在全县组织实施会计行政法规规章。负责组织全县会计从业人员培训和继续教育。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（十三）监督检查财税法规、政策的执行情况，反映财政收支管理中的重大问题，提出加强财政管理的意见和建议。</w:t>
      </w:r>
      <w:r>
        <w:rPr>
          <w:rFonts w:hint="eastAsia" w:cs="宋体" w:asciiTheme="minorEastAsia" w:hAnsiTheme="minorEastAsia" w:eastAsiaTheme="minorEastAsia"/>
          <w:sz w:val="30"/>
          <w:szCs w:val="30"/>
        </w:rPr>
        <w:br w:type="textWrapping"/>
      </w:r>
      <w:r>
        <w:rPr>
          <w:rFonts w:hint="eastAsia" w:cs="宋体" w:asciiTheme="minorEastAsia" w:hAnsiTheme="minorEastAsia" w:eastAsiaTheme="minorEastAsia"/>
          <w:sz w:val="30"/>
          <w:szCs w:val="30"/>
        </w:rPr>
        <w:t xml:space="preserve">  （十四）承办县人民政府交办的其他事项。</w:t>
      </w:r>
    </w:p>
    <w:p>
      <w:pPr>
        <w:spacing w:line="500" w:lineRule="exact"/>
        <w:ind w:firstLine="300" w:firstLineChars="100"/>
        <w:outlineLvl w:val="1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（三）、整体支出规模</w:t>
      </w:r>
    </w:p>
    <w:p>
      <w:pPr>
        <w:spacing w:line="500" w:lineRule="exact"/>
        <w:ind w:left="594" w:leftChars="283" w:firstLine="600" w:firstLineChars="200"/>
        <w:outlineLvl w:val="1"/>
        <w:rPr>
          <w:rFonts w:hint="default" w:asciiTheme="minorEastAsia" w:hAnsiTheme="minorEastAsia" w:eastAsiaTheme="minorEastAsia"/>
          <w:color w:val="000000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2023年双牌县财政局整体支出2356.44万元，其中：基本支出1108.76万元，项目支出1247.68万元。2023年“三公经费”支出33.45元。其中：公务用车运行维护费0万元，公务接待费33.45万元，比年初预算49万元减少15.55万元，主要是控制三公经费开支减少了公务接待费；比2022年减少8.92万元，主要是减少了公务接待费。</w:t>
      </w:r>
    </w:p>
    <w:p>
      <w:pPr>
        <w:spacing w:line="500" w:lineRule="exac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二、一般公共预算支出情况</w:t>
      </w:r>
    </w:p>
    <w:p>
      <w:pPr>
        <w:pStyle w:val="11"/>
        <w:spacing w:line="500" w:lineRule="exact"/>
        <w:ind w:firstLine="600"/>
        <w:outlineLvl w:val="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（一）基本支出情况</w:t>
      </w:r>
    </w:p>
    <w:p>
      <w:pPr>
        <w:pStyle w:val="11"/>
        <w:spacing w:line="500" w:lineRule="exact"/>
        <w:ind w:firstLine="600"/>
        <w:outlineLvl w:val="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   2023年基本支出年初预算批复数为1077.79，决算数为1108.76万元，执行率102.8%。其中：人员经费990.5万元，公用经费108.77万元。</w:t>
      </w:r>
    </w:p>
    <w:p>
      <w:pPr>
        <w:pStyle w:val="11"/>
        <w:spacing w:line="500" w:lineRule="exact"/>
        <w:ind w:firstLine="600"/>
        <w:outlineLvl w:val="1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（二）项目支出情况</w:t>
      </w:r>
    </w:p>
    <w:p>
      <w:pPr>
        <w:spacing w:line="500" w:lineRule="exact"/>
        <w:ind w:firstLine="600" w:firstLineChars="2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项目支出年初预算批复数为1460.68万元，2023年决算数为1247.68万元，执行率85.4%。部分绩效目标未完成的原因是：一是预算精准度有差距，二是项目有的还在实施中，还未完工结算。</w:t>
      </w:r>
    </w:p>
    <w:p>
      <w:pPr>
        <w:pStyle w:val="11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三、政府性基金预算支出情况。</w:t>
      </w:r>
    </w:p>
    <w:p>
      <w:pPr>
        <w:pStyle w:val="11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我单位2023年政府性基金收入130.34万元，支出130.34万元，主要用于国有资产评估费用和债券发行评估费用。</w:t>
      </w:r>
    </w:p>
    <w:p>
      <w:pPr>
        <w:pStyle w:val="11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四、国有资本经营预算支出情况。</w:t>
      </w:r>
    </w:p>
    <w:p>
      <w:pPr>
        <w:pStyle w:val="11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我单位无国有资本经营预算支出情况</w:t>
      </w:r>
    </w:p>
    <w:p>
      <w:pPr>
        <w:pStyle w:val="11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五、社会保险基金预算支出情况。</w:t>
      </w:r>
    </w:p>
    <w:p>
      <w:pPr>
        <w:pStyle w:val="11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我单位无</w:t>
      </w:r>
      <w:r>
        <w:rPr>
          <w:rFonts w:hint="eastAsia" w:asciiTheme="minorEastAsia" w:hAnsiTheme="minorEastAsia" w:eastAsiaTheme="minorEastAsia"/>
          <w:sz w:val="30"/>
          <w:szCs w:val="30"/>
        </w:rPr>
        <w:t>社会保险基金</w:t>
      </w: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预算支出情况</w:t>
      </w:r>
    </w:p>
    <w:p>
      <w:pPr>
        <w:spacing w:line="500" w:lineRule="exact"/>
        <w:ind w:firstLine="645"/>
        <w:jc w:val="lef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六、部门整体支出绩效情况</w:t>
      </w:r>
    </w:p>
    <w:p>
      <w:pPr>
        <w:pStyle w:val="13"/>
        <w:spacing w:line="500" w:lineRule="exact"/>
        <w:ind w:left="420" w:firstLine="750" w:firstLineChars="25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部门整体支出年初预算批复数为2538.47万元，2023年执行数为2356.44万元，执行率为92.8%。2023年我局认真做好年预算绩效运行监控工作，单位分管领导针对绩效监控工作精心组织、周密部署、把绩效监控工作列入重要议事日程，针对发现的绩效目标执行偏差和管理漏洞，及时采取有针对性的措施予以纠正，不断改进和加强预算绩效管理。</w:t>
      </w:r>
    </w:p>
    <w:p>
      <w:pPr>
        <w:pStyle w:val="13"/>
        <w:spacing w:line="500" w:lineRule="exact"/>
        <w:ind w:left="418" w:leftChars="199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1.预算编制情况：本单位预算编制合理，根据本部门职责、年初工作重点，以及项目的轻重缓急，在不同项目、不同用途之间分配合理。</w:t>
      </w:r>
    </w:p>
    <w:p>
      <w:pPr>
        <w:pStyle w:val="13"/>
        <w:spacing w:line="500" w:lineRule="exact"/>
        <w:ind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2.预算执行情况：</w:t>
      </w:r>
    </w:p>
    <w:p>
      <w:pPr>
        <w:pStyle w:val="13"/>
        <w:spacing w:line="500" w:lineRule="exact"/>
        <w:ind w:left="420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1）支出管理方面：本单位2023年按批复的预算文件履行当年预算，在预算内、范围内按预算安排支出。并按项目进度支付资金。严格按照先有预算，后有支出的原则，加强对财务、物资采购、资金使用等方面的管理，规范预算资金支出。</w:t>
      </w:r>
    </w:p>
    <w:p>
      <w:pPr>
        <w:pStyle w:val="13"/>
        <w:spacing w:line="500" w:lineRule="exact"/>
        <w:ind w:left="420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（2）资产管理方面。本单位资产管理职能由局办公室负责，设置专人负责国有资产的购置入库、报废、转移等工作的管理和监督，准确及时把握资产的增减变动及其结存情况，实现资产的安全生命周期管理。</w:t>
      </w:r>
    </w:p>
    <w:p>
      <w:pPr>
        <w:pStyle w:val="13"/>
        <w:spacing w:line="500" w:lineRule="exact"/>
        <w:ind w:left="420" w:firstLine="0" w:firstLineChars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3.预算监督情况：本单位2023年预决算和绩效目标已按规定要求在政府的网站公开。成立自评小组，在规定时间完成自评工作并按时报送材料。</w:t>
      </w:r>
    </w:p>
    <w:p>
      <w:pPr>
        <w:pStyle w:val="11"/>
        <w:spacing w:line="500" w:lineRule="exact"/>
        <w:ind w:firstLine="600"/>
        <w:jc w:val="left"/>
        <w:outlineLvl w:val="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七、存在的问题及原因分析</w:t>
      </w:r>
    </w:p>
    <w:p>
      <w:pPr>
        <w:spacing w:line="500" w:lineRule="exact"/>
        <w:ind w:firstLine="600" w:firstLineChars="2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（一）部门整体</w:t>
      </w:r>
    </w:p>
    <w:p>
      <w:pPr>
        <w:pStyle w:val="13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预算编制细化不够，年初预算的科目设置与实际发生情况有一定的出入，导致部分目标有偏差；其主要原因：一是年初单位的收入不确定，预算做的就不准确精细；二是责任人对目标任务梳理重视不够，主管人督促检查不够。</w:t>
      </w:r>
    </w:p>
    <w:p>
      <w:pPr>
        <w:spacing w:line="500" w:lineRule="exact"/>
        <w:ind w:firstLine="600" w:firstLineChars="20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（二）项目支出</w:t>
      </w:r>
    </w:p>
    <w:p>
      <w:pPr>
        <w:pStyle w:val="13"/>
        <w:spacing w:line="500" w:lineRule="exact"/>
        <w:ind w:firstLine="3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存在的问题：项目支出预算不精准，完成率、执行率有偏差。其原因是：临时安排项目难以估算，导致项目预算编制难度较大，对绩效管理有一定的影响。</w:t>
      </w:r>
    </w:p>
    <w:p>
      <w:pPr>
        <w:pStyle w:val="13"/>
        <w:spacing w:line="500" w:lineRule="exact"/>
        <w:ind w:firstLine="300"/>
        <w:rPr>
          <w:rFonts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八、下一步改进措施</w:t>
      </w:r>
    </w:p>
    <w:p>
      <w:pPr>
        <w:pStyle w:val="13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1、细化预算编制工作，认真做好预算的编制，进一步提高预算编制的科学性、严谨性和可行性。</w:t>
      </w:r>
    </w:p>
    <w:p>
      <w:pPr>
        <w:pStyle w:val="13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2、加强财务管理，严格财务审核。</w:t>
      </w:r>
    </w:p>
    <w:p>
      <w:pPr>
        <w:pStyle w:val="13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3、加强项目开展进度的跟踪。开展项目绩效评价评价，确保项目绩效目标的完成。</w:t>
      </w:r>
    </w:p>
    <w:p>
      <w:pPr>
        <w:spacing w:line="500" w:lineRule="exact"/>
        <w:ind w:firstLine="300" w:firstLineChars="100"/>
        <w:jc w:val="lef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九、部门整体支出绩效自评结果拟应用和公开情况</w:t>
      </w:r>
    </w:p>
    <w:p>
      <w:pPr>
        <w:spacing w:line="500" w:lineRule="exact"/>
        <w:ind w:firstLine="645"/>
        <w:jc w:val="left"/>
        <w:outlineLvl w:val="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已公开。</w:t>
      </w:r>
    </w:p>
    <w:p>
      <w:pPr>
        <w:spacing w:line="500" w:lineRule="exact"/>
        <w:ind w:firstLine="300" w:firstLineChars="100"/>
        <w:jc w:val="left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十、其他需要说明的情况</w:t>
      </w:r>
    </w:p>
    <w:p>
      <w:pPr>
        <w:spacing w:afterLines="50" w:line="500" w:lineRule="exact"/>
        <w:ind w:firstLine="750" w:firstLineChars="250"/>
        <w:rPr>
          <w:rFonts w:hint="default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无</w:t>
      </w:r>
    </w:p>
    <w:p>
      <w:pPr>
        <w:spacing w:afterLines="50" w:line="500" w:lineRule="exact"/>
        <w:rPr>
          <w:rFonts w:hint="default" w:asciiTheme="minorEastAsia" w:hAnsiTheme="minorEastAsia" w:eastAsia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8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89.25%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年决算数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1048.7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1077.8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1108.8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92.7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101.6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108.8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14.4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26.1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22.6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20.9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9.8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1.（一个项目一行）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财政事务运行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959.7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1460.68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1247.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2.（一个专项一行）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3.（一个项目一行） 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 填报日期：          联系电话：            单位负责人签字：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8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146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2538.5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2356.4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2356.4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92.83%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2356.4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2226.1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1108.8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960" w:firstLineChars="4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130.3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1680" w:firstLineChars="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地方一般公共预算收入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地方一般公共预算收入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62800万元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全年完成地方财政收入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65965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上争资金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全年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争取上级各项财政补助资金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10.4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亿元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全年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争取上级各项财政补助资金10.53亿元,占目标任务的101.28%。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绩效管理提升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推动财政管理与改革提质增效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印发实施方案》，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坚持稳中求进工作总基调，扎实开展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“绩效管理提升年”行动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财政监督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明确财政监督专项检查的时间、内容、方式和要求，规范工作程序，推动财政监督工作稳妥有序开展。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成立财政监督工作领导小组，加强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领导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二是制定《双牌县财政局2023年度监督检查计划》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,按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开展了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财政监督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检查。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财源建设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制定相关文件、安排工作任务、补齐税收管理短板、健全激励约束机制、强化组织保障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建立“三高四新”财源建设工程联席会议制度，抽调人员搭建工作专班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二是拟定全县重点财源建设计划并相应出台管理办法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,明确全年“三高四新”财源建设目标任务及具体举措，压紧压实各级各部门工作责任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三是统筹全县各方力量参与协税护税、依法治税，确保了收入目标顺利实现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债务化解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化解三类债务37918.49万元(隐性债务17144.66万元,关注类债务475.27万元,政府债务20298.56万元)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年实际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化解三类债务37918.49万元(隐性债务17144.66万元,关注类债务475.27万元,政府债务20298.56万元)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“三保支出”保障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将政策支持和财力保障的重点向保工资、保运转、保基本民生倾斜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从严从紧编制财政预算，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大力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压减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一般性及非重点支出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二是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深化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综合财政预算改革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实现上级专项资金、本级财政资金、单位自有资金的统筹管理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,切实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“三保”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支出需求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地方一般公共预算收入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地方一般公共预算收入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62800万元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全年完成地方财政收入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65965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万元，为调整预算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62800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万元的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105.04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上争资金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全年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争取上级各项财政补助资金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亿元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全年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争取上级各项财政补助资金10.53亿元,占目标任务的101.28%。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绩效管理提升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推动财政管理与改革提质增效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将绩效理念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和方法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深度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u w:val="none"/>
              </w:rPr>
              <w:t>嵌入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财政管理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全方位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、全过程，着力提升全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县财政系统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科学理财、依法行政、高效办事能力，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确保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财政资金分配使用更加规范、财税改革更加顺畅、财会监督更加权威、内部管理更加精细、积极的财政政策提质增效、更可持续，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财政监督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明确财政监督专项检查的时间、内容、方式和要求，规范工作程序，推动财政监督工作稳妥有序开展。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探索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建立财政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监督跨部门协作机制，组织开展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预决算公开、代理记账、政府采购、会计信息质量、内控制度建设、财政衔接推进乡村振兴补助资金及惠农补贴资金管理使用、防范化解政府性债务风险等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八大领域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专项检查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财源建设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制定相关文件、安排工作任务、补齐税收管理短板、健全激励约束机制、强化组织保障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建立“三高四新”财源建设工程联席会议制度，抽调人员搭建工作专班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二是拟定全县重点财源建设计划并相应出台管理办法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,明确全年“三高四新”财源建设目标任务及具体举措，压紧压实各级各部门工作责任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三是统筹全县各方力量参与协税护税、依法治税，确保了收入目标顺利实现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债务化解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化解三类债务37918.49万元(隐性债务17144.66万元,关注类债务475.27万元,政府债务20298.56万元)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化解三类债务3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79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元(隐性债务1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71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元,关注类债务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0.05亿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元,政府债务2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3亿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元)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“三保支出”保障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将政策支持和财力保障的重点向保工资、保运转、保基本民生倾斜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，全县完成地方一般预算支出216941万元，同比增长6.51%,其中“三保”支出111245万元占比51.28%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地方一般公共预算收入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预算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安排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地方一般公共预算收入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62800万元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同比增长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5.07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%，增幅排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全市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上争资金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全年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争取上级各项财政补助资金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亿元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切实保障了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社会事业发展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绩效管理提升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推动财政管理与改革提质增效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荣获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省财政厅市县财政部门预算绩效管理工作优秀奖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市县财政日常工作整体水平高质量评价A级。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财政监督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检查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明确财政监督专项检查的时间、内容、方式和要求，规范工作程序，推动财政监督工作稳妥有序开展。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严肃整饬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财经秩序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财源建设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制定相关文件、安排工作任务、补齐税收管理短板、健全激励约束机制、强化组织保障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我县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2023年度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财源建设考核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排全市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债务化解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年计划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化解三类债务37918.49万元(隐性债务17144.66万元,关注类债务475.27万元,政府债务20298.56万元)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全年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债务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风险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可防可控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出现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任何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政府性债务风险事件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“三保支出”保障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将政策支持和财力保障的重点向保工资、保运转、保基本民生倾斜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进一步兜牢兜实了“三保”底线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服务对象满意度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eastAsia="仿宋_GB2312"/>
          <w:sz w:val="22"/>
          <w:szCs w:val="24"/>
        </w:rPr>
        <w:t xml:space="preserve">填表人：        </w:t>
      </w:r>
      <w:r>
        <w:rPr>
          <w:rFonts w:hint="default" w:eastAsia="仿宋_GB2312"/>
          <w:sz w:val="22"/>
          <w:szCs w:val="24"/>
        </w:rPr>
        <w:t xml:space="preserve"> </w:t>
      </w:r>
      <w:r>
        <w:rPr>
          <w:rFonts w:hint="eastAsia" w:eastAsia="仿宋_GB2312"/>
          <w:sz w:val="22"/>
          <w:szCs w:val="24"/>
        </w:rPr>
        <w:t xml:space="preserve">填报日期：       </w:t>
      </w:r>
      <w:r>
        <w:rPr>
          <w:rFonts w:hint="default" w:eastAsia="仿宋_GB2312"/>
          <w:sz w:val="22"/>
          <w:szCs w:val="24"/>
        </w:rPr>
        <w:t xml:space="preserve">   </w:t>
      </w:r>
      <w:r>
        <w:rPr>
          <w:rFonts w:hint="eastAsia" w:eastAsia="仿宋_GB2312"/>
          <w:sz w:val="22"/>
          <w:szCs w:val="24"/>
        </w:rPr>
        <w:t>联系电话：        单位负责人签字：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8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财政事务运行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1460.68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项目支出管理实行先申报项目，后实施项目的原则，实行一支笔审批。专款专用。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2023年年初预算1460.68万元，执行数1247.6万元，执行率为85.4%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年初项目预算未做精细，造成年末项目执行数有偏差。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争取年初项目预算做精细，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无</w:t>
            </w: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/>
    <w:p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202</w:t>
      </w:r>
      <w:r>
        <w:rPr>
          <w:rFonts w:hint="eastAsia" w:ascii="方正小标宋简体" w:eastAsia="方正小标宋简体"/>
          <w:sz w:val="44"/>
          <w:szCs w:val="2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8"/>
        <w:tblW w:w="94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230"/>
        <w:gridCol w:w="1140"/>
        <w:gridCol w:w="1140"/>
        <w:gridCol w:w="832"/>
        <w:gridCol w:w="877"/>
        <w:gridCol w:w="1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财政事务运行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双牌县财政局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1460.68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85.4%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1460.68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0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1460.68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1460.68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9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1460.68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资金总额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1460.68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1247.6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资金使用合格率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19.5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1-12月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资金使用效率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生态效率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社会效率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服务对象满意度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9.5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default" w:eastAsia="仿宋_GB2312"/>
          <w:sz w:val="22"/>
          <w:szCs w:val="24"/>
        </w:rPr>
        <w:sectPr>
          <w:footerReference r:id="rId3" w:type="default"/>
          <w:footerReference r:id="rId4" w:type="even"/>
          <w:pgSz w:w="11905" w:h="16837"/>
          <w:pgMar w:top="1440" w:right="1701" w:bottom="1440" w:left="1701" w:header="851" w:footer="1474" w:gutter="0"/>
          <w:lnNumType w:countBy="0" w:distance="360"/>
          <w:pgNumType w:fmt="numberInDash" w:start="1"/>
          <w:cols w:space="0" w:num="1"/>
          <w:rtlGutter w:val="0"/>
          <w:docGrid w:type="lines" w:linePitch="636" w:charSpace="0"/>
        </w:sect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       填报日期：         联系电话：         单位负责人签字：</w:t>
      </w:r>
    </w:p>
    <w:p>
      <w:bookmarkStart w:id="0" w:name="_GoBack"/>
      <w:bookmarkEnd w:id="0"/>
      <w:r>
        <w:rPr>
          <w:rFonts w:hint="default" w:eastAsia="仿宋_GB2312"/>
          <w:sz w:val="22"/>
          <w:szCs w:val="24"/>
        </w:rPr>
        <w:br w:type="page"/>
      </w:r>
    </w:p>
    <w:p>
      <w:pPr>
        <w:spacing w:afterLines="50" w:line="500" w:lineRule="exact"/>
        <w:rPr>
          <w:rFonts w:hint="default" w:asciiTheme="minorEastAsia" w:hAnsiTheme="minorEastAsia" w:eastAsiaTheme="minorEastAsia"/>
          <w:sz w:val="30"/>
          <w:szCs w:val="30"/>
        </w:rPr>
      </w:pPr>
    </w:p>
    <w:sectPr>
      <w:headerReference r:id="rId5" w:type="default"/>
      <w:footerReference r:id="rId6" w:type="default"/>
      <w:footerReference r:id="rId7" w:type="even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DQ5G9X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9Jp7zCAQAAc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gWKvQ8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5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 w:cs="宋体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qxLvYscBAAB+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>
                      <w:rPr>
                        <w:rFonts w:hint="default" w:ascii="宋体" w:hAnsi="宋体" w:cs="宋体"/>
                        <w:szCs w:val="18"/>
                      </w:rPr>
                      <w:t>4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rFonts w:hint="default" w:eastAsia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橄ポ嗠ե֠찔ㆰ"/>
  </w:docVars>
  <w:rsids>
    <w:rsidRoot w:val="00172A27"/>
    <w:rsid w:val="000A715F"/>
    <w:rsid w:val="00172A27"/>
    <w:rsid w:val="002735CC"/>
    <w:rsid w:val="002B2C9E"/>
    <w:rsid w:val="00310ACA"/>
    <w:rsid w:val="004701CB"/>
    <w:rsid w:val="004B2321"/>
    <w:rsid w:val="004E53DE"/>
    <w:rsid w:val="004F63C6"/>
    <w:rsid w:val="005A71BF"/>
    <w:rsid w:val="006302F7"/>
    <w:rsid w:val="006D252C"/>
    <w:rsid w:val="00712953"/>
    <w:rsid w:val="00715F33"/>
    <w:rsid w:val="00813277"/>
    <w:rsid w:val="0082772C"/>
    <w:rsid w:val="00894577"/>
    <w:rsid w:val="009246A2"/>
    <w:rsid w:val="00987F02"/>
    <w:rsid w:val="00B164B2"/>
    <w:rsid w:val="00B23F5C"/>
    <w:rsid w:val="00B25C41"/>
    <w:rsid w:val="00B358CD"/>
    <w:rsid w:val="00C77B48"/>
    <w:rsid w:val="00C86437"/>
    <w:rsid w:val="00CA12E4"/>
    <w:rsid w:val="00D73212"/>
    <w:rsid w:val="00DB07B9"/>
    <w:rsid w:val="00DD6140"/>
    <w:rsid w:val="00E915DB"/>
    <w:rsid w:val="00E97DCF"/>
    <w:rsid w:val="00F53FD5"/>
    <w:rsid w:val="00FA0542"/>
    <w:rsid w:val="00FC262B"/>
    <w:rsid w:val="06702AED"/>
    <w:rsid w:val="0CCE5073"/>
    <w:rsid w:val="101F3C57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4756501"/>
    <w:rsid w:val="2AF82401"/>
    <w:rsid w:val="31EF3498"/>
    <w:rsid w:val="33457B5A"/>
    <w:rsid w:val="33EA0D37"/>
    <w:rsid w:val="3DFB432B"/>
    <w:rsid w:val="41A60F90"/>
    <w:rsid w:val="41BD1973"/>
    <w:rsid w:val="437042B4"/>
    <w:rsid w:val="43D25C86"/>
    <w:rsid w:val="47FF7E2A"/>
    <w:rsid w:val="4A7E5437"/>
    <w:rsid w:val="4B490F32"/>
    <w:rsid w:val="4B564457"/>
    <w:rsid w:val="4C575977"/>
    <w:rsid w:val="4DF30F3A"/>
    <w:rsid w:val="4E8B7C40"/>
    <w:rsid w:val="4F1637A4"/>
    <w:rsid w:val="500F1BD2"/>
    <w:rsid w:val="51C40746"/>
    <w:rsid w:val="543E6CC0"/>
    <w:rsid w:val="55412274"/>
    <w:rsid w:val="55C03679"/>
    <w:rsid w:val="57C446E9"/>
    <w:rsid w:val="58820FB8"/>
    <w:rsid w:val="5ABA52A9"/>
    <w:rsid w:val="5C8E01AF"/>
    <w:rsid w:val="62BE6D8B"/>
    <w:rsid w:val="64E742EF"/>
    <w:rsid w:val="684B0AD7"/>
    <w:rsid w:val="75073918"/>
    <w:rsid w:val="771A18F7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5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hint="default" w:ascii="Calibri" w:hAnsi="Calibri" w:eastAsia="宋体"/>
      <w:kern w:val="0"/>
      <w:sz w:val="24"/>
    </w:rPr>
  </w:style>
  <w:style w:type="paragraph" w:customStyle="1" w:styleId="10">
    <w:name w:val="列出段落1"/>
    <w:basedOn w:val="1"/>
    <w:unhideWhenUsed/>
    <w:qFormat/>
    <w:uiPriority w:val="34"/>
    <w:pPr>
      <w:ind w:firstLine="420" w:firstLineChars="200"/>
    </w:pPr>
    <w:rPr>
      <w:rFonts w:ascii="仿宋" w:hAnsi="仿宋" w:eastAsia="仿宋"/>
      <w:kern w:val="0"/>
      <w:sz w:val="2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hint="default" w:ascii="Calibri" w:hAnsi="Calibri"/>
      <w:kern w:val="0"/>
      <w:sz w:val="28"/>
    </w:rPr>
  </w:style>
  <w:style w:type="character" w:customStyle="1" w:styleId="12">
    <w:name w:val="页眉 Char"/>
    <w:basedOn w:val="9"/>
    <w:link w:val="6"/>
    <w:qFormat/>
    <w:uiPriority w:val="0"/>
    <w:rPr>
      <w:rFonts w:ascii="Times New Roman" w:hAnsi="Times New Roman" w:eastAsia="Times New Roman"/>
      <w:kern w:val="2"/>
      <w:sz w:val="18"/>
      <w:szCs w:val="18"/>
    </w:rPr>
  </w:style>
  <w:style w:type="paragraph" w:customStyle="1" w:styleId="13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rFonts w:hint="default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00F975-67E0-4BA9-A64B-880D62DDEB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2783</Words>
  <Characters>2934</Characters>
  <Lines>21</Lines>
  <Paragraphs>6</Paragraphs>
  <TotalTime>0</TotalTime>
  <ScaleCrop>false</ScaleCrop>
  <LinksUpToDate>false</LinksUpToDate>
  <CharactersWithSpaces>2974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2023-09-18T00:54:00Z</cp:lastPrinted>
  <dcterms:modified xsi:type="dcterms:W3CDTF">2024-12-05T02:56:13Z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7EA8E49729D7443691F09F57896FE97B_13</vt:lpwstr>
  </property>
</Properties>
</file>