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017BE">
      <w:pPr>
        <w:spacing w:line="600" w:lineRule="exact"/>
        <w:rPr>
          <w:rFonts w:eastAsia="黑体"/>
          <w:kern w:val="0"/>
          <w:sz w:val="32"/>
          <w:szCs w:val="32"/>
        </w:rPr>
      </w:pPr>
    </w:p>
    <w:p w14:paraId="1D99DCE3">
      <w:pPr>
        <w:jc w:val="center"/>
        <w:rPr>
          <w:sz w:val="48"/>
          <w:szCs w:val="48"/>
        </w:rPr>
      </w:pPr>
      <w:bookmarkStart w:id="1" w:name="_GoBack"/>
      <w:bookmarkEnd w:id="1"/>
      <w:r>
        <w:rPr>
          <w:rFonts w:hint="eastAsia"/>
          <w:sz w:val="48"/>
          <w:szCs w:val="48"/>
          <w:lang w:eastAsia="zh-CN"/>
        </w:rPr>
        <w:t>2023</w:t>
      </w:r>
      <w:r>
        <w:rPr>
          <w:rFonts w:hint="eastAsia"/>
          <w:sz w:val="48"/>
          <w:szCs w:val="48"/>
        </w:rPr>
        <w:t>年度县侨联部门整体</w:t>
      </w:r>
    </w:p>
    <w:p w14:paraId="43DB065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支出绩效自评报告</w:t>
      </w:r>
    </w:p>
    <w:p w14:paraId="3B6687E9">
      <w:pPr>
        <w:jc w:val="center"/>
        <w:rPr>
          <w:sz w:val="48"/>
          <w:szCs w:val="48"/>
        </w:rPr>
      </w:pPr>
    </w:p>
    <w:p w14:paraId="51FCFA42">
      <w:pPr>
        <w:jc w:val="center"/>
        <w:rPr>
          <w:rFonts w:eastAsia="黑体"/>
          <w:sz w:val="32"/>
          <w:szCs w:val="32"/>
        </w:rPr>
      </w:pPr>
    </w:p>
    <w:p w14:paraId="0A7696A0">
      <w:pPr>
        <w:jc w:val="center"/>
        <w:rPr>
          <w:rFonts w:eastAsia="黑体"/>
          <w:sz w:val="32"/>
          <w:szCs w:val="32"/>
        </w:rPr>
      </w:pPr>
    </w:p>
    <w:p w14:paraId="33CDB15D">
      <w:pPr>
        <w:jc w:val="center"/>
        <w:rPr>
          <w:rFonts w:eastAsia="黑体"/>
          <w:sz w:val="32"/>
          <w:szCs w:val="32"/>
        </w:rPr>
      </w:pPr>
    </w:p>
    <w:p w14:paraId="422D3718">
      <w:pPr>
        <w:jc w:val="center"/>
        <w:rPr>
          <w:rFonts w:eastAsia="黑体"/>
          <w:sz w:val="32"/>
          <w:szCs w:val="32"/>
        </w:rPr>
      </w:pPr>
    </w:p>
    <w:p w14:paraId="1B078C9C">
      <w:pPr>
        <w:jc w:val="center"/>
        <w:rPr>
          <w:rFonts w:eastAsia="黑体"/>
          <w:sz w:val="32"/>
          <w:szCs w:val="32"/>
        </w:rPr>
      </w:pPr>
    </w:p>
    <w:p w14:paraId="5C22571C">
      <w:pPr>
        <w:jc w:val="center"/>
        <w:rPr>
          <w:rFonts w:eastAsia="黑体"/>
          <w:sz w:val="32"/>
          <w:szCs w:val="32"/>
        </w:rPr>
      </w:pPr>
    </w:p>
    <w:p w14:paraId="726EB465">
      <w:pPr>
        <w:jc w:val="center"/>
        <w:rPr>
          <w:rFonts w:eastAsia="黑体"/>
          <w:sz w:val="32"/>
          <w:szCs w:val="32"/>
        </w:rPr>
      </w:pPr>
    </w:p>
    <w:p w14:paraId="05E2C223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75E81274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78B1C55B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1515B39A">
      <w:pPr>
        <w:ind w:firstLine="880" w:firstLineChars="200"/>
        <w:jc w:val="center"/>
        <w:rPr>
          <w:rFonts w:eastAsia="黑体"/>
          <w:sz w:val="44"/>
          <w:szCs w:val="44"/>
        </w:rPr>
      </w:pPr>
    </w:p>
    <w:p w14:paraId="1EB00774">
      <w:pPr>
        <w:ind w:firstLine="720" w:firstLineChars="200"/>
        <w:jc w:val="center"/>
        <w:rPr>
          <w:rFonts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单位名称（盖章）：</w:t>
      </w:r>
      <w:r>
        <w:rPr>
          <w:rFonts w:hint="eastAsia" w:ascii="黑体" w:hAnsi="黑体" w:eastAsia="黑体"/>
          <w:sz w:val="36"/>
          <w:szCs w:val="36"/>
        </w:rPr>
        <w:t>双牌县归侨侨眷联合会</w:t>
      </w:r>
    </w:p>
    <w:p w14:paraId="16794A9C">
      <w:pPr>
        <w:jc w:val="center"/>
        <w:rPr>
          <w:rFonts w:eastAsia="黑体"/>
          <w:sz w:val="32"/>
          <w:szCs w:val="32"/>
        </w:rPr>
      </w:pPr>
    </w:p>
    <w:p w14:paraId="56C0C1B3">
      <w:pPr>
        <w:jc w:val="center"/>
        <w:rPr>
          <w:rFonts w:eastAsia="黑体"/>
          <w:sz w:val="32"/>
          <w:szCs w:val="32"/>
        </w:rPr>
      </w:pPr>
    </w:p>
    <w:p w14:paraId="4A24392F">
      <w:pPr>
        <w:jc w:val="center"/>
        <w:rPr>
          <w:rFonts w:eastAsia="黑体"/>
          <w:sz w:val="32"/>
          <w:szCs w:val="32"/>
        </w:rPr>
      </w:pPr>
    </w:p>
    <w:p w14:paraId="738EB6F7">
      <w:pPr>
        <w:jc w:val="center"/>
        <w:rPr>
          <w:rFonts w:eastAsia="黑体"/>
          <w:sz w:val="32"/>
          <w:szCs w:val="32"/>
        </w:rPr>
      </w:pPr>
    </w:p>
    <w:p w14:paraId="42965364">
      <w:pPr>
        <w:jc w:val="center"/>
        <w:rPr>
          <w:rFonts w:eastAsia="黑体"/>
          <w:sz w:val="32"/>
          <w:szCs w:val="32"/>
        </w:rPr>
      </w:pPr>
    </w:p>
    <w:p w14:paraId="68E41F92">
      <w:pPr>
        <w:rPr>
          <w:rFonts w:eastAsia="黑体"/>
          <w:sz w:val="32"/>
          <w:szCs w:val="32"/>
        </w:rPr>
      </w:pPr>
    </w:p>
    <w:p w14:paraId="6EAE5009"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基本情况</w:t>
      </w:r>
    </w:p>
    <w:p w14:paraId="226AEE70">
      <w:pPr>
        <w:numPr>
          <w:ilvl w:val="0"/>
          <w:numId w:val="2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部门（单位）基本情况</w:t>
      </w:r>
    </w:p>
    <w:p w14:paraId="492C3C1A"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本单位共有编制3人，其中：行政编制0人，工勤编制1人，事业管理编制2人；实有在职人员3人（全额3人），其中：行政人员0人，工勤人员1人，事业管理人员2人。单位离退休人员0人，享受独生子女奖励人员0人（其中：在职人员0人）。单位实有车辆0台，房屋建筑物面积35平方米，计算机3台，打印机2台，复印机0台，传真机0台，柜式空调0台，挂式空调2台，电话2部等。 </w:t>
      </w:r>
    </w:p>
    <w:p w14:paraId="590B491F">
      <w:pPr>
        <w:widowControl/>
        <w:spacing w:line="600" w:lineRule="exact"/>
        <w:ind w:firstLine="590" w:firstLineChars="196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部门职能职责：</w:t>
      </w:r>
    </w:p>
    <w:p w14:paraId="37A03A9E">
      <w:pPr>
        <w:widowControl/>
        <w:spacing w:line="600" w:lineRule="exact"/>
        <w:ind w:firstLine="590" w:firstLineChars="196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</w:t>
      </w:r>
      <w:r>
        <w:rPr>
          <w:rFonts w:hint="eastAsia" w:eastAsia="仿宋_GB2312"/>
          <w:sz w:val="32"/>
          <w:szCs w:val="32"/>
        </w:rPr>
        <w:t>1）宣传、贯彻党和政府的方针、政策、团结和动员归侨、侨眷积极参加我县的改革开放和社会主义现代化建设。</w:t>
      </w:r>
    </w:p>
    <w:p w14:paraId="757CDF80"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（2）依法维护归侨、侨眷的依法权益，为广大归侨、侨眷和海外侨胞提供法律咨询服务。</w:t>
      </w:r>
    </w:p>
    <w:p w14:paraId="5D43C3C3"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（3）围绕经济建设，广泛深入地开展凝聚侨心、发挥侨力，引进资金，技术，设备和人才的工作。协助和联络海外侨胞来双牌投资兴办及各种公益事业，并为侨属企业、侨资企业提供服务。</w:t>
      </w:r>
    </w:p>
    <w:p w14:paraId="173421F9">
      <w:pPr>
        <w:widowControl/>
        <w:spacing w:line="6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( 4 )制定全县侨联的工作计划和发展规划，并组织实施；负责督办全县归侨、侨眷代表大会及委员会决议的实施。</w:t>
      </w:r>
    </w:p>
    <w:p w14:paraId="0ABAB01E"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（5）积极参政议政，参与人大、政协的侨界代表委员人选的协商和推荐工作。</w:t>
      </w:r>
    </w:p>
    <w:p w14:paraId="27F9FFD5"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（6）密切于海外侨胞社团的联系，广泛了解归侨、侨眷和海外侨胞的意见和要求，为党和政府制定侨务政策提出意见和建议。</w:t>
      </w:r>
    </w:p>
    <w:p w14:paraId="7D6A2C13"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（7）按照中央、国务院和省、市、县委的要求，认真开展侨务工作，为祖国的统一大业服务。</w:t>
      </w:r>
    </w:p>
    <w:p w14:paraId="00311A2C"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 （8）指导全县侨联组织的业务工作。</w:t>
      </w:r>
    </w:p>
    <w:p w14:paraId="4CCD29B4">
      <w:pPr>
        <w:widowControl/>
        <w:spacing w:line="600" w:lineRule="exact"/>
        <w:ind w:firstLine="627" w:firstLineChars="19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 （9）承办县委、县人民政府交办的其他事项。</w:t>
      </w:r>
    </w:p>
    <w:p w14:paraId="346BE883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 w14:paraId="60E5F2C7">
      <w:pPr>
        <w:numPr>
          <w:ilvl w:val="0"/>
          <w:numId w:val="3"/>
        </w:numPr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部门（单位）年度整体支出绩效目标，项目支出绩效目标</w:t>
      </w:r>
    </w:p>
    <w:p w14:paraId="4FDC7436"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本部门整体支出和项目支出实行绩效目标管理，</w:t>
      </w:r>
      <w:r>
        <w:rPr>
          <w:rFonts w:hint="eastAsia" w:eastAsia="仿宋_GB2312"/>
          <w:sz w:val="32"/>
          <w:szCs w:val="32"/>
          <w:lang w:eastAsia="zh-CN"/>
        </w:rPr>
        <w:t>2023</w:t>
      </w:r>
      <w:r>
        <w:rPr>
          <w:rFonts w:hint="eastAsia" w:eastAsia="仿宋_GB2312"/>
          <w:sz w:val="32"/>
          <w:szCs w:val="32"/>
        </w:rPr>
        <w:t>年，本部门支出36.28万元，支出较去年减少 0.93  万元，主要是年末结转经费。</w:t>
      </w:r>
    </w:p>
    <w:p w14:paraId="6CBCD364">
      <w:pPr>
        <w:autoSpaceDE w:val="0"/>
        <w:autoSpaceDN w:val="0"/>
        <w:adjustRightInd w:val="0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</w:p>
    <w:p w14:paraId="545BC125">
      <w:pPr>
        <w:pStyle w:val="8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二、一般公共预算支出情况</w:t>
      </w:r>
    </w:p>
    <w:p w14:paraId="6E4A6B2F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</w:t>
      </w:r>
      <w:r>
        <w:rPr>
          <w:rFonts w:eastAsia="仿宋_GB2312"/>
          <w:sz w:val="32"/>
          <w:szCs w:val="32"/>
        </w:rPr>
        <w:t>本部门一般公共预算拨款支出预算</w:t>
      </w:r>
      <w:r>
        <w:rPr>
          <w:rFonts w:hint="eastAsia" w:eastAsia="仿宋_GB2312"/>
          <w:sz w:val="32"/>
          <w:szCs w:val="32"/>
        </w:rPr>
        <w:t>36.28</w:t>
      </w:r>
      <w:r>
        <w:rPr>
          <w:rFonts w:eastAsia="仿宋_GB2312"/>
          <w:sz w:val="32"/>
          <w:szCs w:val="32"/>
        </w:rPr>
        <w:t>万元，其中，</w:t>
      </w:r>
      <w:r>
        <w:rPr>
          <w:rFonts w:hint="eastAsia" w:eastAsia="仿宋_GB2312"/>
          <w:sz w:val="32"/>
          <w:szCs w:val="32"/>
        </w:rPr>
        <w:t>基本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36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</w:rPr>
        <w:t>86.1</w:t>
      </w:r>
      <w:r>
        <w:rPr>
          <w:rFonts w:eastAsia="仿宋_GB2312"/>
          <w:sz w:val="32"/>
          <w:szCs w:val="32"/>
        </w:rPr>
        <w:t>%；</w:t>
      </w:r>
      <w:r>
        <w:rPr>
          <w:rFonts w:hint="eastAsia" w:eastAsia="仿宋_GB2312"/>
          <w:sz w:val="32"/>
          <w:szCs w:val="32"/>
        </w:rPr>
        <w:t>占项目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6.9</w:t>
      </w:r>
      <w:r>
        <w:rPr>
          <w:rFonts w:eastAsia="仿宋_GB2312"/>
          <w:sz w:val="32"/>
          <w:szCs w:val="32"/>
        </w:rPr>
        <w:t>万元，占</w:t>
      </w:r>
      <w:r>
        <w:rPr>
          <w:rFonts w:hint="eastAsia" w:eastAsia="仿宋_GB2312"/>
          <w:sz w:val="32"/>
          <w:szCs w:val="32"/>
        </w:rPr>
        <w:t>13.9</w:t>
      </w:r>
      <w:r>
        <w:rPr>
          <w:rFonts w:eastAsia="仿宋_GB2312"/>
          <w:sz w:val="32"/>
          <w:szCs w:val="32"/>
        </w:rPr>
        <w:t>%。具体安排情况如下：</w:t>
      </w:r>
    </w:p>
    <w:p w14:paraId="3145DAFF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（一）基本支出：</w:t>
      </w:r>
      <w:r>
        <w:rPr>
          <w:rFonts w:hint="eastAsia" w:eastAsia="仿宋_GB2312"/>
          <w:sz w:val="32"/>
          <w:szCs w:val="32"/>
          <w:lang w:eastAsia="zh-CN"/>
        </w:rPr>
        <w:t>2023</w:t>
      </w:r>
      <w:r>
        <w:rPr>
          <w:rFonts w:eastAsia="仿宋_GB2312"/>
          <w:sz w:val="32"/>
          <w:szCs w:val="32"/>
        </w:rPr>
        <w:t>年本部门基本支出预算数</w:t>
      </w:r>
      <w:r>
        <w:rPr>
          <w:rFonts w:hint="eastAsia" w:eastAsia="仿宋_GB2312"/>
          <w:sz w:val="32"/>
          <w:szCs w:val="32"/>
        </w:rPr>
        <w:t>32.9</w:t>
      </w:r>
      <w:r>
        <w:rPr>
          <w:rFonts w:eastAsia="仿宋_GB2312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62544222">
      <w:pPr>
        <w:pStyle w:val="8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（二）项目支出情况</w:t>
      </w:r>
    </w:p>
    <w:p w14:paraId="5521DE1F">
      <w:pPr>
        <w:widowControl/>
        <w:spacing w:line="600" w:lineRule="exact"/>
        <w:ind w:firstLine="66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2023</w:t>
      </w:r>
      <w:r>
        <w:rPr>
          <w:rFonts w:eastAsia="仿宋_GB2312"/>
          <w:sz w:val="32"/>
          <w:szCs w:val="32"/>
        </w:rPr>
        <w:t>年本部门项目支出预算</w:t>
      </w:r>
      <w:r>
        <w:rPr>
          <w:rFonts w:hint="eastAsia" w:eastAsia="仿宋_GB2312"/>
          <w:sz w:val="32"/>
          <w:szCs w:val="32"/>
        </w:rPr>
        <w:t>2.1</w:t>
      </w:r>
      <w:r>
        <w:rPr>
          <w:rFonts w:eastAsia="仿宋_GB2312"/>
          <w:sz w:val="32"/>
          <w:szCs w:val="32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hint="eastAsia" w:eastAsia="仿宋_GB2312"/>
          <w:sz w:val="32"/>
          <w:szCs w:val="32"/>
        </w:rPr>
        <w:t>华侨接待工作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等方面；</w:t>
      </w:r>
      <w:r>
        <w:rPr>
          <w:rFonts w:hint="eastAsia" w:eastAsia="仿宋_GB2312"/>
          <w:sz w:val="32"/>
          <w:szCs w:val="32"/>
        </w:rPr>
        <w:t>侨法宣传工作支出，扶侨帮困</w:t>
      </w:r>
      <w:r>
        <w:rPr>
          <w:rFonts w:eastAsia="仿宋_GB2312"/>
          <w:sz w:val="32"/>
          <w:szCs w:val="32"/>
        </w:rPr>
        <w:t>支出</w:t>
      </w:r>
      <w:r>
        <w:rPr>
          <w:rFonts w:hint="eastAsia" w:eastAsia="仿宋_GB2312"/>
          <w:sz w:val="32"/>
          <w:szCs w:val="32"/>
        </w:rPr>
        <w:t>走访慰问困难侨眷</w:t>
      </w:r>
      <w:r>
        <w:rPr>
          <w:rFonts w:eastAsia="仿宋_GB2312"/>
          <w:sz w:val="32"/>
          <w:szCs w:val="32"/>
        </w:rPr>
        <w:t>等方面</w:t>
      </w:r>
      <w:r>
        <w:rPr>
          <w:rFonts w:hint="eastAsia" w:eastAsia="仿宋_GB2312"/>
          <w:sz w:val="32"/>
          <w:szCs w:val="32"/>
        </w:rPr>
        <w:t>合计2.1万元</w:t>
      </w:r>
      <w:r>
        <w:rPr>
          <w:rFonts w:eastAsia="仿宋_GB2312"/>
          <w:sz w:val="32"/>
          <w:szCs w:val="32"/>
        </w:rPr>
        <w:t>。</w:t>
      </w:r>
    </w:p>
    <w:p w14:paraId="7D51C147">
      <w:pPr>
        <w:pStyle w:val="8"/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政府性基金预算支出情况</w:t>
      </w:r>
    </w:p>
    <w:p w14:paraId="2B1D4D65">
      <w:pPr>
        <w:widowControl/>
        <w:spacing w:line="600" w:lineRule="exact"/>
        <w:ind w:firstLine="1641" w:firstLineChars="513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" w:eastAsia="仿宋"/>
          <w:sz w:val="32"/>
          <w:szCs w:val="24"/>
        </w:rPr>
        <w:t>无</w:t>
      </w:r>
    </w:p>
    <w:p w14:paraId="43A25988">
      <w:pPr>
        <w:pStyle w:val="8"/>
        <w:numPr>
          <w:ilvl w:val="0"/>
          <w:numId w:val="4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国有资本经营预算支出情况</w:t>
      </w:r>
    </w:p>
    <w:p w14:paraId="1EE8F968">
      <w:pPr>
        <w:pStyle w:val="8"/>
        <w:spacing w:line="600" w:lineRule="exact"/>
        <w:ind w:firstLine="0" w:firstLineChars="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Times New Roman" w:eastAsia="仿宋"/>
          <w:sz w:val="32"/>
          <w:szCs w:val="24"/>
        </w:rPr>
        <w:t>无</w:t>
      </w:r>
    </w:p>
    <w:p w14:paraId="1D13B2EC">
      <w:pPr>
        <w:pStyle w:val="8"/>
        <w:numPr>
          <w:ilvl w:val="0"/>
          <w:numId w:val="4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社会保险基金预算支出情况</w:t>
      </w:r>
    </w:p>
    <w:p w14:paraId="4B879A88">
      <w:pPr>
        <w:pStyle w:val="8"/>
        <w:spacing w:line="600" w:lineRule="exact"/>
        <w:ind w:left="420" w:leftChars="200" w:firstLine="1280" w:firstLineChars="400"/>
        <w:rPr>
          <w:rFonts w:ascii="仿宋" w:hAnsi="Times New Roman" w:eastAsia="仿宋"/>
          <w:sz w:val="32"/>
          <w:szCs w:val="24"/>
        </w:rPr>
      </w:pPr>
      <w:r>
        <w:rPr>
          <w:rFonts w:hint="eastAsia" w:ascii="仿宋" w:hAnsi="Times New Roman" w:eastAsia="仿宋"/>
          <w:sz w:val="32"/>
          <w:szCs w:val="24"/>
        </w:rPr>
        <w:t>无</w:t>
      </w:r>
    </w:p>
    <w:p w14:paraId="46446581">
      <w:pPr>
        <w:numPr>
          <w:ilvl w:val="0"/>
          <w:numId w:val="4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部门整体支出绩效情况</w:t>
      </w:r>
    </w:p>
    <w:p w14:paraId="14BB1EC4">
      <w:pPr>
        <w:autoSpaceDE w:val="0"/>
        <w:autoSpaceDN w:val="0"/>
        <w:adjustRightInd w:val="0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仿宋" w:eastAsia="仿宋"/>
          <w:sz w:val="32"/>
          <w:szCs w:val="24"/>
        </w:rPr>
        <w:t>一年来，县侨联在县委、县政府的正确领导下，在上级侨联的悉心指导下，以习近平新时代中国特色社会主义思想为指导，深入学习贯彻党的十九大、十九届三中、四中、五中全会精神，全面落实中央、省委、市委、县侨联工作会议决策部署，全力并成功推荐阳明山为华侨示范基地，</w:t>
      </w:r>
    </w:p>
    <w:p w14:paraId="1AF5559A">
      <w:pPr>
        <w:pStyle w:val="8"/>
        <w:numPr>
          <w:ilvl w:val="0"/>
          <w:numId w:val="4"/>
        </w:numPr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下一步改进措施</w:t>
      </w:r>
    </w:p>
    <w:p w14:paraId="7AD6FCA4">
      <w:pPr>
        <w:spacing w:line="600" w:lineRule="exact"/>
        <w:ind w:firstLine="64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eastAsia="仿宋"/>
          <w:sz w:val="32"/>
          <w:szCs w:val="24"/>
        </w:rPr>
        <w:t>1、科学合理编制预算，严格执行预算。要按照《预算法》及其实施条例的相关规定，参考今年的预算执行情况和年度的收支预测科学编制预算，避免年中大幅追加以及超预算。同时严格预算执行，提高资金使用效率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0439B8B1">
      <w:pPr>
        <w:spacing w:line="600" w:lineRule="exact"/>
        <w:ind w:firstLine="640" w:firstLineChars="200"/>
        <w:rPr>
          <w:rFonts w:ascii="仿宋" w:eastAsia="仿宋"/>
          <w:sz w:val="32"/>
          <w:szCs w:val="24"/>
        </w:rPr>
      </w:pPr>
      <w:r>
        <w:rPr>
          <w:rFonts w:hint="eastAsia" w:ascii="仿宋" w:eastAsia="仿宋"/>
          <w:sz w:val="32"/>
          <w:szCs w:val="24"/>
        </w:rPr>
        <w:t>2、规范账务处理，提高财务信息质量。严格按照《会计法》、《行政单位会计制度》、《行政单位财务规则》等规定，</w:t>
      </w:r>
      <w:bookmarkStart w:id="0" w:name="_Hlk29396950"/>
      <w:bookmarkEnd w:id="0"/>
      <w:r>
        <w:rPr>
          <w:rFonts w:hint="eastAsia" w:ascii="仿宋" w:eastAsia="仿宋"/>
          <w:sz w:val="32"/>
          <w:szCs w:val="24"/>
        </w:rPr>
        <w:t>争取配备专业人员从事财务工作，结合实际情况，科学设置支出科目，规范财务核算，完整披露相关信息。</w:t>
      </w:r>
    </w:p>
    <w:p w14:paraId="21F20DB1">
      <w:pPr>
        <w:spacing w:line="600" w:lineRule="exact"/>
        <w:ind w:firstLine="640" w:firstLineChars="200"/>
        <w:rPr>
          <w:rFonts w:ascii="仿宋" w:eastAsia="仿宋"/>
          <w:sz w:val="32"/>
          <w:szCs w:val="24"/>
        </w:rPr>
      </w:pPr>
      <w:r>
        <w:rPr>
          <w:rFonts w:hint="eastAsia" w:ascii="仿宋" w:eastAsia="仿宋"/>
          <w:sz w:val="32"/>
          <w:szCs w:val="24"/>
        </w:rPr>
        <w:t>3、加强单位内控制度建设，完善相关内部管理制度。按县财政局要求开展内部控制建设工作，通过查找内部管理中的薄弱环节提出问题；通过清理制度完善各项《内部控制制度》。</w:t>
      </w:r>
    </w:p>
    <w:p w14:paraId="0AF1BA40">
      <w:pPr>
        <w:spacing w:line="600" w:lineRule="exact"/>
        <w:ind w:left="420" w:leftChars="200"/>
        <w:rPr>
          <w:rFonts w:ascii="黑体" w:hAnsi="黑体" w:eastAsia="黑体"/>
          <w:sz w:val="32"/>
          <w:szCs w:val="32"/>
        </w:rPr>
      </w:pPr>
    </w:p>
    <w:p w14:paraId="1BF140AC">
      <w:pPr>
        <w:numPr>
          <w:ilvl w:val="0"/>
          <w:numId w:val="4"/>
        </w:num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绩效自评结果拟应用和公开情况</w:t>
      </w:r>
    </w:p>
    <w:p w14:paraId="760374A9">
      <w:pPr>
        <w:spacing w:line="600" w:lineRule="exact"/>
        <w:ind w:firstLine="60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0"/>
          <w:szCs w:val="30"/>
        </w:rPr>
        <w:t>绩效自评报告由财政局在网站统一公开。</w:t>
      </w:r>
    </w:p>
    <w:p w14:paraId="62428842">
      <w:pPr>
        <w:spacing w:line="600" w:lineRule="exact"/>
        <w:ind w:left="420" w:leftChars="200"/>
        <w:rPr>
          <w:rFonts w:ascii="黑体" w:hAnsi="黑体" w:eastAsia="黑体"/>
          <w:sz w:val="32"/>
          <w:szCs w:val="32"/>
        </w:rPr>
      </w:pPr>
    </w:p>
    <w:p w14:paraId="00A3FDC6"/>
    <w:p w14:paraId="127F5273"/>
    <w:p w14:paraId="343D3C4C"/>
    <w:p w14:paraId="2AB61DB2"/>
    <w:p w14:paraId="17C1585E"/>
    <w:p w14:paraId="2E77ED01"/>
    <w:p w14:paraId="47E2F014"/>
    <w:p w14:paraId="09C91E64"/>
    <w:p w14:paraId="639B8F96"/>
    <w:p w14:paraId="3E139CFE"/>
    <w:p w14:paraId="53FAAD92"/>
    <w:p w14:paraId="382AEEB1"/>
    <w:p w14:paraId="71D12C00"/>
    <w:p w14:paraId="0ECE7F40"/>
    <w:p w14:paraId="01B9AA7F"/>
    <w:p w14:paraId="4B5513F9"/>
    <w:p w14:paraId="23B9FF5C"/>
    <w:p w14:paraId="153D2C89"/>
    <w:p w14:paraId="6D608BCB"/>
    <w:p w14:paraId="40D38F6B"/>
    <w:p w14:paraId="65B8D559"/>
    <w:p w14:paraId="57C40219">
      <w:pPr>
        <w:rPr>
          <w:rFonts w:hint="eastAsia"/>
        </w:rPr>
      </w:pPr>
    </w:p>
    <w:p w14:paraId="3EA1F1E5">
      <w:pPr>
        <w:rPr>
          <w:rFonts w:hint="eastAsia"/>
        </w:rPr>
      </w:pPr>
    </w:p>
    <w:p w14:paraId="58A20C2B"/>
    <w:p w14:paraId="1F1A8DE3"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  <w:r>
        <w:rPr>
          <w:rFonts w:hint="eastAsia" w:ascii="黑体" w:hAnsi="黑体" w:eastAsia="黑体" w:cs="宋体"/>
          <w:kern w:val="0"/>
          <w:sz w:val="32"/>
          <w:szCs w:val="32"/>
        </w:rPr>
        <w:tab/>
      </w:r>
    </w:p>
    <w:p w14:paraId="37023938">
      <w:pPr>
        <w:spacing w:line="56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kern w:val="0"/>
          <w:sz w:val="36"/>
          <w:szCs w:val="36"/>
        </w:rPr>
        <w:t>部门整体支出绩效评价基础数据表</w:t>
      </w:r>
    </w:p>
    <w:p w14:paraId="66CACBE9">
      <w:pPr>
        <w:widowControl/>
        <w:ind w:left="91"/>
        <w:jc w:val="center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ab/>
      </w:r>
    </w:p>
    <w:tbl>
      <w:tblPr>
        <w:tblStyle w:val="5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969"/>
        <w:gridCol w:w="863"/>
      </w:tblGrid>
      <w:tr w14:paraId="3F3DD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4DE5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财政供养人员情况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66CF2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D4707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  <w:lang w:eastAsia="zh-CN"/>
              </w:rPr>
              <w:t>2023</w:t>
            </w:r>
            <w:r>
              <w:rPr>
                <w:rFonts w:eastAsia="仿宋_GB2312"/>
                <w:b/>
                <w:bCs/>
                <w:kern w:val="0"/>
              </w:rPr>
              <w:t>年实际在职人数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4BA25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控制率</w:t>
            </w:r>
          </w:p>
        </w:tc>
      </w:tr>
      <w:tr w14:paraId="05F3D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AE000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4749B7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</w:rPr>
              <w:t>3个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F813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3个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7BCB19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  <w:r>
              <w:rPr>
                <w:rFonts w:hint="eastAsia" w:eastAsia="仿宋_GB2312"/>
                <w:kern w:val="0"/>
              </w:rPr>
              <w:t>100%</w:t>
            </w:r>
          </w:p>
        </w:tc>
      </w:tr>
      <w:tr w14:paraId="26E6B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37BD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经费控制情况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14A5BF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/>
                <w:b/>
                <w:bCs/>
                <w:kern w:val="0"/>
              </w:rPr>
              <w:t>20</w:t>
            </w:r>
            <w:r>
              <w:rPr>
                <w:b/>
                <w:bCs/>
                <w:kern w:val="0"/>
              </w:rPr>
              <w:t>2</w:t>
            </w:r>
            <w:r>
              <w:rPr>
                <w:rFonts w:hint="eastAsia"/>
                <w:b/>
                <w:bCs/>
                <w:kern w:val="0"/>
              </w:rPr>
              <w:t>1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F4B3C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  <w:lang w:eastAsia="zh-CN"/>
              </w:rPr>
              <w:t>2023</w:t>
            </w:r>
            <w:r>
              <w:rPr>
                <w:rFonts w:eastAsia="仿宋_GB2312"/>
                <w:b/>
                <w:bCs/>
                <w:kern w:val="0"/>
              </w:rPr>
              <w:t>年预算数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CB3FD">
            <w:pPr>
              <w:widowControl/>
              <w:jc w:val="center"/>
              <w:rPr>
                <w:rFonts w:eastAsia="仿宋_GB2312"/>
                <w:b/>
                <w:bCs/>
                <w:kern w:val="0"/>
              </w:rPr>
            </w:pPr>
            <w:r>
              <w:rPr>
                <w:rFonts w:hint="eastAsia" w:eastAsia="仿宋_GB2312"/>
                <w:b/>
                <w:bCs/>
                <w:kern w:val="0"/>
                <w:lang w:eastAsia="zh-CN"/>
              </w:rPr>
              <w:t>2023</w:t>
            </w:r>
            <w:r>
              <w:rPr>
                <w:rFonts w:eastAsia="仿宋_GB2312"/>
                <w:b/>
                <w:bCs/>
                <w:kern w:val="0"/>
              </w:rPr>
              <w:t>年决算数</w:t>
            </w:r>
          </w:p>
        </w:tc>
      </w:tr>
      <w:tr w14:paraId="291C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8FE9E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D8FC7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2F68A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42485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 w14:paraId="1825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18748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1</w:t>
            </w:r>
            <w:r>
              <w:rPr>
                <w:rFonts w:ascii="仿宋_GB2312" w:hAnsi="仿宋_GB2312" w:eastAsia="仿宋_GB2312"/>
                <w:kern w:val="0"/>
              </w:rPr>
              <w:t>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CF60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E82E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9703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</w:tr>
      <w:tr w14:paraId="5DB52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76831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4A16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921C9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ACB9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</w:tr>
      <w:tr w14:paraId="23FD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B8C3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67FA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2546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4979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</w:tr>
      <w:tr w14:paraId="35EF9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4527A2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2</w:t>
            </w:r>
            <w:r>
              <w:rPr>
                <w:rFonts w:ascii="仿宋_GB2312" w:hAnsi="仿宋_GB2312" w:eastAsia="仿宋_GB2312"/>
                <w:kern w:val="0"/>
              </w:rPr>
              <w:t>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61C77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4340E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3793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</w:t>
            </w:r>
          </w:p>
        </w:tc>
      </w:tr>
      <w:tr w14:paraId="3C8EB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AF86F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3</w:t>
            </w:r>
            <w:r>
              <w:rPr>
                <w:rFonts w:ascii="仿宋_GB2312" w:hAnsi="仿宋_GB2312" w:eastAsia="仿宋_GB2312"/>
                <w:kern w:val="0"/>
              </w:rPr>
              <w:t>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C663A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0.6万元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95B42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0.6万元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6E22E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0.6万元</w:t>
            </w:r>
          </w:p>
        </w:tc>
      </w:tr>
      <w:tr w14:paraId="15C4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F012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8F9F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5.29万元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C5C9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2.1万元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A145C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6.9万元</w:t>
            </w:r>
          </w:p>
        </w:tc>
      </w:tr>
      <w:tr w14:paraId="7734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428FED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1</w:t>
            </w:r>
            <w:r>
              <w:rPr>
                <w:rFonts w:ascii="仿宋_GB2312" w:hAnsi="仿宋_GB2312" w:eastAsia="仿宋_GB2312"/>
                <w:kern w:val="0"/>
              </w:rPr>
              <w:t>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A1D0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5.29万元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7B87E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2.1万元</w:t>
            </w:r>
            <w:r>
              <w:rPr>
                <w:rFonts w:eastAsia="仿宋_GB2312"/>
                <w:kern w:val="0"/>
              </w:rPr>
              <w:t>　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90B4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6.9万元</w:t>
            </w:r>
          </w:p>
        </w:tc>
      </w:tr>
      <w:tr w14:paraId="69C3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0D7A8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2</w:t>
            </w:r>
            <w:r>
              <w:rPr>
                <w:rFonts w:ascii="仿宋_GB2312" w:hAnsi="仿宋_GB2312" w:eastAsia="仿宋_GB2312"/>
                <w:kern w:val="0"/>
              </w:rPr>
              <w:t>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B63B7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AE36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624D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 w14:paraId="383A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FFCC8">
            <w:pPr>
              <w:widowControl/>
              <w:ind w:firstLine="420" w:firstLineChars="200"/>
              <w:jc w:val="left"/>
              <w:rPr>
                <w:rFonts w:ascii="仿宋_GB2312" w:hAnsi="仿宋_GB2312"/>
                <w:kern w:val="0"/>
              </w:rPr>
            </w:pPr>
            <w:r>
              <w:rPr>
                <w:rFonts w:eastAsia="仿宋_GB2312"/>
                <w:kern w:val="0"/>
              </w:rPr>
              <w:t>3</w:t>
            </w:r>
            <w:r>
              <w:rPr>
                <w:rFonts w:ascii="仿宋_GB2312" w:hAnsi="仿宋_GB2312" w:eastAsia="仿宋_GB2312"/>
                <w:kern w:val="0"/>
              </w:rPr>
              <w:t>、</w:t>
            </w:r>
            <w:r>
              <w:rPr>
                <w:rFonts w:ascii="仿宋_GB2312" w:hAnsi="仿宋_GB2312"/>
                <w:kern w:val="0"/>
              </w:rPr>
              <w:t>本</w:t>
            </w:r>
            <w:r>
              <w:rPr>
                <w:rFonts w:eastAsia="仿宋_GB2312"/>
                <w:kern w:val="0"/>
              </w:rPr>
              <w:t>级专项资金</w:t>
            </w:r>
          </w:p>
          <w:p w14:paraId="6A709E9F">
            <w:pPr>
              <w:widowControl/>
              <w:ind w:firstLine="630" w:firstLineChars="3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3269C5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34693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51597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14:paraId="37E6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42E442">
            <w:pPr>
              <w:widowControl/>
              <w:ind w:firstLine="420" w:firstLineChars="200"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4</w:t>
            </w:r>
            <w:r>
              <w:rPr>
                <w:rFonts w:ascii="仿宋_GB2312" w:hAnsi="仿宋_GB2312" w:eastAsia="仿宋_GB2312"/>
                <w:kern w:val="0"/>
              </w:rPr>
              <w:t>、其他事业类发展资金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EE2E4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F09BC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376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 w14:paraId="39858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90E0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B7480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CEA43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432F7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</w:tr>
      <w:tr w14:paraId="0484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11D9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3BF47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2.24万元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1E30E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4.42万元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E3EB9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4.4万元</w:t>
            </w:r>
            <w:r>
              <w:rPr>
                <w:rFonts w:eastAsia="仿宋_GB2312"/>
                <w:kern w:val="0"/>
              </w:rPr>
              <w:t>　</w:t>
            </w:r>
          </w:p>
        </w:tc>
      </w:tr>
      <w:tr w14:paraId="11C81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174AC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其中：办公费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A018D5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2DF6A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</w:rPr>
              <w:t>0万元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D4A6E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FF0000"/>
                <w:kern w:val="0"/>
              </w:rPr>
              <w:t>1.42</w:t>
            </w:r>
            <w:r>
              <w:rPr>
                <w:rFonts w:eastAsia="仿宋_GB2312"/>
                <w:color w:val="FF0000"/>
                <w:kern w:val="0"/>
              </w:rPr>
              <w:t>　</w:t>
            </w:r>
            <w:r>
              <w:rPr>
                <w:rFonts w:hint="eastAsia" w:eastAsia="仿宋_GB2312"/>
                <w:kern w:val="0"/>
              </w:rPr>
              <w:t>万元</w:t>
            </w:r>
          </w:p>
        </w:tc>
      </w:tr>
      <w:tr w14:paraId="036DF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16CAF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CD6CA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6D0D1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</w:rPr>
              <w:t>3.85万元</w:t>
            </w: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F8DA84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color w:val="FF0000"/>
                <w:kern w:val="0"/>
              </w:rPr>
              <w:t>2.4</w:t>
            </w:r>
            <w:r>
              <w:rPr>
                <w:rFonts w:hint="eastAsia" w:eastAsia="仿宋_GB2312"/>
                <w:kern w:val="0"/>
              </w:rPr>
              <w:t>万元</w:t>
            </w:r>
          </w:p>
        </w:tc>
      </w:tr>
      <w:tr w14:paraId="13A4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6574A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C48E7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10B3A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ACB4B1">
            <w:pPr>
              <w:widowControl/>
              <w:jc w:val="center"/>
              <w:rPr>
                <w:rFonts w:eastAsia="仿宋_GB2312"/>
                <w:color w:val="FF0000"/>
                <w:kern w:val="0"/>
              </w:rPr>
            </w:pPr>
            <w:r>
              <w:rPr>
                <w:rFonts w:hint="eastAsia" w:eastAsia="仿宋_GB2312"/>
                <w:kern w:val="0"/>
              </w:rPr>
              <w:t>万元</w:t>
            </w:r>
            <w:r>
              <w:rPr>
                <w:rFonts w:eastAsia="仿宋_GB2312"/>
                <w:color w:val="FF0000"/>
                <w:kern w:val="0"/>
              </w:rPr>
              <w:t>　</w:t>
            </w:r>
          </w:p>
        </w:tc>
      </w:tr>
      <w:tr w14:paraId="7F96C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915C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0AC3B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DCDFE">
            <w:pPr>
              <w:widowControl/>
              <w:jc w:val="center"/>
              <w:rPr>
                <w:rFonts w:eastAsia="仿宋_GB2312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4DDD2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 w14:paraId="0136C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42922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39C3E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DAE5F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3AE43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 w14:paraId="1FC82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DAFB95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楼堂馆所控制情况</w:t>
            </w:r>
          </w:p>
          <w:p w14:paraId="63EEAB2E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（20</w:t>
            </w:r>
            <w:r>
              <w:rPr>
                <w:kern w:val="0"/>
              </w:rPr>
              <w:t>20</w:t>
            </w:r>
            <w:r>
              <w:rPr>
                <w:rFonts w:eastAsia="仿宋_GB2312"/>
                <w:kern w:val="0"/>
              </w:rPr>
              <w:t>年完工项目）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FA38DB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批复规模</w:t>
            </w:r>
          </w:p>
          <w:p w14:paraId="0C13A88A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18418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实际规模（</w:t>
            </w:r>
            <w:r>
              <w:rPr>
                <w:rFonts w:eastAsia="Batang"/>
                <w:bCs/>
                <w:kern w:val="0"/>
              </w:rPr>
              <w:t>㎡</w:t>
            </w:r>
            <w:r>
              <w:rPr>
                <w:rFonts w:eastAsia="仿宋_GB2312"/>
                <w:bCs/>
                <w:kern w:val="0"/>
              </w:rPr>
              <w:t>）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5F4207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规模控制率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7E2CE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预算投资（万元）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1B9AE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实际投资（万元）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D49D3">
            <w:pPr>
              <w:widowControl/>
              <w:spacing w:line="240" w:lineRule="exact"/>
              <w:jc w:val="center"/>
              <w:rPr>
                <w:rFonts w:eastAsia="仿宋_GB2312"/>
                <w:bCs/>
                <w:kern w:val="0"/>
              </w:rPr>
            </w:pPr>
            <w:r>
              <w:rPr>
                <w:rFonts w:eastAsia="仿宋_GB2312"/>
                <w:bCs/>
                <w:kern w:val="0"/>
              </w:rPr>
              <w:t>投资概算控制率</w:t>
            </w:r>
          </w:p>
        </w:tc>
      </w:tr>
      <w:tr w14:paraId="2F56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87E33">
            <w:pPr>
              <w:widowControl/>
              <w:jc w:val="left"/>
              <w:rPr>
                <w:rFonts w:eastAsia="仿宋_GB2312"/>
                <w:kern w:val="0"/>
              </w:rPr>
            </w:pP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E5058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D331A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F5775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B3770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81C8A6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DB146">
            <w:pPr>
              <w:widowControl/>
              <w:jc w:val="left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　</w:t>
            </w:r>
          </w:p>
        </w:tc>
      </w:tr>
      <w:tr w14:paraId="397D8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30B65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eastAsia="仿宋_GB2312"/>
                <w:kern w:val="0"/>
              </w:rPr>
              <w:t>厉行节约保障措施</w:t>
            </w:r>
          </w:p>
        </w:tc>
        <w:tc>
          <w:tcPr>
            <w:tcW w:w="6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FAD561">
            <w:pPr>
              <w:widowControl/>
              <w:jc w:val="center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制订推进厉行节约的相关制度，降低行政运行成本，提高资金使用绩效。</w:t>
            </w:r>
            <w:r>
              <w:rPr>
                <w:rFonts w:eastAsia="仿宋_GB2312"/>
                <w:kern w:val="0"/>
              </w:rPr>
              <w:t>　　</w:t>
            </w:r>
          </w:p>
        </w:tc>
      </w:tr>
    </w:tbl>
    <w:p w14:paraId="5E4C4848">
      <w:pPr>
        <w:spacing w:line="360" w:lineRule="exact"/>
        <w:rPr>
          <w:rFonts w:ascii="黑体" w:hAnsi="黑体" w:eastAsia="黑体"/>
          <w:sz w:val="32"/>
          <w:szCs w:val="32"/>
        </w:rPr>
      </w:pPr>
      <w:r>
        <w:rPr>
          <w:rFonts w:ascii="仿宋_GB2312" w:hAnsi="仿宋_GB2312" w:eastAsia="仿宋_GB2312"/>
          <w:kern w:val="0"/>
          <w:sz w:val="22"/>
          <w:szCs w:val="22"/>
        </w:rPr>
        <w:t>说明：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项目支出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需要填报基本支出以外的所有项目支出情况，</w:t>
      </w:r>
      <w:r>
        <w:rPr>
          <w:rFonts w:eastAsia="仿宋_GB2312"/>
          <w:kern w:val="0"/>
          <w:sz w:val="22"/>
          <w:szCs w:val="22"/>
        </w:rPr>
        <w:t>“</w:t>
      </w:r>
      <w:r>
        <w:rPr>
          <w:rFonts w:ascii="仿宋_GB2312" w:hAnsi="仿宋_GB2312" w:eastAsia="仿宋_GB2312"/>
          <w:kern w:val="0"/>
          <w:sz w:val="22"/>
          <w:szCs w:val="22"/>
        </w:rPr>
        <w:t>公用经费</w:t>
      </w:r>
      <w:r>
        <w:rPr>
          <w:rFonts w:eastAsia="仿宋_GB2312"/>
          <w:kern w:val="0"/>
          <w:sz w:val="22"/>
          <w:szCs w:val="22"/>
        </w:rPr>
        <w:t>”</w:t>
      </w:r>
      <w:r>
        <w:rPr>
          <w:rFonts w:ascii="仿宋_GB2312" w:hAnsi="仿宋_GB2312" w:eastAsia="仿宋_GB2312"/>
          <w:kern w:val="0"/>
          <w:sz w:val="22"/>
          <w:szCs w:val="22"/>
        </w:rPr>
        <w:t>填报基本支出中的一般商品和服务支出。</w:t>
      </w:r>
      <w:r>
        <w:rPr>
          <w:rFonts w:eastAsia="仿宋_GB2312"/>
          <w:kern w:val="0"/>
          <w:sz w:val="22"/>
          <w:szCs w:val="22"/>
        </w:rPr>
        <w:br w:type="page"/>
      </w:r>
    </w:p>
    <w:p w14:paraId="021218A4">
      <w:pPr>
        <w:widowControl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ascii="方正小标宋_GBK" w:hAnsi="方正小标宋_GBK" w:eastAsia="方正小标宋_GBK"/>
          <w:color w:val="000000"/>
          <w:kern w:val="0"/>
          <w:sz w:val="36"/>
          <w:szCs w:val="36"/>
        </w:rPr>
        <w:t>部门整体支出绩效自评表</w:t>
      </w:r>
    </w:p>
    <w:p w14:paraId="36AF362E">
      <w:pPr>
        <w:widowControl/>
        <w:jc w:val="center"/>
        <w:rPr>
          <w:rFonts w:eastAsia="仿宋_GB2312"/>
          <w:color w:val="000000"/>
          <w:kern w:val="0"/>
        </w:rPr>
      </w:pPr>
      <w:r>
        <w:rPr>
          <w:rFonts w:ascii="仿宋_GB2312" w:hAnsi="仿宋_GB2312" w:eastAsia="仿宋_GB2312"/>
          <w:color w:val="000000"/>
          <w:kern w:val="0"/>
        </w:rPr>
        <w:t>（</w:t>
      </w:r>
      <w:r>
        <w:rPr>
          <w:rFonts w:hint="eastAsia" w:eastAsia="仿宋_GB2312"/>
          <w:color w:val="000000"/>
          <w:kern w:val="0"/>
          <w:lang w:eastAsia="zh-CN"/>
        </w:rPr>
        <w:t>2023</w:t>
      </w:r>
      <w:r>
        <w:rPr>
          <w:rFonts w:ascii="仿宋_GB2312" w:hAnsi="仿宋_GB2312" w:eastAsia="仿宋_GB2312"/>
          <w:color w:val="000000"/>
          <w:kern w:val="0"/>
        </w:rPr>
        <w:t>年度）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697"/>
        <w:gridCol w:w="805"/>
        <w:gridCol w:w="1661"/>
        <w:gridCol w:w="786"/>
        <w:gridCol w:w="671"/>
        <w:gridCol w:w="793"/>
        <w:gridCol w:w="563"/>
        <w:gridCol w:w="659"/>
        <w:gridCol w:w="1173"/>
      </w:tblGrid>
      <w:tr w14:paraId="5AA4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46FA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省级预算部门名称</w:t>
            </w:r>
          </w:p>
        </w:tc>
        <w:tc>
          <w:tcPr>
            <w:tcW w:w="4478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AD5F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中共双牌县归侨侨眷联合会</w:t>
            </w: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0899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ECC94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年度预</w:t>
            </w:r>
          </w:p>
          <w:p w14:paraId="597C6666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算申请</w:t>
            </w:r>
          </w:p>
          <w:p w14:paraId="2B7D2ED7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（万元）</w:t>
            </w: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780D31">
            <w:pPr>
              <w:jc w:val="center"/>
              <w:rPr>
                <w:rFonts w:eastAsia="仿宋_GB2312"/>
              </w:rPr>
            </w:pP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40BDA"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年初</w:t>
            </w:r>
          </w:p>
          <w:p w14:paraId="77B4C7E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预算数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9AD470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全年预算数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4725A">
            <w:pPr>
              <w:jc w:val="center"/>
              <w:rPr>
                <w:rFonts w:ascii="仿宋_GB2312" w:hAnsi="仿宋_GB2312"/>
              </w:rPr>
            </w:pPr>
            <w:r>
              <w:rPr>
                <w:rFonts w:eastAsia="仿宋_GB2312"/>
              </w:rPr>
              <w:t>全年</w:t>
            </w:r>
          </w:p>
          <w:p w14:paraId="2BAA9F7C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执行数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5180C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分值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5D1F45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执行率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29E5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得分</w:t>
            </w:r>
          </w:p>
        </w:tc>
      </w:tr>
      <w:tr w14:paraId="46C80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1F27A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8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38BFEF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  <w:color w:val="000000"/>
                <w:kern w:val="0"/>
              </w:rPr>
              <w:t>年度资金总额</w:t>
            </w:r>
          </w:p>
        </w:tc>
        <w:tc>
          <w:tcPr>
            <w:tcW w:w="9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7D239A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38.2</w:t>
            </w:r>
          </w:p>
        </w:tc>
        <w:tc>
          <w:tcPr>
            <w:tcW w:w="83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D3017E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38.2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77254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37.21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042E9">
            <w:pPr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02D5B">
            <w:pPr>
              <w:jc w:val="center"/>
              <w:rPr>
                <w:rFonts w:eastAsia="仿宋_GB2312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46882">
            <w:pPr>
              <w:jc w:val="center"/>
              <w:rPr>
                <w:rFonts w:eastAsia="仿宋_GB2312"/>
              </w:rPr>
            </w:pPr>
          </w:p>
        </w:tc>
      </w:tr>
      <w:tr w14:paraId="5EE4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D726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3905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按收入性质分：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34A1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按支出性质分：</w:t>
            </w:r>
          </w:p>
        </w:tc>
      </w:tr>
      <w:tr w14:paraId="6812C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D880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7AF5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其中：  一般公共预算：</w:t>
            </w:r>
            <w:r>
              <w:rPr>
                <w:rFonts w:hint="eastAsia" w:eastAsia="仿宋_GB2312"/>
                <w:color w:val="000000"/>
                <w:kern w:val="0"/>
              </w:rPr>
              <w:t>37.21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557F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其中：基本支出：</w:t>
            </w:r>
            <w:r>
              <w:rPr>
                <w:rFonts w:hint="eastAsia" w:eastAsia="仿宋_GB2312"/>
                <w:color w:val="000000"/>
                <w:kern w:val="0"/>
              </w:rPr>
              <w:t>31.92</w:t>
            </w:r>
          </w:p>
        </w:tc>
      </w:tr>
      <w:tr w14:paraId="17A46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186C5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CCFFA">
            <w:pPr>
              <w:widowControl/>
              <w:ind w:firstLine="840" w:firstLineChars="4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政府性基金拨款：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7EE37B">
            <w:pPr>
              <w:widowControl/>
              <w:ind w:firstLine="630" w:firstLineChars="3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项目支出：</w:t>
            </w:r>
            <w:r>
              <w:rPr>
                <w:rFonts w:hint="eastAsia" w:eastAsia="仿宋_GB2312"/>
                <w:color w:val="000000"/>
                <w:kern w:val="0"/>
              </w:rPr>
              <w:t>5.29</w:t>
            </w:r>
          </w:p>
        </w:tc>
      </w:tr>
      <w:tr w14:paraId="0815F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36C7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963E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纳入专户管理的非税收入拨款：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3743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14:paraId="0E31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9B9D2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8C21B">
            <w:pPr>
              <w:widowControl/>
              <w:ind w:firstLine="1470" w:firstLineChars="7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其他资金：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85E9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</w:tr>
      <w:tr w14:paraId="3EE2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A258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年度总体目标</w:t>
            </w: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D3F78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预期目标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4566C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实际完成情况 </w:t>
            </w:r>
          </w:p>
        </w:tc>
      </w:tr>
      <w:tr w14:paraId="01222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A447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2649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C2FBE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了解情况、掌握政策、协调关系、安排人事、增进共识、加强团结等。为实现双牌的奋斗目标凝聚最广泛的人心、汇聚最强大的力量。</w:t>
            </w:r>
          </w:p>
        </w:tc>
        <w:tc>
          <w:tcPr>
            <w:tcW w:w="182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D289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成功创建全省民族团结进步示范县，创建市同心美丽乡村——探花村</w:t>
            </w:r>
          </w:p>
        </w:tc>
      </w:tr>
      <w:tr w14:paraId="78AD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6B261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绩</w:t>
            </w:r>
          </w:p>
          <w:p w14:paraId="50665516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</w:t>
            </w:r>
          </w:p>
          <w:p w14:paraId="23B76A97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</w:t>
            </w:r>
          </w:p>
          <w:p w14:paraId="501DD630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标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694C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一级指标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0DEE6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二级指标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6D0B6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三级指标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4726F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年度</w:t>
            </w:r>
          </w:p>
          <w:p w14:paraId="6D6B5AE2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指标值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7D6605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实际</w:t>
            </w:r>
          </w:p>
          <w:p w14:paraId="44E47F8D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完成值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14E9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分值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E7BFF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得分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FABEB9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偏差原因</w:t>
            </w:r>
          </w:p>
          <w:p w14:paraId="22D6802E">
            <w:pPr>
              <w:widowControl/>
              <w:spacing w:line="240" w:lineRule="exact"/>
              <w:jc w:val="center"/>
              <w:rPr>
                <w:rFonts w:ascii="仿宋_GB2312" w:hAnsi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分析及</w:t>
            </w:r>
          </w:p>
          <w:p w14:paraId="0113F90C">
            <w:pPr>
              <w:widowControl/>
              <w:spacing w:line="240" w:lineRule="exact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改进措施</w:t>
            </w:r>
          </w:p>
        </w:tc>
      </w:tr>
      <w:tr w14:paraId="7652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5184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50715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产出指标</w:t>
            </w:r>
          </w:p>
          <w:p w14:paraId="6052044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(50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</w:t>
            </w:r>
            <w:r>
              <w:rPr>
                <w:rFonts w:eastAsia="仿宋_GB2312"/>
                <w:color w:val="000000"/>
                <w:kern w:val="0"/>
              </w:rPr>
              <w:t>)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0B766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数量</w:t>
            </w:r>
          </w:p>
          <w:p w14:paraId="7731837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9707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走访慰问4次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D6656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497C7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30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1BB6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AC3C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30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A7095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1C2F4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A2CCA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61C63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E3A3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002C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侨法及涉侨政策宣传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DC873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32131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A0623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2D72A6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90DA4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6004E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3F4D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3DD564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FB1E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质量</w:t>
            </w:r>
          </w:p>
          <w:p w14:paraId="6C1418F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F2109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CAC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B0C1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614C8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E18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4AE4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3C72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3663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BB6B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829B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E1B7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6517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72EB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8425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0A92E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45AE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31651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11F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AEC3D4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5A8B5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时效</w:t>
            </w:r>
          </w:p>
          <w:p w14:paraId="289F67C2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DFF6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0E98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9F7B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1F03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5B726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BCF6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06C0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09D8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9E5A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8863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32AB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E3B9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6147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6C9F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1081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26A3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61435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481B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453E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E4A72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成本</w:t>
            </w:r>
          </w:p>
          <w:p w14:paraId="6F858363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118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1E3BD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18503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2119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7C1C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CAE9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2EB0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F6BC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8594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A5CF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6E5E4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555103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3496C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324B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CF11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8FF73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1604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BBA94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84F85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效益指标</w:t>
            </w:r>
          </w:p>
          <w:p w14:paraId="21FBBA82">
            <w:pPr>
              <w:widowControl/>
              <w:ind w:firstLine="210" w:firstLineChars="100"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（30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 xml:space="preserve">分） 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3251D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经济效</w:t>
            </w:r>
          </w:p>
          <w:p w14:paraId="285387C7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89E3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为社会经济发展建言献策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930CD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693D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3BF4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5028B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39C58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20</w:t>
            </w:r>
          </w:p>
        </w:tc>
      </w:tr>
      <w:tr w14:paraId="0E03D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C09E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8FEAEA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7AFE1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8B2B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引导民营经济发展、促进全县经济稳定发展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40343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33781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93183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0DD52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96B4CA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</w:tr>
      <w:tr w14:paraId="46F6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D054A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4C284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D3B9D1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社会效</w:t>
            </w:r>
          </w:p>
          <w:p w14:paraId="349E64B1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EA8F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81E7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D49E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48F5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12EB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92A7B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0392E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8590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DC4A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6FD70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98991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1D21E4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C137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1B11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922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EB63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2393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3395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2737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156F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生态效</w:t>
            </w:r>
          </w:p>
          <w:p w14:paraId="5EE650C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益指标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C88DC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D1E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7740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C240C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D0C7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EDC2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3D7A6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6281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8D6C2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0017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3D55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6275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E2AE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EBB51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7C19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EC19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18180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EA462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323E6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78A9C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可持续影响指标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DBF1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430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615A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B8B9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441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B22B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7B06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7E938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460CA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4D56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42D3E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43A73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6D66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50760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094615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83611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44E1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EAA344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95A55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满意度</w:t>
            </w:r>
          </w:p>
          <w:p w14:paraId="7757F1E2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指标</w:t>
            </w:r>
          </w:p>
          <w:p w14:paraId="67B933BB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（10</w:t>
            </w:r>
            <w:r>
              <w:rPr>
                <w:rFonts w:ascii="仿宋_GB2312" w:hAnsi="仿宋_GB2312" w:eastAsia="仿宋_GB2312"/>
                <w:color w:val="000000"/>
                <w:kern w:val="0"/>
              </w:rPr>
              <w:t>分）</w:t>
            </w:r>
          </w:p>
        </w:tc>
        <w:tc>
          <w:tcPr>
            <w:tcW w:w="461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CB982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98FDA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服务对象满意度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BC9AE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≧95%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17B99F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2482D1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10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3FB7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</w:rPr>
              <w:t>9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D5242">
            <w:pPr>
              <w:widowControl/>
              <w:rPr>
                <w:rFonts w:eastAsia="仿宋_GB2312"/>
                <w:color w:val="000000"/>
                <w:kern w:val="0"/>
              </w:rPr>
            </w:pPr>
          </w:p>
        </w:tc>
      </w:tr>
      <w:tr w14:paraId="12542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A5D4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399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A3849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461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9EC1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</w:tc>
        <w:tc>
          <w:tcPr>
            <w:tcW w:w="14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DF78C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……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AC93A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4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9AF5F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547A8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BA201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B1AC9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  <w:tr w14:paraId="36F64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2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147D3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总分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35C29">
            <w:pPr>
              <w:widowControl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100</w:t>
            </w:r>
          </w:p>
        </w:tc>
        <w:tc>
          <w:tcPr>
            <w:tcW w:w="3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E23AB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</w:rPr>
              <w:t>99</w:t>
            </w:r>
          </w:p>
        </w:tc>
        <w:tc>
          <w:tcPr>
            <w:tcW w:w="6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1FC2D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　</w:t>
            </w:r>
          </w:p>
        </w:tc>
      </w:tr>
    </w:tbl>
    <w:p w14:paraId="764A4AF7">
      <w:pPr>
        <w:widowControl/>
        <w:spacing w:line="300" w:lineRule="exact"/>
        <w:jc w:val="left"/>
        <w:rPr>
          <w:rFonts w:eastAsia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E6EE2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 w14:paraId="582AD4A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C52A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12D4545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69104F"/>
    <w:multiLevelType w:val="singleLevel"/>
    <w:tmpl w:val="E56910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EF3C872"/>
    <w:multiLevelType w:val="singleLevel"/>
    <w:tmpl w:val="EEF3C87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3D9533C"/>
    <w:multiLevelType w:val="singleLevel"/>
    <w:tmpl w:val="13D953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73E7F9A6"/>
    <w:multiLevelType w:val="singleLevel"/>
    <w:tmpl w:val="73E7F9A6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kMDY4NTZmMDEyNjYyN2E5MzdmMGE4NzNkZmMyYjYifQ=="/>
  </w:docVars>
  <w:rsids>
    <w:rsidRoot w:val="42C16802"/>
    <w:rsid w:val="00755873"/>
    <w:rsid w:val="008541EB"/>
    <w:rsid w:val="009E7A5D"/>
    <w:rsid w:val="00BA190B"/>
    <w:rsid w:val="14327EB0"/>
    <w:rsid w:val="18FC4EB1"/>
    <w:rsid w:val="1ADC164B"/>
    <w:rsid w:val="1BA52CC6"/>
    <w:rsid w:val="1BD6143B"/>
    <w:rsid w:val="1CE77FBF"/>
    <w:rsid w:val="1D2C22E3"/>
    <w:rsid w:val="1D2F393C"/>
    <w:rsid w:val="29913541"/>
    <w:rsid w:val="2DDC77A6"/>
    <w:rsid w:val="42C16802"/>
    <w:rsid w:val="433D6E03"/>
    <w:rsid w:val="46FA5F6C"/>
    <w:rsid w:val="48DB2B4D"/>
    <w:rsid w:val="555869E7"/>
    <w:rsid w:val="578976C5"/>
    <w:rsid w:val="76DD6D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rPr>
      <w:rFonts w:ascii="宋体" w:hAnsi="Calibri" w:eastAsia="微软雅黑" w:cs="Times New Roman"/>
      <w:sz w:val="24"/>
      <w:szCs w:val="21"/>
      <w:lang w:val="en-US" w:eastAsia="zh-CN" w:bidi="ar-SA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9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1815</Words>
  <Characters>1917</Characters>
  <Lines>6</Lines>
  <Paragraphs>6</Paragraphs>
  <TotalTime>8</TotalTime>
  <ScaleCrop>false</ScaleCrop>
  <LinksUpToDate>false</LinksUpToDate>
  <CharactersWithSpaces>2021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2023-02-06T01:44:00Z</dcterms:created>
  <dc:creator>温暖</dc:creator>
  <cp:lastModifiedBy>123456</cp:lastModifiedBy>
  <cp:lastPrinted>2021-11-04T00:01:00Z</cp:lastPrinted>
  <dcterms:modified xsi:type="dcterms:W3CDTF">2024-12-04T02:42:43Z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2FC9446DEE7346559489D864102B3F47_13</vt:lpwstr>
  </property>
</Properties>
</file>