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outlineLvl w:val="1"/>
        <w:rPr>
          <w:rFonts w:hint="eastAsia" w:ascii="方正小标宋简体" w:eastAsia="方正小标宋简体"/>
          <w:sz w:val="52"/>
          <w:szCs w:val="24"/>
        </w:rPr>
      </w:pP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3</w:t>
      </w:r>
      <w:r>
        <w:rPr>
          <w:rFonts w:hint="eastAsia" w:ascii="方正小标宋简体" w:eastAsia="方正小标宋简体"/>
          <w:sz w:val="52"/>
          <w:szCs w:val="24"/>
        </w:rPr>
        <w:t>年度</w:t>
      </w:r>
      <w:r>
        <w:rPr>
          <w:rFonts w:hint="eastAsia" w:ascii="方正小标宋简体" w:eastAsia="方正小标宋简体"/>
          <w:sz w:val="52"/>
          <w:szCs w:val="24"/>
          <w:lang w:eastAsia="zh-CN"/>
        </w:rPr>
        <w:t>县委组织部</w:t>
      </w:r>
      <w:r>
        <w:rPr>
          <w:rFonts w:hint="eastAsia" w:ascii="方正小标宋简体" w:eastAsia="方正小标宋简体"/>
          <w:sz w:val="52"/>
          <w:szCs w:val="24"/>
        </w:rPr>
        <w:t>整体支出</w:t>
      </w:r>
    </w:p>
    <w:p>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jc w:val="center"/>
        <w:rPr>
          <w:rFonts w:hint="default" w:eastAsia="黑体"/>
          <w:sz w:val="32"/>
          <w:szCs w:val="24"/>
        </w:rPr>
      </w:pPr>
    </w:p>
    <w:p>
      <w:pPr>
        <w:spacing w:beforeLines="0" w:afterLines="0" w:line="600" w:lineRule="exact"/>
        <w:ind w:firstLine="1920" w:firstLineChars="600"/>
        <w:rPr>
          <w:rFonts w:hint="default" w:eastAsia="仿宋_GB2312"/>
          <w:sz w:val="32"/>
          <w:szCs w:val="24"/>
          <w:u w:val="single"/>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p>
    <w:p>
      <w:pPr>
        <w:spacing w:beforeLines="0" w:afterLines="0" w:line="600" w:lineRule="exact"/>
        <w:ind w:firstLine="3200" w:firstLineChars="1000"/>
        <w:rPr>
          <w:rFonts w:hint="eastAsia" w:eastAsia="楷体_GB2312"/>
          <w:sz w:val="32"/>
          <w:szCs w:val="24"/>
        </w:rPr>
      </w:pPr>
    </w:p>
    <w:p>
      <w:pPr>
        <w:spacing w:beforeLines="0" w:afterLines="0" w:line="600" w:lineRule="exact"/>
        <w:ind w:firstLine="3200" w:firstLineChars="1000"/>
        <w:rPr>
          <w:rFonts w:hint="default" w:eastAsia="楷体_GB2312"/>
          <w:sz w:val="32"/>
          <w:szCs w:val="24"/>
        </w:rPr>
      </w:pPr>
      <w:r>
        <w:rPr>
          <w:rFonts w:hint="eastAsia" w:eastAsia="楷体_GB2312"/>
          <w:sz w:val="32"/>
          <w:szCs w:val="24"/>
          <w:lang w:val="en-US" w:eastAsia="zh-CN"/>
        </w:rPr>
        <w:t>2024</w:t>
      </w:r>
      <w:r>
        <w:rPr>
          <w:rFonts w:hint="eastAsia" w:eastAsia="楷体_GB2312"/>
          <w:sz w:val="32"/>
          <w:szCs w:val="24"/>
        </w:rPr>
        <w:t xml:space="preserve">年  </w:t>
      </w:r>
      <w:r>
        <w:rPr>
          <w:rFonts w:hint="eastAsia" w:eastAsia="楷体_GB2312"/>
          <w:sz w:val="32"/>
          <w:szCs w:val="24"/>
          <w:lang w:val="en-US" w:eastAsia="zh-CN"/>
        </w:rPr>
        <w:t>3</w:t>
      </w:r>
      <w:r>
        <w:rPr>
          <w:rFonts w:hint="eastAsia" w:eastAsia="楷体_GB2312"/>
          <w:sz w:val="32"/>
          <w:szCs w:val="24"/>
        </w:rPr>
        <w:t xml:space="preserve">月  </w:t>
      </w:r>
      <w:r>
        <w:rPr>
          <w:rFonts w:hint="eastAsia" w:eastAsia="楷体_GB2312"/>
          <w:sz w:val="32"/>
          <w:szCs w:val="24"/>
          <w:lang w:val="en-US" w:eastAsia="zh-CN"/>
        </w:rPr>
        <w:t>15</w:t>
      </w:r>
      <w:bookmarkStart w:id="0" w:name="_GoBack"/>
      <w:bookmarkEnd w:id="0"/>
      <w:r>
        <w:rPr>
          <w:rFonts w:hint="eastAsia" w:eastAsia="楷体_GB2312"/>
          <w:sz w:val="32"/>
          <w:szCs w:val="24"/>
        </w:rPr>
        <w:t>日</w:t>
      </w:r>
    </w:p>
    <w:p>
      <w:pPr>
        <w:spacing w:beforeLines="0" w:afterLines="0"/>
        <w:jc w:val="center"/>
        <w:rPr>
          <w:rFonts w:hint="default" w:eastAsia="黑体"/>
          <w:sz w:val="32"/>
          <w:szCs w:val="24"/>
        </w:rPr>
      </w:pPr>
    </w:p>
    <w:p>
      <w:pPr>
        <w:pStyle w:val="5"/>
        <w:rPr>
          <w:rFonts w:hint="default" w:eastAsia="黑体"/>
          <w:sz w:val="32"/>
          <w:szCs w:val="24"/>
        </w:rPr>
      </w:pPr>
    </w:p>
    <w:p>
      <w:pPr>
        <w:pStyle w:val="5"/>
        <w:rPr>
          <w:rFonts w:hint="default" w:eastAsia="黑体"/>
          <w:sz w:val="32"/>
          <w:szCs w:val="24"/>
        </w:rPr>
      </w:pPr>
    </w:p>
    <w:p>
      <w:pPr>
        <w:pStyle w:val="5"/>
        <w:rPr>
          <w:rFonts w:hint="default" w:eastAsia="黑体"/>
          <w:sz w:val="32"/>
          <w:szCs w:val="24"/>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黑体" w:hAnsi="黑体" w:eastAsia="黑体" w:cs="黑体"/>
          <w:b/>
          <w:bCs/>
          <w:sz w:val="32"/>
          <w:szCs w:val="32"/>
        </w:rPr>
      </w:pPr>
      <w:r>
        <w:rPr>
          <w:rFonts w:hint="eastAsia" w:ascii="黑体" w:hAnsi="黑体" w:eastAsia="黑体" w:cs="黑体"/>
          <w:b/>
          <w:bCs/>
          <w:sz w:val="32"/>
          <w:szCs w:val="32"/>
        </w:rPr>
        <w:t>一、基本情况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（一）部门（单位）基本情况</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县委组织部</w:t>
      </w:r>
      <w:r>
        <w:rPr>
          <w:rFonts w:hint="eastAsia" w:ascii="仿宋_GB2312" w:hAnsi="仿宋_GB2312" w:eastAsia="仿宋_GB2312" w:cs="仿宋_GB2312"/>
          <w:sz w:val="32"/>
          <w:szCs w:val="32"/>
          <w:lang w:val="en" w:eastAsia="zh-CN"/>
        </w:rPr>
        <w:t>，正科级行政单位，核定行政编制数</w:t>
      </w:r>
      <w:r>
        <w:rPr>
          <w:rFonts w:hint="eastAsia" w:ascii="仿宋_GB2312" w:hAnsi="仿宋_GB2312" w:eastAsia="仿宋_GB2312" w:cs="仿宋_GB2312"/>
          <w:sz w:val="32"/>
          <w:szCs w:val="32"/>
          <w:lang w:val="en-US" w:eastAsia="zh-CN"/>
        </w:rPr>
        <w:t>21名，实有人数16名，机关工勤编制数2名，实有人数1名。</w:t>
      </w:r>
      <w:r>
        <w:rPr>
          <w:rFonts w:hint="eastAsia" w:ascii="仿宋_GB2312" w:hAnsi="仿宋_GB2312" w:eastAsia="仿宋_GB2312" w:cs="仿宋_GB2312"/>
          <w:sz w:val="32"/>
          <w:szCs w:val="32"/>
        </w:rPr>
        <w:t>全额事业编制</w:t>
      </w:r>
      <w:r>
        <w:rPr>
          <w:rFonts w:hint="eastAsia" w:ascii="仿宋_GB2312" w:hAnsi="仿宋_GB2312" w:eastAsia="仿宋_GB2312" w:cs="仿宋_GB2312"/>
          <w:sz w:val="32"/>
          <w:szCs w:val="32"/>
          <w:lang w:eastAsia="zh-CN"/>
        </w:rPr>
        <w:t>数</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实有人数13名，</w:t>
      </w:r>
      <w:r>
        <w:rPr>
          <w:rFonts w:hint="eastAsia" w:ascii="仿宋_GB2312" w:hAnsi="仿宋_GB2312" w:eastAsia="仿宋_GB2312" w:cs="仿宋_GB2312"/>
          <w:sz w:val="32"/>
          <w:szCs w:val="32"/>
        </w:rPr>
        <w:t>退休人员</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下辖办公室（研究室、法规室）；干部室（干部队伍建设规划办公室）；组织指导和党员管理室；干部教育监督室（举报中心、信访室）；党员教育中心；公务员一室；公务员二室；老干部管理室共8个科室。</w:t>
      </w:r>
      <w:r>
        <w:rPr>
          <w:rFonts w:hint="eastAsia" w:ascii="仿宋_GB2312" w:hAnsi="仿宋_GB2312" w:eastAsia="仿宋_GB2312" w:cs="仿宋_GB2312"/>
          <w:sz w:val="32"/>
          <w:szCs w:val="32"/>
        </w:rPr>
        <w:t>双牌县直属机关工作委员</w:t>
      </w:r>
      <w:r>
        <w:rPr>
          <w:rFonts w:hint="eastAsia" w:ascii="仿宋_GB2312" w:hAnsi="仿宋_GB2312" w:eastAsia="仿宋_GB2312" w:cs="仿宋_GB2312"/>
          <w:sz w:val="32"/>
          <w:szCs w:val="32"/>
          <w:lang w:eastAsia="zh-CN"/>
        </w:rPr>
        <w:t>办公室、</w:t>
      </w:r>
      <w:r>
        <w:rPr>
          <w:rFonts w:hint="eastAsia" w:ascii="仿宋_GB2312" w:hAnsi="仿宋_GB2312" w:eastAsia="仿宋_GB2312" w:cs="仿宋_GB2312"/>
          <w:sz w:val="32"/>
          <w:szCs w:val="32"/>
          <w:lang w:val="en-US" w:eastAsia="zh-CN"/>
        </w:rPr>
        <w:t>县委非公有制经济和社会组织党工委办公室、县委基层党建工作领导小组办公室 、县委考核办归口组织部管理。</w:t>
      </w:r>
    </w:p>
    <w:p>
      <w:pPr>
        <w:pStyle w:val="9"/>
        <w:spacing w:beforeLines="0" w:afterLines="0" w:line="570" w:lineRule="exact"/>
        <w:ind w:firstLine="640"/>
        <w:outlineLvl w:val="0"/>
        <w:rPr>
          <w:rFonts w:hint="default" w:ascii="Times New Roman" w:hAnsi="Times New Roman" w:eastAsia="黑体"/>
          <w:sz w:val="32"/>
          <w:szCs w:val="24"/>
        </w:rPr>
      </w:pPr>
      <w:r>
        <w:rPr>
          <w:rFonts w:hint="eastAsia" w:ascii="Times New Roman" w:hAnsi="Times New Roman" w:eastAsia="黑体"/>
          <w:sz w:val="32"/>
          <w:szCs w:val="24"/>
        </w:rPr>
        <w:t>二、一般公共预算支出情况</w:t>
      </w:r>
    </w:p>
    <w:p>
      <w:pPr>
        <w:pStyle w:val="9"/>
        <w:spacing w:beforeLines="0" w:afterLines="0" w:line="570" w:lineRule="exact"/>
        <w:ind w:firstLine="640"/>
        <w:outlineLvl w:val="1"/>
        <w:rPr>
          <w:rFonts w:hint="eastAsia" w:ascii="Times New Roman" w:hAnsi="Times New Roman" w:eastAsia="仿宋_GB2312"/>
          <w:sz w:val="32"/>
          <w:szCs w:val="24"/>
        </w:rPr>
      </w:pPr>
      <w:r>
        <w:rPr>
          <w:rFonts w:hint="eastAsia" w:ascii="Times New Roman" w:hAnsi="Times New Roman" w:eastAsia="仿宋_GB2312"/>
          <w:sz w:val="32"/>
          <w:szCs w:val="24"/>
        </w:rPr>
        <w:t>（一）基本支出情况</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default" w:ascii="Times New Roman" w:hAnsi="Times New Roman" w:eastAsia="仿宋_GB2312"/>
          <w:sz w:val="32"/>
          <w:szCs w:val="24"/>
          <w:lang w:val="en-US" w:eastAsia="zh-CN"/>
        </w:rPr>
      </w:pPr>
      <w:r>
        <w:rPr>
          <w:rFonts w:hint="eastAsia" w:ascii="Times New Roman" w:hAnsi="Times New Roman" w:eastAsia="仿宋_GB2312"/>
          <w:sz w:val="32"/>
          <w:szCs w:val="24"/>
          <w:lang w:eastAsia="zh-CN"/>
        </w:rPr>
        <w:t>基本支出总额</w:t>
      </w:r>
      <w:r>
        <w:rPr>
          <w:rFonts w:hint="eastAsia" w:ascii="Times New Roman" w:hAnsi="Times New Roman" w:eastAsia="仿宋_GB2312"/>
          <w:sz w:val="32"/>
          <w:szCs w:val="24"/>
          <w:lang w:val="en-US" w:eastAsia="zh-CN"/>
        </w:rPr>
        <w:t>429.39万元，其中人员经费支出390.72万元，</w:t>
      </w:r>
      <w:r>
        <w:rPr>
          <w:rFonts w:hint="eastAsia" w:ascii="仿宋_GB2312" w:hAnsi="仿宋_GB2312" w:eastAsia="仿宋_GB2312" w:cs="仿宋_GB2312"/>
          <w:sz w:val="32"/>
          <w:szCs w:val="32"/>
          <w:lang w:val="en-US" w:eastAsia="zh-CN"/>
        </w:rPr>
        <w:t>主要包括：基本工资、津贴补贴、奖金、社会保障缴费、其他工资福利支出、离休费、退休费、抚恤金、奖励金、住房公积金、其他对个人和家庭的补助支出；一般公共预算财政拨款基本支出中</w:t>
      </w:r>
      <w:r>
        <w:rPr>
          <w:rFonts w:hint="eastAsia" w:ascii="Times New Roman" w:hAnsi="Times New Roman" w:eastAsia="仿宋_GB2312"/>
          <w:sz w:val="32"/>
          <w:szCs w:val="24"/>
          <w:lang w:val="en-US" w:eastAsia="zh-CN"/>
        </w:rPr>
        <w:t>公用经费支出38.67万元；</w:t>
      </w:r>
      <w:r>
        <w:rPr>
          <w:rFonts w:hint="eastAsia" w:ascii="仿宋_GB2312" w:hAnsi="仿宋_GB2312" w:eastAsia="仿宋_GB2312" w:cs="仿宋_GB2312"/>
          <w:sz w:val="32"/>
          <w:szCs w:val="32"/>
          <w:lang w:val="en-US" w:eastAsia="zh-CN"/>
        </w:rPr>
        <w:t>，主要包括：办公费、印刷费、邮电费、差旅费、维修（护）费、会议费、培训费、公务接待费、劳务费、工会经费、福利费、公务用车运行维护费、其他交通费用、其他商品和服务支出。</w:t>
      </w:r>
    </w:p>
    <w:p>
      <w:pPr>
        <w:pStyle w:val="9"/>
        <w:keepNext w:val="0"/>
        <w:keepLines w:val="0"/>
        <w:pageBreakBefore w:val="0"/>
        <w:numPr>
          <w:ilvl w:val="0"/>
          <w:numId w:val="1"/>
        </w:numPr>
        <w:kinsoku/>
        <w:wordWrap/>
        <w:overflowPunct/>
        <w:topLinePunct w:val="0"/>
        <w:autoSpaceDE/>
        <w:autoSpaceDN/>
        <w:bidi w:val="0"/>
        <w:adjustRightInd/>
        <w:snapToGrid/>
        <w:spacing w:line="500" w:lineRule="exact"/>
        <w:ind w:leftChars="200" w:firstLine="320" w:firstLineChars="100"/>
        <w:textAlignment w:val="auto"/>
        <w:rPr>
          <w:rFonts w:hint="default" w:ascii="Times New Roman" w:hAnsi="Times New Roman" w:eastAsia="仿宋_GB2312"/>
          <w:sz w:val="32"/>
          <w:szCs w:val="24"/>
        </w:rPr>
      </w:pPr>
      <w:r>
        <w:rPr>
          <w:rFonts w:hint="eastAsia" w:ascii="仿宋" w:hAnsi="仿宋" w:eastAsia="仿宋" w:cs="仿宋"/>
          <w:sz w:val="32"/>
          <w:szCs w:val="32"/>
        </w:rPr>
        <w:t>项目支出情况</w:t>
      </w:r>
    </w:p>
    <w:p>
      <w:pPr>
        <w:keepNext w:val="0"/>
        <w:keepLines w:val="0"/>
        <w:pageBreakBefore w:val="0"/>
        <w:widowControl/>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24"/>
        </w:rPr>
        <w:t>项目支出情况</w:t>
      </w:r>
      <w:r>
        <w:rPr>
          <w:rFonts w:hint="eastAsia" w:ascii="Times New Roman" w:hAnsi="Times New Roman" w:eastAsia="仿宋_GB2312"/>
          <w:sz w:val="32"/>
          <w:szCs w:val="24"/>
          <w:lang w:eastAsia="zh-CN"/>
        </w:rPr>
        <w:t>：项目支出总额</w:t>
      </w:r>
      <w:r>
        <w:rPr>
          <w:rFonts w:hint="eastAsia" w:ascii="Times New Roman" w:hAnsi="Times New Roman" w:eastAsia="仿宋_GB2312"/>
          <w:sz w:val="32"/>
          <w:szCs w:val="24"/>
          <w:lang w:val="en-US" w:eastAsia="zh-CN"/>
        </w:rPr>
        <w:t>795.04万元；</w:t>
      </w:r>
      <w:r>
        <w:rPr>
          <w:rFonts w:hint="eastAsia" w:ascii="仿宋_GB2312" w:hAnsi="仿宋_GB2312" w:eastAsia="仿宋_GB2312" w:cs="仿宋_GB2312"/>
          <w:sz w:val="32"/>
          <w:szCs w:val="32"/>
          <w:lang w:val="en-US" w:eastAsia="zh-CN"/>
        </w:rPr>
        <w:t>占总支出的比重为64.93%，是指单位为完成特定行政工作任务或事业发展目标而发生的支出，其中：1、人才引进工作 2、村干部工资、体检 3、基层党建工作督查等</w:t>
      </w:r>
    </w:p>
    <w:p>
      <w:pPr>
        <w:pStyle w:val="9"/>
        <w:spacing w:beforeLines="0" w:afterLines="0" w:line="570" w:lineRule="exact"/>
        <w:ind w:firstLine="640"/>
        <w:jc w:val="left"/>
        <w:outlineLvl w:val="0"/>
        <w:rPr>
          <w:rFonts w:hint="eastAsia" w:ascii="Times New Roman" w:hAnsi="Times New Roman" w:eastAsia="仿宋_GB2312"/>
          <w:color w:val="000000"/>
          <w:sz w:val="32"/>
          <w:szCs w:val="24"/>
          <w:lang w:eastAsia="zh-CN"/>
        </w:rPr>
      </w:pPr>
      <w:r>
        <w:rPr>
          <w:rFonts w:hint="eastAsia" w:ascii="Times New Roman" w:hAnsi="Times New Roman" w:eastAsia="黑体"/>
          <w:sz w:val="32"/>
          <w:szCs w:val="24"/>
        </w:rPr>
        <w:t>三、政府性基金预算支出情况。</w:t>
      </w:r>
      <w:r>
        <w:rPr>
          <w:rFonts w:hint="eastAsia" w:ascii="Times New Roman" w:hAnsi="Times New Roman" w:eastAsia="仿宋_GB2312"/>
          <w:color w:val="000000"/>
          <w:sz w:val="32"/>
          <w:szCs w:val="24"/>
        </w:rPr>
        <w:t>我单位无政府性基金预算支出情况</w:t>
      </w:r>
      <w:r>
        <w:rPr>
          <w:rFonts w:hint="eastAsia" w:ascii="Times New Roman" w:hAnsi="Times New Roman" w:eastAsia="仿宋_GB2312"/>
          <w:color w:val="000000"/>
          <w:sz w:val="32"/>
          <w:szCs w:val="24"/>
          <w:lang w:eastAsia="zh-CN"/>
        </w:rPr>
        <w:t>；</w:t>
      </w:r>
    </w:p>
    <w:p>
      <w:pPr>
        <w:pStyle w:val="9"/>
        <w:spacing w:beforeLines="0" w:afterLines="0" w:line="570" w:lineRule="exact"/>
        <w:ind w:firstLine="640"/>
        <w:jc w:val="left"/>
        <w:outlineLvl w:val="0"/>
        <w:rPr>
          <w:rFonts w:hint="eastAsia" w:ascii="Times New Roman" w:hAnsi="Times New Roman" w:eastAsia="仿宋_GB2312"/>
          <w:sz w:val="32"/>
          <w:szCs w:val="24"/>
          <w:lang w:eastAsia="zh-CN"/>
        </w:rPr>
      </w:pPr>
      <w:r>
        <w:rPr>
          <w:rFonts w:hint="eastAsia" w:ascii="Times New Roman" w:hAnsi="Times New Roman" w:eastAsia="黑体"/>
          <w:sz w:val="32"/>
          <w:szCs w:val="24"/>
        </w:rPr>
        <w:t>四、国有资本经营预算支出情况。</w:t>
      </w:r>
      <w:r>
        <w:rPr>
          <w:rFonts w:hint="eastAsia" w:ascii="Times New Roman" w:hAnsi="Times New Roman" w:eastAsia="仿宋_GB2312"/>
          <w:color w:val="000000"/>
          <w:sz w:val="32"/>
          <w:szCs w:val="24"/>
        </w:rPr>
        <w:t>我单位无国有资本经营预算支出情况</w:t>
      </w:r>
      <w:r>
        <w:rPr>
          <w:rFonts w:hint="eastAsia" w:ascii="Times New Roman" w:hAnsi="Times New Roman" w:eastAsia="仿宋_GB2312"/>
          <w:color w:val="000000"/>
          <w:sz w:val="32"/>
          <w:szCs w:val="24"/>
          <w:lang w:eastAsia="zh-CN"/>
        </w:rPr>
        <w:t>；</w:t>
      </w:r>
    </w:p>
    <w:p>
      <w:pPr>
        <w:pStyle w:val="9"/>
        <w:spacing w:beforeLines="0" w:afterLines="0" w:line="570" w:lineRule="exact"/>
        <w:ind w:firstLine="640"/>
        <w:jc w:val="left"/>
        <w:outlineLvl w:val="0"/>
        <w:rPr>
          <w:rFonts w:hint="eastAsia" w:ascii="Times New Roman" w:hAnsi="Times New Roman" w:eastAsia="仿宋_GB2312"/>
          <w:sz w:val="32"/>
          <w:szCs w:val="24"/>
          <w:lang w:eastAsia="zh-CN"/>
        </w:rPr>
      </w:pPr>
      <w:r>
        <w:rPr>
          <w:rFonts w:hint="eastAsia" w:ascii="Times New Roman" w:hAnsi="Times New Roman" w:eastAsia="黑体"/>
          <w:sz w:val="32"/>
          <w:szCs w:val="24"/>
        </w:rPr>
        <w:t>五、社会保险基金预算支出情况。</w:t>
      </w:r>
      <w:r>
        <w:rPr>
          <w:rFonts w:hint="eastAsia" w:ascii="Times New Roman" w:hAnsi="Times New Roman" w:eastAsia="仿宋_GB2312"/>
          <w:color w:val="000000"/>
          <w:sz w:val="32"/>
          <w:szCs w:val="24"/>
        </w:rPr>
        <w:t>我单位无社会保险基金预算支出情况</w:t>
      </w:r>
      <w:r>
        <w:rPr>
          <w:rFonts w:hint="eastAsia" w:ascii="Times New Roman" w:hAnsi="Times New Roman" w:eastAsia="仿宋_GB2312"/>
          <w:color w:val="000000"/>
          <w:sz w:val="32"/>
          <w:szCs w:val="24"/>
          <w:lang w:eastAsia="zh-CN"/>
        </w:rPr>
        <w:t>；</w:t>
      </w:r>
    </w:p>
    <w:p>
      <w:pPr>
        <w:spacing w:beforeLines="0" w:afterLines="0" w:line="570" w:lineRule="exact"/>
        <w:ind w:firstLine="645"/>
        <w:jc w:val="left"/>
        <w:outlineLvl w:val="0"/>
        <w:rPr>
          <w:rFonts w:hint="default" w:eastAsia="黑体"/>
          <w:sz w:val="32"/>
          <w:szCs w:val="24"/>
        </w:rPr>
      </w:pPr>
      <w:r>
        <w:rPr>
          <w:rFonts w:hint="eastAsia" w:eastAsia="黑体"/>
          <w:sz w:val="32"/>
          <w:szCs w:val="24"/>
        </w:rPr>
        <w:t>六、部门整体支出绩效情况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_GB2312" w:hAnsi="仿宋_GB2312" w:eastAsia="仿宋_GB2312" w:cs="仿宋_GB2312"/>
          <w:kern w:val="2"/>
          <w:sz w:val="32"/>
          <w:szCs w:val="32"/>
          <w:lang w:val="en-US" w:eastAsia="zh-CN" w:bidi="ar-SA"/>
        </w:rPr>
        <w:t>聚焦县委决策部署用干部、强党建、聚人才，在服务发展大局中谋划组织工作、推动组织工作、检验组织工作。</w:t>
      </w:r>
      <w:r>
        <w:rPr>
          <w:rFonts w:hint="eastAsia" w:ascii="仿宋_GB2312" w:eastAsia="仿宋_GB2312" w:cs="Times New Roman"/>
          <w:sz w:val="32"/>
          <w:szCs w:val="32"/>
        </w:rPr>
        <w:t>《点绿成金的“两山”密码》荣获全省学习贯彻党的二十大精神精品微党课和党员教育电视片二等奖</w:t>
      </w:r>
      <w:r>
        <w:rPr>
          <w:rFonts w:hint="eastAsia" w:ascii="仿宋_GB2312" w:eastAsia="仿宋_GB2312" w:cs="Times New Roman"/>
          <w:sz w:val="32"/>
          <w:szCs w:val="32"/>
          <w:lang w:eastAsia="zh-CN"/>
        </w:rPr>
        <w:t>（全市</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lang w:eastAsia="zh-CN"/>
        </w:rPr>
        <w:t>个），县委党校</w:t>
      </w:r>
      <w:r>
        <w:rPr>
          <w:rFonts w:hint="eastAsia" w:ascii="仿宋_GB2312" w:eastAsia="仿宋_GB2312" w:cs="Times New Roman"/>
          <w:sz w:val="32"/>
          <w:szCs w:val="32"/>
          <w:lang w:val="en-US" w:eastAsia="zh-CN"/>
        </w:rPr>
        <w:t>在全市县（区）办学水平</w:t>
      </w:r>
      <w:r>
        <w:rPr>
          <w:rFonts w:hint="eastAsia" w:ascii="仿宋_GB2312" w:eastAsia="仿宋_GB2312" w:cs="Times New Roman"/>
          <w:sz w:val="32"/>
          <w:szCs w:val="32"/>
          <w:lang w:eastAsia="zh-CN"/>
        </w:rPr>
        <w:t>评估工作前三名</w:t>
      </w:r>
      <w:r>
        <w:rPr>
          <w:rFonts w:hint="eastAsia" w:ascii="仿宋_GB2312" w:eastAsia="仿宋_GB2312" w:cs="Times New Roman"/>
          <w:sz w:val="32"/>
          <w:szCs w:val="32"/>
          <w:lang w:val="en-US" w:eastAsia="zh-CN"/>
        </w:rPr>
        <w:t>。</w:t>
      </w:r>
      <w:r>
        <w:rPr>
          <w:rFonts w:hint="eastAsia" w:ascii="仿宋_GB2312" w:hAnsi="仿宋_GB2312" w:eastAsia="仿宋_GB2312" w:cs="仿宋_GB2312"/>
          <w:kern w:val="0"/>
          <w:sz w:val="32"/>
          <w:szCs w:val="32"/>
        </w:rPr>
        <w:t>在全市率先完成《湖南省党政领导班子建设规划纲要》所明确的各项指标要求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eastAsia="zh-CN"/>
        </w:rPr>
        <w:t>入选全省基层党建优秀实践项目</w:t>
      </w:r>
      <w:r>
        <w:rPr>
          <w:rFonts w:hint="eastAsia" w:ascii="仿宋_GB2312" w:hAnsi="仿宋_GB2312" w:eastAsia="仿宋_GB2312" w:cs="仿宋_GB2312"/>
          <w:kern w:val="0"/>
          <w:sz w:val="32"/>
          <w:szCs w:val="32"/>
          <w:lang w:val="en-US" w:eastAsia="zh-CN"/>
        </w:rPr>
        <w:t>1个（全市4个）</w:t>
      </w:r>
      <w:r>
        <w:rPr>
          <w:rFonts w:hint="eastAsia" w:ascii="仿宋_GB2312" w:hAnsi="仿宋_GB2312" w:eastAsia="仿宋_GB2312" w:cs="仿宋_GB2312"/>
          <w:kern w:val="0"/>
          <w:sz w:val="32"/>
          <w:szCs w:val="32"/>
          <w:lang w:eastAsia="zh-CN"/>
        </w:rPr>
        <w:t>、驻村帮扶典型案例1个和离退休干部党建创新优秀案例</w:t>
      </w:r>
      <w:r>
        <w:rPr>
          <w:rFonts w:hint="eastAsia" w:ascii="仿宋_GB2312" w:hAnsi="仿宋_GB2312" w:eastAsia="仿宋_GB2312" w:cs="仿宋_GB2312"/>
          <w:kern w:val="0"/>
          <w:sz w:val="32"/>
          <w:szCs w:val="32"/>
          <w:lang w:val="en-US" w:eastAsia="zh-CN"/>
        </w:rPr>
        <w:t>1个，</w:t>
      </w:r>
      <w:r>
        <w:rPr>
          <w:rFonts w:hint="eastAsia" w:ascii="仿宋_GB2312" w:hAnsi="仿宋_GB2312" w:eastAsia="仿宋_GB2312" w:cs="仿宋_GB2312"/>
          <w:kern w:val="0"/>
          <w:sz w:val="32"/>
          <w:szCs w:val="32"/>
          <w:lang w:eastAsia="zh-CN"/>
        </w:rPr>
        <w:t>获评全省抓党建促乡村振兴示范村</w:t>
      </w:r>
      <w:r>
        <w:rPr>
          <w:rFonts w:hint="eastAsia" w:ascii="仿宋_GB2312" w:hAnsi="仿宋_GB2312" w:eastAsia="仿宋_GB2312" w:cs="仿宋_GB2312"/>
          <w:kern w:val="0"/>
          <w:sz w:val="32"/>
          <w:szCs w:val="32"/>
          <w:lang w:val="en-US" w:eastAsia="zh-CN"/>
        </w:rPr>
        <w:t>1个（全市9个）</w:t>
      </w:r>
      <w:r>
        <w:rPr>
          <w:rFonts w:hint="eastAsia" w:ascii="仿宋_GB2312" w:hAnsi="仿宋_GB2312" w:eastAsia="仿宋_GB2312" w:cs="仿宋_GB2312"/>
          <w:kern w:val="0"/>
          <w:sz w:val="32"/>
          <w:szCs w:val="32"/>
          <w:lang w:eastAsia="zh-CN"/>
        </w:rPr>
        <w:t>、担当作为好支书1名（全市</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lang w:eastAsia="zh-CN"/>
        </w:rPr>
        <w:t>名）、全市抓党建促乡村振兴示范村担当作为好支书</w:t>
      </w:r>
      <w:r>
        <w:rPr>
          <w:rFonts w:hint="eastAsia" w:ascii="仿宋_GB2312" w:hAnsi="仿宋_GB2312" w:eastAsia="仿宋_GB2312" w:cs="仿宋_GB2312"/>
          <w:kern w:val="0"/>
          <w:sz w:val="32"/>
          <w:szCs w:val="32"/>
          <w:lang w:val="en-US" w:eastAsia="zh-CN"/>
        </w:rPr>
        <w:t>2名</w:t>
      </w:r>
      <w:r>
        <w:rPr>
          <w:rFonts w:hint="eastAsia" w:ascii="仿宋_GB2312" w:hAnsi="仿宋_GB2312" w:eastAsia="仿宋_GB2312" w:cs="仿宋_GB2312"/>
          <w:kern w:val="0"/>
          <w:sz w:val="32"/>
          <w:szCs w:val="32"/>
          <w:lang w:eastAsia="zh-CN"/>
        </w:rPr>
        <w:t>（全市</w:t>
      </w:r>
      <w:r>
        <w:rPr>
          <w:rFonts w:hint="eastAsia" w:ascii="仿宋_GB2312" w:hAnsi="仿宋_GB2312" w:eastAsia="仿宋_GB2312" w:cs="仿宋_GB2312"/>
          <w:kern w:val="0"/>
          <w:sz w:val="32"/>
          <w:szCs w:val="32"/>
          <w:lang w:val="en-US" w:eastAsia="zh-CN"/>
        </w:rPr>
        <w:t>15名</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湖南德普瑞获评2023年湖南省专家工作站（全市2个）</w:t>
      </w:r>
      <w:r>
        <w:rPr>
          <w:rFonts w:hint="eastAsia" w:ascii="仿宋_GB2312" w:hAnsi="仿宋_GB2312" w:eastAsia="仿宋_GB2312" w:cs="仿宋_GB2312"/>
          <w:sz w:val="32"/>
          <w:szCs w:val="32"/>
          <w:lang w:eastAsia="zh-CN"/>
        </w:rPr>
        <w:t>。双牌县科技专家服务团荣获2022年度“湖南省优秀科技专家服务团”称号（全省14个）、有竹科技陈林碧获评“</w:t>
      </w:r>
      <w:r>
        <w:rPr>
          <w:rFonts w:hint="eastAsia" w:ascii="仿宋_GB2312" w:hAnsi="仿宋_GB2312" w:eastAsia="仿宋_GB2312" w:cs="仿宋_GB2312"/>
          <w:sz w:val="32"/>
          <w:szCs w:val="32"/>
          <w:lang w:val="en-US" w:eastAsia="zh-CN"/>
        </w:rPr>
        <w:t>2023年湖南省卓越工程师</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lang w:eastAsia="zh-CN"/>
        </w:rPr>
        <w:t>）。</w:t>
      </w:r>
    </w:p>
    <w:p>
      <w:pPr>
        <w:pStyle w:val="9"/>
        <w:spacing w:beforeLines="0" w:afterLines="0" w:line="570" w:lineRule="exact"/>
        <w:ind w:firstLine="640"/>
        <w:jc w:val="left"/>
        <w:outlineLvl w:val="0"/>
        <w:rPr>
          <w:rFonts w:hint="default" w:ascii="Times New Roman" w:hAnsi="Times New Roman" w:eastAsia="黑体"/>
          <w:sz w:val="32"/>
          <w:szCs w:val="24"/>
        </w:rPr>
      </w:pPr>
      <w:r>
        <w:rPr>
          <w:rFonts w:hint="eastAsia" w:ascii="Times New Roman" w:hAnsi="Times New Roman" w:eastAsia="黑体"/>
          <w:sz w:val="32"/>
          <w:szCs w:val="24"/>
        </w:rPr>
        <w:t>七、存在的问题及原因分析</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1、预算编制不功能科目区分的不够细致，导致年底决算数与预算数相差较大。</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2、存在不可预见的支出，导致年底决算数与预算数相差较大。</w:t>
      </w:r>
    </w:p>
    <w:p>
      <w:pPr>
        <w:pStyle w:val="10"/>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3、固定资产管理不够细致，未到年限的资产存在无法使用的情况，例如办公电脑老化，办公桌椅损坏等，需进一步加强管理。</w:t>
      </w:r>
    </w:p>
    <w:p>
      <w:pPr>
        <w:spacing w:beforeLines="0" w:afterLines="0" w:line="570" w:lineRule="exact"/>
        <w:ind w:firstLine="640" w:firstLineChars="200"/>
        <w:jc w:val="left"/>
        <w:outlineLvl w:val="0"/>
        <w:rPr>
          <w:rFonts w:hint="eastAsia" w:eastAsia="黑体"/>
          <w:sz w:val="32"/>
          <w:szCs w:val="24"/>
        </w:rPr>
      </w:pPr>
      <w:r>
        <w:rPr>
          <w:rFonts w:hint="eastAsia" w:eastAsia="黑体"/>
          <w:sz w:val="32"/>
          <w:szCs w:val="24"/>
        </w:rPr>
        <w:t>八、下一步改进措施</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针对上述存在的问题及我单位整体支出管理工作的需要，拟实施的改进措施如下：</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细化预算编制工作，认真做好预算的编制。进一步加强局内部机构各股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2、加强财务管理，严格财务审核。在费用报账支付时，按照预算规定的费用项目和用途进行资金使用审核、列报支付、财务核算，杜绝超支现象的发生。</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持续抓好“三公”经费控制管理。严格控制“三公”经费的规模和比例，把关“三公”经费支出的审核、审批，杜绝挪用和挤占其他预算资金行为；进一步细化“三公”经费的管理，合理压缩“三公”经费支出。</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黑体"/>
          <w:sz w:val="32"/>
          <w:szCs w:val="24"/>
        </w:rPr>
      </w:pPr>
      <w:r>
        <w:rPr>
          <w:rFonts w:hint="eastAsia" w:ascii="仿宋_GB2312" w:hAnsi="仿宋_GB2312" w:eastAsia="仿宋_GB2312" w:cs="仿宋_GB2312"/>
          <w:kern w:val="2"/>
          <w:sz w:val="32"/>
          <w:szCs w:val="32"/>
          <w:lang w:val="en-US" w:eastAsia="zh-CN" w:bidi="ar-SA"/>
        </w:rPr>
        <w:t>4、加强项目开展进度的跟踪，开展项目绩效评价，确保项目绩效目标的完成。</w:t>
      </w:r>
    </w:p>
    <w:p>
      <w:pPr>
        <w:spacing w:beforeLines="0" w:afterLines="0" w:line="570" w:lineRule="exact"/>
        <w:ind w:firstLine="645"/>
        <w:jc w:val="left"/>
        <w:outlineLvl w:val="0"/>
        <w:rPr>
          <w:rFonts w:hint="eastAsia" w:eastAsia="黑体"/>
          <w:sz w:val="32"/>
          <w:szCs w:val="24"/>
        </w:rPr>
      </w:pPr>
      <w:r>
        <w:rPr>
          <w:rFonts w:hint="eastAsia" w:eastAsia="黑体"/>
          <w:sz w:val="32"/>
          <w:szCs w:val="24"/>
        </w:rPr>
        <w:t>九、部门整体支出绩效自评结果拟应用和公开情况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由于项目支出包含了县批项目资金，因此造成了</w:t>
      </w:r>
      <w:r>
        <w:rPr>
          <w:rFonts w:hint="eastAsia" w:ascii="仿宋_GB2312" w:hAnsi="仿宋_GB2312" w:eastAsia="仿宋_GB2312" w:cs="仿宋_GB2312"/>
          <w:sz w:val="32"/>
          <w:szCs w:val="32"/>
          <w:lang w:eastAsia="zh-CN"/>
        </w:rPr>
        <w:t>全年决算数</w:t>
      </w:r>
      <w:r>
        <w:rPr>
          <w:rFonts w:hint="eastAsia" w:ascii="仿宋_GB2312" w:hAnsi="仿宋_GB2312" w:eastAsia="仿宋_GB2312" w:cs="仿宋_GB2312"/>
          <w:sz w:val="32"/>
          <w:szCs w:val="32"/>
        </w:rPr>
        <w:t>项目支出金额大于了年初预算数。</w:t>
      </w: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spacing w:beforeLines="0" w:after="120" w:afterLines="50" w:line="600" w:lineRule="exact"/>
        <w:rPr>
          <w:rFonts w:hint="default" w:eastAsia="黑体"/>
          <w:sz w:val="32"/>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beforeLines="0" w:afterLines="0" w:line="44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年度部门整体支出绩效评价基础数据表</w:t>
      </w:r>
    </w:p>
    <w:tbl>
      <w:tblPr>
        <w:tblStyle w:val="6"/>
        <w:tblW w:w="960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0"/>
        <w:gridCol w:w="1062"/>
        <w:gridCol w:w="784"/>
        <w:gridCol w:w="1228"/>
        <w:gridCol w:w="1062"/>
        <w:gridCol w:w="1027"/>
        <w:gridCol w:w="10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财政供养人员情况（人）</w:t>
            </w:r>
          </w:p>
        </w:tc>
        <w:tc>
          <w:tcPr>
            <w:tcW w:w="1846"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编制数</w:t>
            </w:r>
          </w:p>
        </w:tc>
        <w:tc>
          <w:tcPr>
            <w:tcW w:w="2290" w:type="dxa"/>
            <w:gridSpan w:val="2"/>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年实际在职人数</w:t>
            </w:r>
          </w:p>
        </w:tc>
        <w:tc>
          <w:tcPr>
            <w:tcW w:w="2072" w:type="dxa"/>
            <w:gridSpan w:val="2"/>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44</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29</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65%</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经费控制情况（万元）</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rPr>
              <w:t>年决算数</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年预算数</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w:t>
            </w: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rPr>
              <w:t>年决算数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一、部门基本支出</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val="en-US" w:eastAsia="zh-CN"/>
              </w:rPr>
              <w:t>386.73</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497.96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429.39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其中：公用经费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val="en-US" w:eastAsia="zh-CN"/>
              </w:rPr>
              <w:t>43.68</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37.2</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38.67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其中：办公费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6</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水费、电费、差旅费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6.43</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20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19.41</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会议费、培训费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三公经费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6.25</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6.4</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5.25</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1.公务用车购置和维护经费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其中：公务车购置</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公务车运行维护</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2.出国经费</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0</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3.公务接待</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6.25</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6.4</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960" w:firstLineChars="4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二、项目支出小计</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307.42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173.58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795.04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1.（一个项目一行）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307.42</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173.58</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795.04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ind w:firstLine="240" w:firstLineChars="1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2.（一个专项一行）</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3.（一个项目一行）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政府采购金额</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50</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166.84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3400"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部门基本支出预算调整 </w:t>
            </w:r>
          </w:p>
        </w:tc>
        <w:tc>
          <w:tcPr>
            <w:tcW w:w="18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229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val="en-US" w:eastAsia="zh-CN"/>
              </w:rPr>
              <w:t>497.96</w:t>
            </w:r>
          </w:p>
        </w:tc>
        <w:tc>
          <w:tcPr>
            <w:tcW w:w="2072" w:type="dxa"/>
            <w:gridSpan w:val="2"/>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sz w:val="24"/>
                <w:szCs w:val="24"/>
                <w:lang w:val="en-US" w:eastAsia="zh-CN"/>
              </w:rPr>
              <w:t>429.39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0" w:hRule="atLeast"/>
          <w:jc w:val="center"/>
        </w:trPr>
        <w:tc>
          <w:tcPr>
            <w:tcW w:w="3400"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楼堂馆所控制情况</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年完工项目）</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批复规模</w:t>
            </w:r>
          </w:p>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实际规模（㎡）</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规模控制率</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预算投资（万元）</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实际投资（万元）</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投资概算控制率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3400"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rPr>
            </w:pP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　</w:t>
            </w:r>
          </w:p>
        </w:tc>
        <w:tc>
          <w:tcPr>
            <w:tcW w:w="7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22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6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2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c>
          <w:tcPr>
            <w:tcW w:w="10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w:t>
            </w:r>
            <w:r>
              <w:rPr>
                <w:rFonts w:hint="eastAsia" w:asciiTheme="minorEastAsia" w:hAnsiTheme="minorEastAsia" w:eastAsiaTheme="minorEastAsia" w:cstheme="minorEastAsia"/>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9" w:hRule="atLeast"/>
          <w:jc w:val="center"/>
        </w:trPr>
        <w:tc>
          <w:tcPr>
            <w:tcW w:w="3400" w:type="dxa"/>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厉行节约保障措施</w:t>
            </w:r>
          </w:p>
        </w:tc>
        <w:tc>
          <w:tcPr>
            <w:tcW w:w="6208" w:type="dxa"/>
            <w:gridSpan w:val="6"/>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仿宋_GB2312" w:hAnsi="仿宋_GB2312" w:eastAsia="仿宋_GB2312" w:cs="仿宋_GB2312"/>
                <w:kern w:val="2"/>
                <w:sz w:val="22"/>
                <w:szCs w:val="22"/>
                <w:lang w:val="en-US" w:eastAsia="zh-CN" w:bidi="ar-SA"/>
              </w:rPr>
              <w:t>持续抓好“三公”经费控制管理。严格控制“三公”经费的规模和比例，加强财务管理</w:t>
            </w:r>
            <w:r>
              <w:rPr>
                <w:rFonts w:hint="eastAsia" w:asciiTheme="minorEastAsia" w:hAnsiTheme="minorEastAsia" w:eastAsiaTheme="minorEastAsia" w:cstheme="minorEastAsia"/>
                <w:sz w:val="24"/>
                <w:szCs w:val="24"/>
              </w:rPr>
              <w:t>　</w:t>
            </w:r>
          </w:p>
        </w:tc>
      </w:tr>
    </w:tbl>
    <w:p>
      <w:pPr>
        <w:spacing w:beforeLines="0" w:afterLines="0" w:line="100" w:lineRule="exact"/>
        <w:jc w:val="left"/>
        <w:rPr>
          <w:rFonts w:hint="eastAsia" w:asciiTheme="minorEastAsia" w:hAnsiTheme="minorEastAsia" w:eastAsiaTheme="minorEastAsia" w:cstheme="minorEastAsia"/>
          <w:sz w:val="24"/>
          <w:szCs w:val="24"/>
        </w:rPr>
      </w:pPr>
    </w:p>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说明：“项目支出”需要填报基本支出以外的所有项目支出情况，“公用经费”填报基本支出中的一般商品和服务支出。</w:t>
      </w:r>
    </w:p>
    <w:p>
      <w:pPr>
        <w:spacing w:beforeLines="0" w:afterLines="0" w:line="100" w:lineRule="exact"/>
        <w:jc w:val="left"/>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sz w:val="32"/>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黄超男</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2024.3.8</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18074660390</w:t>
      </w:r>
      <w:r>
        <w:rPr>
          <w:rFonts w:hint="eastAsia" w:asciiTheme="minorEastAsia" w:hAnsiTheme="minorEastAsia" w:eastAsiaTheme="minorEastAsia" w:cstheme="minorEastAsia"/>
          <w:sz w:val="24"/>
          <w:szCs w:val="24"/>
        </w:rPr>
        <w:t xml:space="preserve">            单位负责人签字：</w:t>
      </w:r>
      <w:r>
        <w:rPr>
          <w:rFonts w:hint="default" w:eastAsia="仿宋_GB2312"/>
          <w:sz w:val="22"/>
          <w:szCs w:val="24"/>
        </w:rPr>
        <w:br w:type="page"/>
      </w: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年度部门整体支出绩效自评表</w:t>
      </w:r>
    </w:p>
    <w:tbl>
      <w:tblPr>
        <w:tblStyle w:val="6"/>
        <w:tblW w:w="931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60"/>
        <w:gridCol w:w="947"/>
        <w:gridCol w:w="928"/>
        <w:gridCol w:w="1077"/>
        <w:gridCol w:w="68"/>
        <w:gridCol w:w="1077"/>
        <w:gridCol w:w="1201"/>
        <w:gridCol w:w="717"/>
        <w:gridCol w:w="896"/>
        <w:gridCol w:w="1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5" w:hRule="atLeast"/>
          <w:jc w:val="center"/>
        </w:trPr>
        <w:tc>
          <w:tcPr>
            <w:tcW w:w="962"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县</w:t>
            </w:r>
            <w:r>
              <w:rPr>
                <w:rFonts w:hint="eastAsia" w:asciiTheme="minorEastAsia" w:hAnsiTheme="minorEastAsia" w:eastAsiaTheme="minorEastAsia" w:cstheme="minorEastAsia"/>
                <w:color w:val="000000"/>
                <w:sz w:val="24"/>
                <w:szCs w:val="24"/>
              </w:rPr>
              <w:t>级预算部门名称</w:t>
            </w:r>
          </w:p>
        </w:tc>
        <w:tc>
          <w:tcPr>
            <w:tcW w:w="8349" w:type="dxa"/>
            <w:gridSpan w:val="9"/>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eastAsia="zh-CN"/>
              </w:rPr>
              <w:t>中共双牌县委组织部</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5"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年度预</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算申请</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年初预算数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全年执行数</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878"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年度资金总额</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571.54</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1224.43</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1224.43</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217.73%</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按收入性质分：</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按支出性质分：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xml:space="preserve">  其中：  一般公共预算：</w:t>
            </w:r>
            <w:r>
              <w:rPr>
                <w:rFonts w:hint="eastAsia" w:asciiTheme="minorEastAsia" w:hAnsiTheme="minorEastAsia" w:eastAsiaTheme="minorEastAsia" w:cstheme="minorEastAsia"/>
                <w:color w:val="000000"/>
                <w:sz w:val="24"/>
                <w:szCs w:val="24"/>
                <w:lang w:val="en-US" w:eastAsia="zh-CN"/>
              </w:rPr>
              <w:t>1224.43</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其中：基本支出：</w:t>
            </w:r>
            <w:r>
              <w:rPr>
                <w:rFonts w:hint="eastAsia" w:asciiTheme="minorEastAsia" w:hAnsiTheme="minorEastAsia" w:eastAsiaTheme="minorEastAsia" w:cstheme="minorEastAsia"/>
                <w:color w:val="000000"/>
                <w:sz w:val="24"/>
                <w:szCs w:val="24"/>
                <w:lang w:val="en-US" w:eastAsia="zh-CN"/>
              </w:rPr>
              <w:t>429.39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960" w:firstLineChars="4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政府性基金拨款：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ind w:firstLine="720" w:firstLineChars="30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项目支出：</w:t>
            </w:r>
            <w:r>
              <w:rPr>
                <w:rFonts w:hint="eastAsia" w:asciiTheme="minorEastAsia" w:hAnsiTheme="minorEastAsia" w:eastAsiaTheme="minorEastAsia" w:cstheme="minorEastAsia"/>
                <w:color w:val="000000"/>
                <w:sz w:val="24"/>
                <w:szCs w:val="24"/>
                <w:lang w:val="en-US" w:eastAsia="zh-CN"/>
              </w:rPr>
              <w:t>795.04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纳入专户管理的非税收入拨款：</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ind w:firstLine="1680" w:firstLineChars="7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1"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4102" w:type="dxa"/>
            <w:gridSpan w:val="5"/>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imes New Roman" w:hAnsi="Times New Roman" w:eastAsia="宋体" w:cs="Times New Roman"/>
                <w:kern w:val="0"/>
                <w:szCs w:val="21"/>
                <w:lang w:val="en-US" w:eastAsia="zh-CN"/>
              </w:rPr>
              <w:t>.</w:t>
            </w:r>
            <w:r>
              <w:rPr>
                <w:rFonts w:hint="eastAsia" w:ascii="Times New Roman" w:hAnsi="Times New Roman" w:eastAsia="宋体" w:cs="Times New Roman"/>
                <w:kern w:val="0"/>
                <w:szCs w:val="21"/>
              </w:rPr>
              <w:t>持续锻造高素质干部队伍。</w:t>
            </w:r>
            <w:r>
              <w:rPr>
                <w:rFonts w:hint="eastAsia" w:ascii="Times New Roman" w:hAnsi="Times New Roman" w:eastAsia="宋体" w:cs="Times New Roman"/>
                <w:kern w:val="0"/>
                <w:szCs w:val="21"/>
                <w:lang w:val="en-US" w:eastAsia="zh-CN"/>
              </w:rPr>
              <w:t>2</w:t>
            </w:r>
            <w:r>
              <w:rPr>
                <w:rFonts w:hint="eastAsia" w:ascii="Times New Roman" w:hAnsi="Times New Roman" w:eastAsia="宋体" w:cs="Times New Roman"/>
                <w:kern w:val="0"/>
                <w:szCs w:val="21"/>
              </w:rPr>
              <w:t>持续推进基层党组织建设。</w:t>
            </w:r>
            <w:r>
              <w:rPr>
                <w:rFonts w:hint="eastAsia" w:ascii="Times New Roman" w:hAnsi="Times New Roman" w:eastAsia="宋体" w:cs="Times New Roman"/>
                <w:kern w:val="0"/>
                <w:szCs w:val="21"/>
                <w:lang w:val="en-US" w:eastAsia="zh-CN"/>
              </w:rPr>
              <w:t>3.</w:t>
            </w:r>
            <w:r>
              <w:rPr>
                <w:rFonts w:hint="eastAsia" w:ascii="Times New Roman" w:hAnsi="Times New Roman" w:eastAsia="宋体" w:cs="Times New Roman"/>
                <w:kern w:val="0"/>
                <w:szCs w:val="21"/>
              </w:rPr>
              <w:t>持续构筑坚实的人才支撑。</w:t>
            </w:r>
            <w:r>
              <w:rPr>
                <w:rFonts w:hint="eastAsia" w:ascii="Times New Roman" w:hAnsi="Times New Roman" w:eastAsia="宋体" w:cs="Times New Roman"/>
                <w:kern w:val="0"/>
                <w:szCs w:val="21"/>
                <w:lang w:val="en-US" w:eastAsia="zh-CN"/>
              </w:rPr>
              <w:t>4.</w:t>
            </w:r>
            <w:r>
              <w:rPr>
                <w:rFonts w:hint="eastAsia" w:ascii="Times New Roman" w:hAnsi="Times New Roman" w:eastAsia="宋体" w:cs="Times New Roman"/>
                <w:kern w:val="0"/>
                <w:szCs w:val="21"/>
              </w:rPr>
              <w:t>持续加强组工干部自身建设。</w:t>
            </w:r>
            <w:r>
              <w:rPr>
                <w:rFonts w:hint="eastAsia" w:asciiTheme="minorEastAsia" w:hAnsiTheme="minorEastAsia" w:eastAsiaTheme="minorEastAsia" w:cstheme="minorEastAsia"/>
                <w:color w:val="000000"/>
                <w:sz w:val="24"/>
                <w:szCs w:val="24"/>
              </w:rPr>
              <w:t>　　</w:t>
            </w:r>
          </w:p>
        </w:tc>
        <w:tc>
          <w:tcPr>
            <w:tcW w:w="4247"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 xml:space="preserve">   </w:t>
            </w:r>
            <w:r>
              <w:rPr>
                <w:rFonts w:hint="eastAsia" w:asciiTheme="minorEastAsia" w:hAnsiTheme="minorEastAsia" w:eastAsiaTheme="minorEastAsia" w:cstheme="minorEastAsia"/>
                <w:color w:val="000000"/>
                <w:sz w:val="24"/>
                <w:szCs w:val="24"/>
                <w:lang w:eastAsia="zh-CN"/>
              </w:rPr>
              <w:t>按时按质完成任务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3" w:hRule="atLeast"/>
          <w:jc w:val="center"/>
        </w:trPr>
        <w:tc>
          <w:tcPr>
            <w:tcW w:w="962"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9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年度指标值</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实际完成值</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偏差原因分析及改进措施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产出指标</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(50分)</w:t>
            </w: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重点工作</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任务完成</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经济成本指标</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571.54</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1224.43</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9</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imes New Roman" w:hAnsi="Times New Roman" w:eastAsia="仿宋_GB2312" w:cs="Times New Roman"/>
                <w:sz w:val="20"/>
                <w:szCs w:val="20"/>
                <w:lang w:eastAsia="zh-CN"/>
              </w:rPr>
              <w:t>由于临时性工作的不确定性导致，改进：细化工作方案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省市指标完成情况</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省市指标完成率</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100%</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履职目</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标实现</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eastAsia="仿宋_GB2312"/>
                <w:sz w:val="20"/>
                <w:szCs w:val="20"/>
              </w:rPr>
              <w:t>指导县直、乡镇完成党建工作，全年干部任用情况、人才引进</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imes New Roman" w:hAnsi="Times New Roman" w:eastAsia="仿宋_GB2312" w:cs="Times New Roman"/>
                <w:sz w:val="20"/>
                <w:szCs w:val="20"/>
                <w:lang w:eastAsia="zh-CN"/>
              </w:rPr>
              <w:t>完成年初工作计划</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已完成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效益指标</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val="en"/>
              </w:rPr>
              <w:t>4</w:t>
            </w:r>
            <w:r>
              <w:rPr>
                <w:rFonts w:hint="eastAsia" w:asciiTheme="minorEastAsia" w:hAnsiTheme="minorEastAsia" w:eastAsiaTheme="minorEastAsia" w:cstheme="minorEastAsia"/>
                <w:color w:val="000000"/>
                <w:sz w:val="24"/>
                <w:szCs w:val="24"/>
              </w:rPr>
              <w:t>0分）</w:t>
            </w:r>
          </w:p>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履职</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效益</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default" w:ascii="Times New Roman" w:hAnsi="Times New Roman" w:eastAsia="仿宋_GB2312"/>
                <w:sz w:val="20"/>
                <w:szCs w:val="20"/>
                <w:lang w:val="en-US" w:eastAsia="zh-CN"/>
              </w:rPr>
            </w:pPr>
            <w:r>
              <w:rPr>
                <w:rFonts w:hint="eastAsia" w:ascii="Times New Roman" w:hAnsi="Times New Roman" w:eastAsia="仿宋_GB2312"/>
                <w:sz w:val="20"/>
                <w:szCs w:val="20"/>
                <w:lang w:val="en-US" w:eastAsia="zh-CN"/>
              </w:rPr>
              <w:t>着力锻造堪当重任的高素质干部队伍</w:t>
            </w:r>
          </w:p>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干部履职情况</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已完成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实效性</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当年度内完成</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已完成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2"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98"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930"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imes New Roman" w:hAnsi="Times New Roman" w:eastAsia="仿宋_GB2312" w:cs="Times New Roman"/>
                <w:sz w:val="20"/>
                <w:szCs w:val="20"/>
              </w:rPr>
              <w:t>加强干部任用管理、人才引进人员管理、干部教育、干部监督工作。做好基层党建治理</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imes New Roman" w:hAnsi="Times New Roman" w:eastAsia="仿宋_GB2312" w:cs="Times New Roman"/>
                <w:sz w:val="20"/>
                <w:szCs w:val="20"/>
                <w:lang w:eastAsia="zh-CN"/>
              </w:rPr>
              <w:t>群众满意度达到</w:t>
            </w:r>
            <w:r>
              <w:rPr>
                <w:rFonts w:hint="eastAsia" w:ascii="Times New Roman" w:hAnsi="Times New Roman" w:eastAsia="仿宋_GB2312" w:cs="Times New Roman"/>
                <w:sz w:val="20"/>
                <w:szCs w:val="20"/>
                <w:lang w:val="en-US" w:eastAsia="zh-CN"/>
              </w:rPr>
              <w:t>95%以上</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已完成</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962"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48"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9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p>
        </w:tc>
        <w:tc>
          <w:tcPr>
            <w:tcW w:w="107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6"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0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7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443"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7" w:hRule="atLeast"/>
          <w:jc w:val="center"/>
        </w:trPr>
        <w:tc>
          <w:tcPr>
            <w:tcW w:w="6266" w:type="dxa"/>
            <w:gridSpan w:val="7"/>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718"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84"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line="240" w:lineRule="exact"/>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99</w:t>
            </w:r>
          </w:p>
        </w:tc>
        <w:tc>
          <w:tcPr>
            <w:tcW w:w="1443"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line="240" w:lineRule="exact"/>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default" w:eastAsia="黑体"/>
          <w:color w:val="000000"/>
          <w:sz w:val="32"/>
          <w:szCs w:val="24"/>
        </w:rPr>
      </w:pPr>
      <w:r>
        <w:rPr>
          <w:rFonts w:hint="eastAsia" w:eastAsia="仿宋_GB2312"/>
          <w:sz w:val="22"/>
          <w:szCs w:val="24"/>
        </w:rPr>
        <w:t>填表人：</w:t>
      </w:r>
      <w:r>
        <w:rPr>
          <w:rFonts w:hint="eastAsia" w:eastAsia="仿宋_GB2312"/>
          <w:sz w:val="22"/>
          <w:szCs w:val="24"/>
          <w:lang w:eastAsia="zh-CN"/>
        </w:rPr>
        <w:t>黄超男</w:t>
      </w:r>
      <w:r>
        <w:rPr>
          <w:rFonts w:hint="eastAsia" w:eastAsia="仿宋_GB2312"/>
          <w:sz w:val="22"/>
          <w:szCs w:val="24"/>
        </w:rPr>
        <w:t xml:space="preserve">    </w:t>
      </w:r>
      <w:r>
        <w:rPr>
          <w:rFonts w:hint="default" w:eastAsia="仿宋_GB2312"/>
          <w:sz w:val="22"/>
          <w:szCs w:val="24"/>
        </w:rPr>
        <w:t xml:space="preserve"> </w:t>
      </w:r>
      <w:r>
        <w:rPr>
          <w:rFonts w:hint="eastAsia" w:eastAsia="仿宋_GB2312"/>
          <w:sz w:val="22"/>
          <w:szCs w:val="24"/>
        </w:rPr>
        <w:t>填报日期：</w:t>
      </w:r>
      <w:r>
        <w:rPr>
          <w:rFonts w:hint="eastAsia" w:eastAsia="仿宋_GB2312"/>
          <w:sz w:val="22"/>
          <w:szCs w:val="24"/>
          <w:lang w:val="en-US" w:eastAsia="zh-CN"/>
        </w:rPr>
        <w:t>2024.3.8</w:t>
      </w:r>
      <w:r>
        <w:rPr>
          <w:rFonts w:hint="eastAsia" w:eastAsia="仿宋_GB2312"/>
          <w:sz w:val="22"/>
          <w:szCs w:val="24"/>
        </w:rPr>
        <w:t xml:space="preserve"> </w:t>
      </w:r>
      <w:r>
        <w:rPr>
          <w:rFonts w:hint="eastAsia" w:eastAsia="仿宋_GB2312"/>
          <w:sz w:val="22"/>
          <w:szCs w:val="24"/>
          <w:lang w:val="en-US" w:eastAsia="zh-CN"/>
        </w:rPr>
        <w:t xml:space="preserve">  </w:t>
      </w:r>
      <w:r>
        <w:rPr>
          <w:rFonts w:hint="eastAsia" w:eastAsia="仿宋_GB2312"/>
          <w:sz w:val="22"/>
          <w:szCs w:val="24"/>
        </w:rPr>
        <w:t>联系电话：</w:t>
      </w:r>
      <w:r>
        <w:rPr>
          <w:rFonts w:hint="eastAsia" w:eastAsia="仿宋_GB2312"/>
          <w:sz w:val="22"/>
          <w:szCs w:val="24"/>
          <w:lang w:val="en-US" w:eastAsia="zh-CN"/>
        </w:rPr>
        <w:t>18074660390</w:t>
      </w:r>
      <w:r>
        <w:rPr>
          <w:rFonts w:hint="eastAsia" w:eastAsia="仿宋_GB2312"/>
          <w:sz w:val="22"/>
          <w:szCs w:val="24"/>
        </w:rPr>
        <w:t xml:space="preserve">     单位负责人签字：</w:t>
      </w:r>
      <w:r>
        <w:rPr>
          <w:rFonts w:hint="default" w:eastAsia="仿宋_GB2312"/>
          <w:sz w:val="22"/>
          <w:szCs w:val="24"/>
        </w:rPr>
        <w:br w:type="page"/>
      </w:r>
      <w:r>
        <w:rPr>
          <w:rFonts w:hint="eastAsia" w:ascii="黑体" w:hAnsi="黑体" w:eastAsia="黑体" w:cs="黑体"/>
          <w:color w:val="000000"/>
          <w:sz w:val="32"/>
          <w:szCs w:val="32"/>
        </w:rPr>
        <w:t>附件4</w:t>
      </w:r>
    </w:p>
    <w:p>
      <w:pPr>
        <w:keepNext w:val="0"/>
        <w:keepLines w:val="0"/>
        <w:pageBreakBefore w:val="0"/>
        <w:widowControl w:val="0"/>
        <w:kinsoku/>
        <w:wordWrap/>
        <w:overflowPunct/>
        <w:topLinePunct w:val="0"/>
        <w:autoSpaceDE/>
        <w:autoSpaceDN/>
        <w:bidi w:val="0"/>
        <w:adjustRightInd/>
        <w:snapToGrid/>
        <w:spacing w:beforeLines="0" w:afterLines="0" w:line="440" w:lineRule="exact"/>
        <w:jc w:val="center"/>
        <w:textAlignment w:val="auto"/>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年度项目支出绩效自评报告</w:t>
      </w:r>
    </w:p>
    <w:tbl>
      <w:tblPr>
        <w:tblStyle w:val="6"/>
        <w:tblpPr w:leftFromText="180" w:rightFromText="180" w:vertAnchor="text" w:horzAnchor="margin" w:tblpXSpec="center" w:tblpY="189"/>
        <w:tblW w:w="91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59"/>
        <w:gridCol w:w="1975"/>
        <w:gridCol w:w="56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trPr>
        <w:tc>
          <w:tcPr>
            <w:tcW w:w="1559" w:type="dxa"/>
            <w:vMerge w:val="restart"/>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部门概况</w:t>
            </w:r>
          </w:p>
        </w:tc>
        <w:tc>
          <w:tcPr>
            <w:tcW w:w="1975" w:type="dxa"/>
            <w:tcBorders>
              <w:top w:val="single" w:color="auto" w:sz="12"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专项名称</w:t>
            </w:r>
          </w:p>
        </w:tc>
        <w:tc>
          <w:tcPr>
            <w:tcW w:w="5645" w:type="dxa"/>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项目资金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年度预算金额</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173.58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项目主管部门</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中共双牌县委组织部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项目立项目的</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为了按时按质量完成单位的各项工作任务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50"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绩效情况</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项目支出管理和使用基本情况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各项目资金按照相关文件要求开支，不套用、乱用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项目绩效目标完成情况</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600" w:lineRule="exact"/>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根据年初工作安排，完成全年各项目标任务。</w:t>
            </w:r>
            <w:r>
              <w:rPr>
                <w:rFonts w:hint="eastAsia" w:asciiTheme="minorEastAsia" w:hAnsiTheme="minorEastAsia" w:eastAsiaTheme="minorEastAsia" w:cstheme="minorEastAsia"/>
                <w:sz w:val="24"/>
                <w:szCs w:val="24"/>
                <w:lang w:val="en-US" w:eastAsia="zh-CN"/>
              </w:rPr>
              <w:t>聚焦县委决策部署用干部、强党建、聚人才，在服务发展大局中谋划组织工作、推动组织工作、检验组织工作。抓实党建引领。扎实推进抓党建促乡村振兴。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67" w:hRule="atLeast"/>
        </w:trPr>
        <w:tc>
          <w:tcPr>
            <w:tcW w:w="1559"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存在的问题分析及改进措施</w:t>
            </w: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存在的问题</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p>
          <w:p>
            <w:pPr>
              <w:spacing w:beforeLines="0" w:afterLine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项目划分精细度有待提高</w:t>
            </w:r>
          </w:p>
          <w:p>
            <w:pPr>
              <w:spacing w:beforeLines="0" w:afterLines="0"/>
              <w:jc w:val="center"/>
              <w:rPr>
                <w:rFonts w:hint="eastAsia" w:asciiTheme="minorEastAsia" w:hAnsiTheme="minorEastAsia" w:eastAsiaTheme="minorEastAsia" w:cstheme="minorEastAsia"/>
                <w:kern w:val="2"/>
                <w:sz w:val="24"/>
                <w:szCs w:val="24"/>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trPr>
        <w:tc>
          <w:tcPr>
            <w:tcW w:w="1559" w:type="dxa"/>
            <w:vMerge w:val="continue"/>
            <w:tcBorders>
              <w:top w:val="single" w:color="auto" w:sz="6" w:space="0"/>
              <w:left w:val="single" w:color="auto" w:sz="12" w:space="0"/>
              <w:bottom w:val="single" w:color="auto" w:sz="6"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改进措施</w:t>
            </w:r>
          </w:p>
        </w:tc>
        <w:tc>
          <w:tcPr>
            <w:tcW w:w="5645"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年初细化工作方案，提前做好预案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1559" w:type="dxa"/>
            <w:vMerge w:val="continue"/>
            <w:tcBorders>
              <w:top w:val="single" w:color="auto" w:sz="6" w:space="0"/>
              <w:left w:val="single" w:color="auto" w:sz="12" w:space="0"/>
              <w:bottom w:val="single" w:color="auto" w:sz="12" w:space="0"/>
              <w:right w:val="single" w:color="auto" w:sz="6" w:space="0"/>
              <w:tl2br w:val="nil"/>
              <w:tr2bl w:val="nil"/>
            </w:tcBorders>
            <w:noWrap w:val="0"/>
            <w:vAlign w:val="top"/>
          </w:tcPr>
          <w:p>
            <w:pPr>
              <w:spacing w:beforeLines="0" w:afterLines="0"/>
              <w:rPr>
                <w:rFonts w:hint="eastAsia" w:asciiTheme="minorEastAsia" w:hAnsiTheme="minorEastAsia" w:eastAsiaTheme="minorEastAsia" w:cstheme="minorEastAsia"/>
                <w:sz w:val="24"/>
                <w:szCs w:val="24"/>
              </w:rPr>
            </w:pPr>
          </w:p>
        </w:tc>
        <w:tc>
          <w:tcPr>
            <w:tcW w:w="1975"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其他需要说明问题</w:t>
            </w:r>
          </w:p>
        </w:tc>
        <w:tc>
          <w:tcPr>
            <w:tcW w:w="5645"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rPr>
                <w:rFonts w:hint="eastAsia" w:asciiTheme="minorEastAsia" w:hAnsiTheme="minorEastAsia" w:eastAsiaTheme="minorEastAsia" w:cstheme="minorEastAsia"/>
                <w:kern w:val="2"/>
                <w:sz w:val="24"/>
                <w:szCs w:val="24"/>
                <w:lang w:val="en-US" w:eastAsia="zh-CN" w:bidi="ar-SA"/>
              </w:rPr>
            </w:pPr>
          </w:p>
        </w:tc>
      </w:tr>
    </w:tbl>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line="320" w:lineRule="atLeas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黄超男</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填报日期： </w:t>
      </w:r>
      <w:r>
        <w:rPr>
          <w:rFonts w:hint="eastAsia" w:asciiTheme="minorEastAsia" w:hAnsiTheme="minorEastAsia" w:eastAsiaTheme="minorEastAsia" w:cstheme="minorEastAsia"/>
          <w:sz w:val="24"/>
          <w:szCs w:val="24"/>
          <w:lang w:val="en-US" w:eastAsia="zh-CN"/>
        </w:rPr>
        <w:t>2024.3.8</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18074660390</w:t>
      </w:r>
      <w:r>
        <w:rPr>
          <w:rFonts w:hint="eastAsia" w:asciiTheme="minorEastAsia" w:hAnsiTheme="minorEastAsia" w:eastAsiaTheme="minorEastAsia" w:cstheme="minorEastAsia"/>
          <w:sz w:val="24"/>
          <w:szCs w:val="24"/>
        </w:rPr>
        <w:t>单位负责人签字：</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附件5</w:t>
      </w:r>
    </w:p>
    <w:p>
      <w:pPr>
        <w:spacing w:beforeLines="0" w:after="120" w:afterLines="50" w:line="600" w:lineRule="exact"/>
        <w:jc w:val="center"/>
        <w:outlineLvl w:val="1"/>
        <w:rPr>
          <w:rFonts w:hint="eastAsia" w:ascii="方正小标宋简体" w:eastAsia="方正小标宋简体"/>
          <w:sz w:val="44"/>
          <w:szCs w:val="24"/>
        </w:rPr>
      </w:pPr>
      <w:r>
        <w:rPr>
          <w:rFonts w:hint="eastAsia" w:ascii="方正小标宋简体" w:eastAsia="方正小标宋简体"/>
          <w:sz w:val="44"/>
          <w:szCs w:val="24"/>
        </w:rPr>
        <w:t>202</w:t>
      </w:r>
      <w:r>
        <w:rPr>
          <w:rFonts w:hint="eastAsia" w:ascii="方正小标宋简体" w:eastAsia="方正小标宋简体"/>
          <w:sz w:val="44"/>
          <w:szCs w:val="24"/>
          <w:lang w:val="en-US" w:eastAsia="zh-CN"/>
        </w:rPr>
        <w:t>3</w:t>
      </w:r>
      <w:r>
        <w:rPr>
          <w:rFonts w:hint="eastAsia" w:ascii="方正小标宋简体" w:eastAsia="方正小标宋简体"/>
          <w:sz w:val="44"/>
          <w:szCs w:val="24"/>
        </w:rPr>
        <w:t>年度项目支出绩效自评表</w:t>
      </w:r>
    </w:p>
    <w:tbl>
      <w:tblPr>
        <w:tblStyle w:val="6"/>
        <w:tblW w:w="945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921"/>
        <w:gridCol w:w="1085"/>
        <w:gridCol w:w="1085"/>
        <w:gridCol w:w="1230"/>
        <w:gridCol w:w="1140"/>
        <w:gridCol w:w="1140"/>
        <w:gridCol w:w="832"/>
        <w:gridCol w:w="8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tcBorders>
              <w:top w:val="single" w:color="auto" w:sz="12" w:space="0"/>
              <w:left w:val="single" w:color="auto" w:sz="12" w:space="0"/>
              <w:bottom w:val="single" w:color="auto" w:sz="6" w:space="0"/>
              <w:right w:val="single" w:color="auto" w:sz="6" w:space="0"/>
              <w:tl2br w:val="nil"/>
              <w:tr2bl w:val="nil"/>
            </w:tcBorders>
            <w:noWrap w:val="0"/>
            <w:vAlign w:val="center"/>
          </w:tcPr>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项目支</w:t>
            </w:r>
          </w:p>
          <w:p>
            <w:pPr>
              <w:spacing w:beforeLines="0" w:afterLines="0" w:line="26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出名称</w:t>
            </w:r>
          </w:p>
        </w:tc>
        <w:tc>
          <w:tcPr>
            <w:tcW w:w="8535" w:type="dxa"/>
            <w:gridSpan w:val="8"/>
            <w:tcBorders>
              <w:top w:val="single" w:color="auto" w:sz="12"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sz w:val="24"/>
                <w:szCs w:val="24"/>
                <w:lang w:eastAsia="zh-CN"/>
              </w:rPr>
              <w:t>项目资金</w:t>
            </w: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主管部门</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中共双牌县委组织部</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实施单位</w:t>
            </w:r>
          </w:p>
        </w:tc>
        <w:tc>
          <w:tcPr>
            <w:tcW w:w="2855" w:type="dxa"/>
            <w:gridSpan w:val="3"/>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中共双牌县委组织部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1"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项目资金</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（万元）</w:t>
            </w: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年初</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全年</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预算数</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年度资金总额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173.58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795.04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795.04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458%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其中：当年财政拨款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173.58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795.04</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795.04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458%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上年结转资金　</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lang w:val="en-US" w:eastAsia="zh-CN"/>
              </w:rPr>
              <w:t>0</w:t>
            </w: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2170" w:type="dxa"/>
            <w:gridSpan w:val="2"/>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ind w:firstLine="720" w:firstLineChars="30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其他资金</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8"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年度总体目标</w:t>
            </w: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预期目标</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实际完成情况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4540" w:type="dxa"/>
            <w:gridSpan w:val="4"/>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1.注重立根铸魂，加强政治思想建设。</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2.注重选贤任能，锻造过硬干部队伍。严格标准选用干部。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Times New Roman" w:hAnsi="Times New Roman" w:eastAsia="宋体" w:cs="Times New Roman"/>
                <w:kern w:val="0"/>
                <w:szCs w:val="21"/>
              </w:rPr>
            </w:pPr>
            <w:r>
              <w:rPr>
                <w:rFonts w:hint="eastAsia" w:ascii="Times New Roman" w:hAnsi="Times New Roman" w:eastAsia="宋体" w:cs="Times New Roman"/>
                <w:kern w:val="0"/>
                <w:szCs w:val="21"/>
              </w:rPr>
              <w:t>3.注重固本强基，扎实推进基层党建。全面落实省委“1+5”文件精神。</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imes New Roman" w:hAnsi="Times New Roman" w:eastAsia="宋体" w:cs="Times New Roman"/>
                <w:kern w:val="0"/>
                <w:szCs w:val="21"/>
              </w:rPr>
              <w:t>4.注重招才引智，集聚优化人才队伍。创新机制引。</w:t>
            </w:r>
            <w:r>
              <w:rPr>
                <w:rFonts w:hint="eastAsia" w:asciiTheme="minorEastAsia" w:hAnsiTheme="minorEastAsia" w:eastAsiaTheme="minorEastAsia" w:cstheme="minorEastAsia"/>
                <w:color w:val="000000"/>
                <w:sz w:val="24"/>
                <w:szCs w:val="24"/>
              </w:rPr>
              <w:t>　　</w:t>
            </w:r>
          </w:p>
        </w:tc>
        <w:tc>
          <w:tcPr>
            <w:tcW w:w="3995" w:type="dxa"/>
            <w:gridSpan w:val="4"/>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00" w:lineRule="exact"/>
              <w:jc w:val="left"/>
              <w:textAlignment w:val="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sz w:val="22"/>
                <w:szCs w:val="22"/>
                <w:lang w:eastAsia="zh-CN"/>
              </w:rPr>
              <w:t>根据年初工作安排，完成全年各项目标任务。</w:t>
            </w:r>
            <w:r>
              <w:rPr>
                <w:rFonts w:hint="eastAsia" w:asciiTheme="minorEastAsia" w:hAnsiTheme="minorEastAsia" w:eastAsiaTheme="minorEastAsia" w:cstheme="minorEastAsia"/>
                <w:sz w:val="22"/>
                <w:szCs w:val="22"/>
                <w:lang w:val="en-US" w:eastAsia="zh-CN"/>
              </w:rPr>
              <w:t>聚焦县委决策部署用干部、强党建、聚人才，在服务发展大局中谋划组织工作、推动组织工作、检验组织工作。抓实党建引领。扎实推进抓党建促乡村振兴。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40" w:hRule="atLeast"/>
          <w:jc w:val="center"/>
        </w:trPr>
        <w:tc>
          <w:tcPr>
            <w:tcW w:w="921" w:type="dxa"/>
            <w:vMerge w:val="restart"/>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绩</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一级指标</w:t>
            </w:r>
          </w:p>
        </w:tc>
        <w:tc>
          <w:tcPr>
            <w:tcW w:w="1085"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二级指标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三级指标</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年度</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指标值</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实际</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完成值</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分值</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得分</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偏差原因</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分析及</w:t>
            </w:r>
          </w:p>
          <w:p>
            <w:pPr>
              <w:spacing w:beforeLines="0" w:afterLines="0" w:line="24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改进措施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p>
            <w:pPr>
              <w:spacing w:beforeLines="0" w:afterLines="0"/>
              <w:jc w:val="center"/>
              <w:rPr>
                <w:rFonts w:hint="eastAsia" w:asciiTheme="minorEastAsia" w:hAnsiTheme="minorEastAsia" w:eastAsiaTheme="minorEastAsia" w:cstheme="minorEastAsia"/>
                <w:color w:val="000000"/>
                <w:kern w:val="0"/>
                <w:sz w:val="24"/>
                <w:szCs w:val="24"/>
                <w:lang w:val="en"/>
              </w:rPr>
            </w:pPr>
            <w:r>
              <w:rPr>
                <w:rFonts w:hint="eastAsia" w:asciiTheme="minorEastAsia" w:hAnsiTheme="minorEastAsia" w:eastAsiaTheme="minorEastAsia" w:cstheme="minorEastAsia"/>
                <w:color w:val="000000"/>
                <w:kern w:val="0"/>
                <w:sz w:val="24"/>
                <w:szCs w:val="24"/>
                <w:lang w:val="en"/>
              </w:rPr>
              <w:t>（</w:t>
            </w:r>
            <w:r>
              <w:rPr>
                <w:rFonts w:hint="eastAsia" w:asciiTheme="minorEastAsia" w:hAnsiTheme="minorEastAsia" w:eastAsiaTheme="minorEastAsia" w:cstheme="minorEastAsia"/>
                <w:color w:val="000000"/>
                <w:kern w:val="0"/>
                <w:sz w:val="24"/>
                <w:szCs w:val="24"/>
              </w:rPr>
              <w:t>20分</w:t>
            </w:r>
            <w:r>
              <w:rPr>
                <w:rFonts w:hint="eastAsia" w:asciiTheme="minorEastAsia" w:hAnsiTheme="minorEastAsia" w:eastAsiaTheme="minorEastAsia" w:cstheme="minorEastAsia"/>
                <w:color w:val="000000"/>
                <w:kern w:val="0"/>
                <w:sz w:val="24"/>
                <w:szCs w:val="24"/>
                <w:lang w:val="en"/>
              </w:rPr>
              <w:t>）</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控制在预算范围内</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173.58</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795.04</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18</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40" w:lineRule="exact"/>
              <w:jc w:val="left"/>
              <w:textAlignment w:val="auto"/>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18"/>
                <w:szCs w:val="18"/>
                <w:lang w:eastAsia="zh-CN"/>
              </w:rPr>
              <w:t>原因：不可预见性的工作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2"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9" w:hRule="exac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社会成</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9"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生态环境</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成本指标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（40分）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数量指标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仿宋_GB2312" w:hAnsi="仿宋_GB2312"/>
                <w:kern w:val="0"/>
                <w:lang w:val="en-US" w:eastAsia="zh-CN"/>
              </w:rPr>
              <w:t xml:space="preserve"> 年初实有编制数30</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eastAsia="zh-CN"/>
              </w:rPr>
              <w:t>人数控制在三定方案内</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已完成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质量指标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仿宋_GB2312" w:hAnsi="仿宋_GB2312"/>
                <w:kern w:val="0"/>
                <w:lang w:eastAsia="zh-CN"/>
              </w:rPr>
              <w:t>全年组织工作要点完成情况</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仿宋_GB2312" w:hAnsi="仿宋_GB2312"/>
                <w:kern w:val="0"/>
                <w:lang w:val="en-US" w:eastAsia="zh-CN"/>
              </w:rPr>
              <w:t>100%完成年初工作计划</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已完成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18"/>
                <w:szCs w:val="18"/>
                <w:lang w:eastAsia="zh-CN"/>
              </w:rPr>
              <w:t>党建督查</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每季度一次</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已完成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时效指标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18"/>
                <w:szCs w:val="18"/>
                <w:lang w:eastAsia="zh-CN"/>
              </w:rPr>
              <w:t>各项工作完成时间</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本年度内</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已完成</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15</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（20分）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5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3"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8"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11"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益指标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18"/>
                <w:szCs w:val="18"/>
                <w:lang w:eastAsia="zh-CN"/>
              </w:rPr>
              <w:t>紧紧围绕全县中心工作和组织工作要点，为推进全县高质量发展做贡献</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eastAsia="zh-CN"/>
              </w:rPr>
              <w:t>大于</w:t>
            </w:r>
            <w:r>
              <w:rPr>
                <w:rFonts w:hint="eastAsia" w:asciiTheme="minorEastAsia" w:hAnsiTheme="minorEastAsia" w:eastAsiaTheme="minorEastAsia" w:cstheme="minorEastAsia"/>
                <w:color w:val="000000"/>
                <w:sz w:val="18"/>
                <w:szCs w:val="18"/>
                <w:lang w:val="en-US" w:eastAsia="zh-CN"/>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eastAsia="zh-CN"/>
              </w:rPr>
              <w:t>大于</w:t>
            </w:r>
            <w:r>
              <w:rPr>
                <w:rFonts w:hint="eastAsia" w:asciiTheme="minorEastAsia" w:hAnsiTheme="minorEastAsia" w:eastAsiaTheme="minorEastAsia" w:cstheme="minorEastAsia"/>
                <w:color w:val="000000"/>
                <w:sz w:val="18"/>
                <w:szCs w:val="18"/>
                <w:lang w:val="en-US" w:eastAsia="zh-CN"/>
              </w:rPr>
              <w:t>95%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Theme="minorEastAsia" w:hAnsiTheme="minorEastAsia" w:eastAsiaTheme="minorEastAsia" w:cstheme="minorEastAsia"/>
                <w:color w:val="000000"/>
                <w:kern w:val="2"/>
                <w:sz w:val="18"/>
                <w:szCs w:val="18"/>
                <w:lang w:val="en-US" w:eastAsia="zh-CN" w:bidi="ar-SA"/>
              </w:rPr>
            </w:pPr>
            <w:r>
              <w:rPr>
                <w:rFonts w:hint="eastAsia" w:asciiTheme="minorEastAsia" w:hAnsiTheme="minorEastAsia" w:eastAsiaTheme="minorEastAsia" w:cstheme="minorEastAsia"/>
                <w:color w:val="000000"/>
                <w:sz w:val="18"/>
                <w:szCs w:val="18"/>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26"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7"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满意度</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指标</w:t>
            </w:r>
          </w:p>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（10分）</w:t>
            </w:r>
          </w:p>
        </w:tc>
        <w:tc>
          <w:tcPr>
            <w:tcW w:w="1085" w:type="dxa"/>
            <w:vMerge w:val="restart"/>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服务对象满意度指标</w:t>
            </w: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群众满意度</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eastAsia="zh-CN"/>
              </w:rPr>
              <w:t>不低于</w:t>
            </w:r>
            <w:r>
              <w:rPr>
                <w:rFonts w:hint="eastAsia" w:asciiTheme="minorEastAsia" w:hAnsiTheme="minorEastAsia" w:eastAsiaTheme="minorEastAsia" w:cstheme="minorEastAsia"/>
                <w:color w:val="000000"/>
                <w:sz w:val="24"/>
                <w:szCs w:val="24"/>
                <w:lang w:val="en-US" w:eastAsia="zh-CN"/>
              </w:rPr>
              <w:t>95%</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eastAsia="zh-CN"/>
              </w:rPr>
              <w:t>不低于</w:t>
            </w:r>
            <w:r>
              <w:rPr>
                <w:rFonts w:hint="eastAsia" w:asciiTheme="minorEastAsia" w:hAnsiTheme="minorEastAsia" w:eastAsiaTheme="minorEastAsia" w:cstheme="minorEastAsia"/>
                <w:color w:val="000000"/>
                <w:sz w:val="24"/>
                <w:szCs w:val="24"/>
                <w:lang w:val="en-US" w:eastAsia="zh-CN"/>
              </w:rPr>
              <w:t>95%</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20</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0" w:hRule="atLeast"/>
          <w:jc w:val="center"/>
        </w:trPr>
        <w:tc>
          <w:tcPr>
            <w:tcW w:w="921" w:type="dxa"/>
            <w:vMerge w:val="continue"/>
            <w:tcBorders>
              <w:top w:val="single" w:color="auto" w:sz="6" w:space="0"/>
              <w:left w:val="single" w:color="auto" w:sz="12"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085"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p>
        </w:tc>
        <w:tc>
          <w:tcPr>
            <w:tcW w:w="12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32"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87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c>
          <w:tcPr>
            <w:tcW w:w="1146" w:type="dxa"/>
            <w:tcBorders>
              <w:top w:val="single" w:color="auto" w:sz="6" w:space="0"/>
              <w:left w:val="single" w:color="auto" w:sz="6" w:space="0"/>
              <w:bottom w:val="single" w:color="auto" w:sz="6"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9" w:hRule="atLeast"/>
          <w:jc w:val="center"/>
        </w:trPr>
        <w:tc>
          <w:tcPr>
            <w:tcW w:w="6601" w:type="dxa"/>
            <w:gridSpan w:val="6"/>
            <w:tcBorders>
              <w:top w:val="single" w:color="auto" w:sz="6" w:space="0"/>
              <w:left w:val="single" w:color="auto" w:sz="12"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总分</w:t>
            </w:r>
          </w:p>
        </w:tc>
        <w:tc>
          <w:tcPr>
            <w:tcW w:w="832"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100</w:t>
            </w:r>
          </w:p>
        </w:tc>
        <w:tc>
          <w:tcPr>
            <w:tcW w:w="877" w:type="dxa"/>
            <w:tcBorders>
              <w:top w:val="single" w:color="auto" w:sz="6" w:space="0"/>
              <w:left w:val="single" w:color="auto" w:sz="6" w:space="0"/>
              <w:bottom w:val="single" w:color="auto" w:sz="12" w:space="0"/>
              <w:right w:val="single" w:color="auto" w:sz="6" w:space="0"/>
              <w:tl2br w:val="nil"/>
              <w:tr2bl w:val="nil"/>
            </w:tcBorders>
            <w:noWrap w:val="0"/>
            <w:vAlign w:val="center"/>
          </w:tcPr>
          <w:p>
            <w:pPr>
              <w:spacing w:beforeLines="0" w:afterLines="0"/>
              <w:jc w:val="left"/>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rPr>
              <w:t>　</w:t>
            </w:r>
            <w:r>
              <w:rPr>
                <w:rFonts w:hint="eastAsia" w:asciiTheme="minorEastAsia" w:hAnsiTheme="minorEastAsia" w:eastAsiaTheme="minorEastAsia" w:cstheme="minorEastAsia"/>
                <w:color w:val="000000"/>
                <w:sz w:val="24"/>
                <w:szCs w:val="24"/>
                <w:lang w:val="en-US" w:eastAsia="zh-CN"/>
              </w:rPr>
              <w:t>98</w:t>
            </w:r>
          </w:p>
        </w:tc>
        <w:tc>
          <w:tcPr>
            <w:tcW w:w="1146" w:type="dxa"/>
            <w:tcBorders>
              <w:top w:val="single" w:color="auto" w:sz="6" w:space="0"/>
              <w:left w:val="single" w:color="auto" w:sz="6" w:space="0"/>
              <w:bottom w:val="single" w:color="auto" w:sz="12" w:space="0"/>
              <w:right w:val="single" w:color="auto" w:sz="12" w:space="0"/>
              <w:tl2br w:val="nil"/>
              <w:tr2bl w:val="nil"/>
            </w:tcBorders>
            <w:noWrap w:val="0"/>
            <w:vAlign w:val="center"/>
          </w:tcPr>
          <w:p>
            <w:pPr>
              <w:spacing w:beforeLines="0" w:afterLines="0"/>
              <w:jc w:val="lef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w:t>
            </w:r>
          </w:p>
        </w:tc>
      </w:tr>
    </w:tbl>
    <w:p>
      <w:pPr>
        <w:spacing w:beforeLines="0" w:afterLine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备注：每个项目支出分别填报自评报告和自评表。</w:t>
      </w:r>
    </w:p>
    <w:p>
      <w:pPr>
        <w:spacing w:beforeLines="0" w:afterLines="0"/>
        <w:jc w:val="left"/>
        <w:rPr>
          <w:rFonts w:hint="eastAsia" w:asciiTheme="minorEastAsia" w:hAnsiTheme="minorEastAsia" w:eastAsiaTheme="minorEastAsia" w:cstheme="minorEastAsia"/>
          <w:sz w:val="24"/>
          <w:szCs w:val="24"/>
        </w:rPr>
      </w:pPr>
    </w:p>
    <w:p>
      <w:pPr>
        <w:spacing w:beforeLines="0" w:afterLines="0"/>
        <w:jc w:val="left"/>
        <w:rPr>
          <w:rFonts w:hint="default" w:eastAsia="仿宋_GB2312"/>
          <w:sz w:val="22"/>
          <w:szCs w:val="24"/>
        </w:rPr>
        <w:sectPr>
          <w:footerReference r:id="rId4" w:type="default"/>
          <w:footerReference r:id="rId5" w:type="even"/>
          <w:pgSz w:w="11905" w:h="16837"/>
          <w:pgMar w:top="1440" w:right="1701" w:bottom="1440" w:left="1701" w:header="851" w:footer="1474" w:gutter="0"/>
          <w:lnNumType w:countBy="0" w:distance="360"/>
          <w:pgNumType w:fmt="numberInDash" w:start="1"/>
          <w:cols w:space="0" w:num="1"/>
          <w:rtlGutter w:val="0"/>
          <w:docGrid w:type="lines" w:linePitch="636" w:charSpace="0"/>
        </w:sectPr>
      </w:pPr>
      <w:r>
        <w:rPr>
          <w:rFonts w:hint="eastAsia" w:asciiTheme="minorEastAsia" w:hAnsiTheme="minorEastAsia" w:eastAsiaTheme="minorEastAsia" w:cstheme="minorEastAsia"/>
          <w:sz w:val="24"/>
          <w:szCs w:val="24"/>
        </w:rPr>
        <w:t>填表人：</w:t>
      </w:r>
      <w:r>
        <w:rPr>
          <w:rFonts w:hint="eastAsia" w:asciiTheme="minorEastAsia" w:hAnsiTheme="minorEastAsia" w:eastAsiaTheme="minorEastAsia" w:cstheme="minorEastAsia"/>
          <w:sz w:val="24"/>
          <w:szCs w:val="24"/>
          <w:lang w:eastAsia="zh-CN"/>
        </w:rPr>
        <w:t>黄超男</w:t>
      </w:r>
      <w:r>
        <w:rPr>
          <w:rFonts w:hint="eastAsia" w:asciiTheme="minorEastAsia" w:hAnsiTheme="minorEastAsia" w:eastAsiaTheme="minorEastAsia" w:cstheme="minorEastAsia"/>
          <w:sz w:val="24"/>
          <w:szCs w:val="24"/>
        </w:rPr>
        <w:t xml:space="preserve">       填报日期：</w:t>
      </w:r>
      <w:r>
        <w:rPr>
          <w:rFonts w:hint="eastAsia" w:asciiTheme="minorEastAsia" w:hAnsiTheme="minorEastAsia" w:eastAsiaTheme="minorEastAsia" w:cstheme="minorEastAsia"/>
          <w:sz w:val="24"/>
          <w:szCs w:val="24"/>
          <w:lang w:val="en-US" w:eastAsia="zh-CN"/>
        </w:rPr>
        <w:t>2024.3.18</w:t>
      </w:r>
      <w:r>
        <w:rPr>
          <w:rFonts w:hint="eastAsia" w:asciiTheme="minorEastAsia" w:hAnsiTheme="minorEastAsia" w:eastAsiaTheme="minorEastAsia" w:cstheme="minorEastAsia"/>
          <w:sz w:val="24"/>
          <w:szCs w:val="24"/>
        </w:rPr>
        <w:t xml:space="preserve">  联系电话：</w:t>
      </w:r>
      <w:r>
        <w:rPr>
          <w:rFonts w:hint="eastAsia" w:asciiTheme="minorEastAsia" w:hAnsiTheme="minorEastAsia" w:eastAsiaTheme="minorEastAsia" w:cstheme="minorEastAsia"/>
          <w:sz w:val="24"/>
          <w:szCs w:val="24"/>
          <w:lang w:val="en-US" w:eastAsia="zh-CN"/>
        </w:rPr>
        <w:t>18074660390</w:t>
      </w:r>
      <w:r>
        <w:rPr>
          <w:rFonts w:hint="eastAsia" w:asciiTheme="minorEastAsia" w:hAnsiTheme="minorEastAsia" w:eastAsiaTheme="minorEastAsia" w:cstheme="minorEastAsia"/>
          <w:sz w:val="24"/>
          <w:szCs w:val="24"/>
        </w:rPr>
        <w:t xml:space="preserve">         单位负责人签字：</w:t>
      </w:r>
    </w:p>
    <w:p>
      <w:pPr>
        <w:spacing w:beforeLines="0" w:afterLines="0" w:line="600" w:lineRule="exact"/>
        <w:jc w:val="left"/>
        <w:rPr>
          <w:rFonts w:hint="eastAsia" w:ascii="黑体" w:hAnsi="黑体" w:eastAsia="黑体" w:cs="黑体"/>
          <w:sz w:val="32"/>
          <w:szCs w:val="32"/>
        </w:rPr>
      </w:pPr>
      <w:r>
        <w:rPr>
          <w:rFonts w:hint="eastAsia" w:ascii="黑体" w:hAnsi="黑体" w:eastAsia="黑体" w:cs="黑体"/>
          <w:sz w:val="32"/>
          <w:szCs w:val="32"/>
        </w:rPr>
        <w:t>附件6</w:t>
      </w:r>
    </w:p>
    <w:p>
      <w:pPr>
        <w:spacing w:beforeLines="0" w:afterLines="0" w:line="600" w:lineRule="exact"/>
        <w:jc w:val="left"/>
        <w:rPr>
          <w:rFonts w:hint="eastAsia" w:ascii="黑体" w:hAnsi="黑体" w:eastAsia="黑体" w:cs="黑体"/>
          <w:sz w:val="32"/>
          <w:szCs w:val="32"/>
        </w:rPr>
      </w:pPr>
    </w:p>
    <w:p>
      <w:pPr>
        <w:spacing w:beforeLines="0" w:after="240" w:afterLines="100" w:line="600" w:lineRule="exact"/>
        <w:jc w:val="center"/>
        <w:outlineLvl w:val="0"/>
        <w:rPr>
          <w:rFonts w:hint="eastAsia" w:ascii="宋体" w:hAnsi="宋体" w:eastAsia="宋体" w:cs="宋体"/>
          <w:b/>
          <w:bCs/>
          <w:sz w:val="40"/>
          <w:szCs w:val="40"/>
        </w:rPr>
      </w:pPr>
      <w:r>
        <w:rPr>
          <w:rFonts w:hint="eastAsia" w:ascii="宋体" w:hAnsi="宋体" w:eastAsia="宋体" w:cs="宋体"/>
          <w:b/>
          <w:bCs/>
          <w:sz w:val="40"/>
          <w:szCs w:val="40"/>
          <w:lang w:val="en-US" w:eastAsia="zh-CN"/>
        </w:rPr>
        <w:t>XX单位</w:t>
      </w:r>
      <w:r>
        <w:rPr>
          <w:rFonts w:hint="eastAsia" w:ascii="宋体" w:hAnsi="宋体" w:eastAsia="宋体" w:cs="宋体"/>
          <w:b/>
          <w:bCs/>
          <w:sz w:val="40"/>
          <w:szCs w:val="40"/>
        </w:rPr>
        <w:t>预算绩效管理工作负责人名册</w:t>
      </w:r>
    </w:p>
    <w:tbl>
      <w:tblPr>
        <w:tblStyle w:val="6"/>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347"/>
        <w:gridCol w:w="1347"/>
        <w:gridCol w:w="1349"/>
        <w:gridCol w:w="1347"/>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姓名</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职务</w:t>
            </w: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办公电话</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jc w:val="center"/>
              <w:rPr>
                <w:rFonts w:hint="eastAsia" w:asciiTheme="minorEastAsia" w:hAnsiTheme="minorEastAsia" w:eastAsiaTheme="minorEastAsia" w:cstheme="minorEastAsia"/>
                <w:b/>
                <w:color w:val="000000"/>
                <w:kern w:val="0"/>
                <w:sz w:val="24"/>
                <w:szCs w:val="24"/>
                <w:lang w:val="en-US" w:eastAsia="zh-CN" w:bidi="ar-SA"/>
              </w:rPr>
            </w:pPr>
            <w:r>
              <w:rPr>
                <w:rFonts w:hint="eastAsia" w:asciiTheme="minorEastAsia" w:hAnsiTheme="minorEastAsia" w:eastAsiaTheme="minorEastAsia" w:cstheme="minorEastAsia"/>
                <w:b/>
                <w:color w:val="000000"/>
                <w:kern w:val="0"/>
                <w:sz w:val="24"/>
                <w:szCs w:val="24"/>
              </w:rPr>
              <w:t>移动通讯号码</w:t>
            </w: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分管领导</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联络员</w:t>
            </w: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34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c>
          <w:tcPr>
            <w:tcW w:w="162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beforeAutospacing="1" w:afterLines="0" w:afterAutospacing="1"/>
              <w:jc w:val="center"/>
              <w:rPr>
                <w:rFonts w:hint="eastAsia" w:asciiTheme="minorEastAsia" w:hAnsiTheme="minorEastAsia" w:eastAsiaTheme="minorEastAsia" w:cstheme="minorEastAsia"/>
                <w:color w:val="000000"/>
                <w:sz w:val="24"/>
                <w:szCs w:val="24"/>
              </w:rPr>
            </w:pPr>
          </w:p>
        </w:tc>
      </w:tr>
    </w:tbl>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gMv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j/nzAlLA798/3b58evy8ytb&#10;Jn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Mk4DL/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- 1 -</w:t>
                    </w:r>
                    <w:r>
                      <w:rPr>
                        <w:rFonts w:hint="eastAsia" w:ascii="宋体" w:hAnsi="宋体" w:cs="宋体"/>
                        <w:sz w:val="2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margin" w:hAnchor="text" w:xAlign="left" w:yAlign="inline"/>
      <w:spacing w:beforeLines="0" w:afterLines="0"/>
      <w:ind w:right="360" w:firstLine="360"/>
      <w:rPr>
        <w:rFonts w:hint="default"/>
        <w:sz w:val="28"/>
        <w:szCs w:val="24"/>
      </w:rPr>
    </w:pPr>
    <w:r>
      <w:rPr>
        <w:rFonts w:hint="default"/>
        <w:sz w:val="28"/>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wps:txbx>
                    <wps:bodyPr vert="horz" wrap="none" lIns="0" tIns="0" rIns="0" bIns="0" anchor="t" anchorCtr="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dlBH90BAAC+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e&#10;J3n6ABVl3QXKw+GVH2hpZj+QM7Ee2mjTn/gwipO456u4akAm06X1ar0uKSQpNh8Iv7i/HiLgG+Ut&#10;S0bNI00viypO7wDH1DklVXP+VhuTJ2jcXw7CTJ4i9T72mCwc9sNEaO+bM/GhZ0B1Oh+/cNbTEtTc&#10;0c5zZt460jjty2zE2djPhnCSLtYcORvN1zju1TFEfegId5mbh/DyiNRpJpDaGGtP3dFYswTTCqa9&#10;+fOcs+6f3fY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XZQR/dAQAAvgMAAA4AAAAAAAAA&#10;AQAgAAAAHgEAAGRycy9lMm9Eb2MueG1sUEsFBgAAAAAGAAYAWQEAAG0FAAAAAA==&#10;">
              <v:fill on="f" focussize="0,0"/>
              <v:stroke on="f"/>
              <v:imagedata o:title=""/>
              <o:lock v:ext="edit" aspectratio="f"/>
              <v:textbox inset="0mm,0mm,0mm,0mm" style="mso-fit-shape-to-text:t;">
                <w:txbxContent>
                  <w:p>
                    <w:pPr>
                      <w:pStyle w:val="3"/>
                      <w:spacing w:beforeLines="0" w:afterLines="0"/>
                      <w:rPr>
                        <w:rFonts w:hint="default"/>
                        <w:sz w:val="28"/>
                        <w:szCs w:val="24"/>
                      </w:rPr>
                    </w:pPr>
                    <w:r>
                      <w:rPr>
                        <w:rFonts w:hint="eastAsia" w:ascii="宋体" w:hAnsi="宋体" w:cs="宋体"/>
                        <w:sz w:val="28"/>
                        <w:szCs w:val="18"/>
                      </w:rPr>
                      <w:fldChar w:fldCharType="begin"/>
                    </w:r>
                    <w:r>
                      <w:rPr>
                        <w:rFonts w:hint="eastAsia" w:ascii="宋体" w:hAnsi="宋体" w:cs="宋体"/>
                        <w:sz w:val="28"/>
                        <w:szCs w:val="18"/>
                      </w:rPr>
                      <w:instrText xml:space="preserve"> PAGE  \* MERGEFORMAT </w:instrText>
                    </w:r>
                    <w:r>
                      <w:rPr>
                        <w:rFonts w:hint="eastAsia" w:ascii="宋体" w:hAnsi="宋体" w:cs="宋体"/>
                        <w:sz w:val="28"/>
                        <w:szCs w:val="18"/>
                      </w:rPr>
                      <w:fldChar w:fldCharType="separate"/>
                    </w:r>
                    <w:r>
                      <w:rPr>
                        <w:rFonts w:hint="eastAsia" w:ascii="宋体" w:hAnsi="宋体" w:cs="宋体"/>
                        <w:sz w:val="28"/>
                        <w:szCs w:val="18"/>
                      </w:rPr>
                      <w:t>- 2 -</w:t>
                    </w:r>
                    <w:r>
                      <w:rPr>
                        <w:rFonts w:hint="eastAsia" w:ascii="宋体" w:hAnsi="宋体" w:cs="宋体"/>
                        <w:sz w:val="28"/>
                        <w:szCs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126E50"/>
    <w:multiLevelType w:val="singleLevel"/>
    <w:tmpl w:val="0E126E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3YjJhMjYwYTdjODM3NWJiZjcwY2FmYjY1NjAxM2QifQ=="/>
  </w:docVars>
  <w:rsids>
    <w:rsidRoot w:val="00172A27"/>
    <w:rsid w:val="09FB6BF7"/>
    <w:rsid w:val="0A7A787D"/>
    <w:rsid w:val="0CCE5073"/>
    <w:rsid w:val="0ED821F5"/>
    <w:rsid w:val="101F3C57"/>
    <w:rsid w:val="105E064F"/>
    <w:rsid w:val="154B3473"/>
    <w:rsid w:val="15B02F86"/>
    <w:rsid w:val="1AF7724A"/>
    <w:rsid w:val="1BCE59A7"/>
    <w:rsid w:val="1C903595"/>
    <w:rsid w:val="1D5E5630"/>
    <w:rsid w:val="1F9C1D8C"/>
    <w:rsid w:val="20BA3D5C"/>
    <w:rsid w:val="20FE29CD"/>
    <w:rsid w:val="213827F6"/>
    <w:rsid w:val="2229000E"/>
    <w:rsid w:val="24756501"/>
    <w:rsid w:val="24F353B2"/>
    <w:rsid w:val="2AF82401"/>
    <w:rsid w:val="2F792753"/>
    <w:rsid w:val="301D0A49"/>
    <w:rsid w:val="31EF3498"/>
    <w:rsid w:val="320A7F19"/>
    <w:rsid w:val="33457B5A"/>
    <w:rsid w:val="33EA0D37"/>
    <w:rsid w:val="351E4A78"/>
    <w:rsid w:val="358572EC"/>
    <w:rsid w:val="361909F0"/>
    <w:rsid w:val="38D004F4"/>
    <w:rsid w:val="3DDA59F3"/>
    <w:rsid w:val="3DFB432B"/>
    <w:rsid w:val="41A60F90"/>
    <w:rsid w:val="437042B4"/>
    <w:rsid w:val="43D25C86"/>
    <w:rsid w:val="43F6411F"/>
    <w:rsid w:val="45262415"/>
    <w:rsid w:val="47FF7E2A"/>
    <w:rsid w:val="4A7E5437"/>
    <w:rsid w:val="4B3D2E33"/>
    <w:rsid w:val="4B490F32"/>
    <w:rsid w:val="4B564457"/>
    <w:rsid w:val="4C575977"/>
    <w:rsid w:val="4DF30F3A"/>
    <w:rsid w:val="4E8B7C40"/>
    <w:rsid w:val="4F1637A4"/>
    <w:rsid w:val="500F1BD2"/>
    <w:rsid w:val="51C40746"/>
    <w:rsid w:val="543E6CC0"/>
    <w:rsid w:val="55412274"/>
    <w:rsid w:val="55C03679"/>
    <w:rsid w:val="57C446E9"/>
    <w:rsid w:val="58820FB8"/>
    <w:rsid w:val="5ABA52A9"/>
    <w:rsid w:val="5C8E01AF"/>
    <w:rsid w:val="5FBF5341"/>
    <w:rsid w:val="62BE6D8B"/>
    <w:rsid w:val="64E742EF"/>
    <w:rsid w:val="65947C08"/>
    <w:rsid w:val="684B0AD7"/>
    <w:rsid w:val="6E351362"/>
    <w:rsid w:val="70644F79"/>
    <w:rsid w:val="724D2E18"/>
    <w:rsid w:val="75073918"/>
    <w:rsid w:val="771A18F7"/>
    <w:rsid w:val="7E991F23"/>
    <w:rsid w:val="7EB55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footer"/>
    <w:basedOn w:val="1"/>
    <w:autoRedefine/>
    <w:unhideWhenUsed/>
    <w:qFormat/>
    <w:uiPriority w:val="0"/>
    <w:pPr>
      <w:framePr w:wrap="auto" w:vAnchor="text" w:hAnchor="margin" w:xAlign="outside" w:y="1"/>
      <w:tabs>
        <w:tab w:val="center" w:pos="4153"/>
        <w:tab w:val="right" w:pos="8306"/>
      </w:tabs>
      <w:snapToGrid w:val="0"/>
      <w:spacing w:beforeLines="0" w:afterLines="0"/>
      <w:jc w:val="left"/>
    </w:pPr>
    <w:rPr>
      <w:rFonts w:hint="eastAsia"/>
      <w:kern w:val="0"/>
      <w:sz w:val="28"/>
      <w:szCs w:val="24"/>
    </w:rPr>
  </w:style>
  <w:style w:type="paragraph" w:styleId="4">
    <w:name w:val="Normal (Web)"/>
    <w:basedOn w:val="1"/>
    <w:unhideWhenUsed/>
    <w:qFormat/>
    <w:uiPriority w:val="0"/>
    <w:pPr>
      <w:spacing w:beforeLines="0" w:beforeAutospacing="1" w:afterLines="0" w:afterAutospacing="1"/>
      <w:jc w:val="left"/>
    </w:pPr>
    <w:rPr>
      <w:rFonts w:hint="default" w:ascii="Calibri" w:hAnsi="Calibri" w:eastAsia="宋体"/>
      <w:kern w:val="0"/>
      <w:sz w:val="24"/>
      <w:szCs w:val="24"/>
    </w:rPr>
  </w:style>
  <w:style w:type="paragraph" w:styleId="5">
    <w:name w:val="Body Text First Indent 2"/>
    <w:basedOn w:val="2"/>
    <w:qFormat/>
    <w:uiPriority w:val="0"/>
    <w:pPr>
      <w:spacing w:before="100" w:beforeAutospacing="1"/>
      <w:ind w:left="0" w:firstLine="420" w:firstLineChars="200"/>
    </w:pPr>
  </w:style>
  <w:style w:type="paragraph" w:customStyle="1" w:styleId="8">
    <w:name w:val="列出段落1"/>
    <w:basedOn w:val="1"/>
    <w:unhideWhenUsed/>
    <w:qFormat/>
    <w:uiPriority w:val="34"/>
    <w:pPr>
      <w:spacing w:beforeLines="0" w:afterLines="0"/>
      <w:ind w:firstLine="420" w:firstLineChars="200"/>
    </w:pPr>
    <w:rPr>
      <w:rFonts w:hint="eastAsia" w:ascii="仿宋" w:hAnsi="仿宋" w:eastAsia="仿宋"/>
      <w:kern w:val="0"/>
      <w:sz w:val="28"/>
      <w:szCs w:val="24"/>
    </w:rPr>
  </w:style>
  <w:style w:type="paragraph" w:styleId="9">
    <w:name w:val="List Paragraph"/>
    <w:basedOn w:val="1"/>
    <w:autoRedefine/>
    <w:unhideWhenUsed/>
    <w:qFormat/>
    <w:uiPriority w:val="99"/>
    <w:pPr>
      <w:spacing w:beforeLines="0" w:afterLines="0"/>
      <w:ind w:firstLine="420" w:firstLineChars="200"/>
    </w:pPr>
    <w:rPr>
      <w:rFonts w:hint="default" w:ascii="Calibri" w:hAnsi="Calibri"/>
      <w:kern w:val="0"/>
      <w:sz w:val="28"/>
      <w:szCs w:val="24"/>
    </w:rPr>
  </w:style>
  <w:style w:type="paragraph" w:customStyle="1" w:styleId="10">
    <w:name w:val="List Paragraph2"/>
    <w:basedOn w:val="1"/>
    <w:qFormat/>
    <w:uiPriority w:val="0"/>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3785</Words>
  <Characters>3927</Characters>
  <Lines>0</Lines>
  <Paragraphs>0</Paragraphs>
  <TotalTime>3</TotalTime>
  <ScaleCrop>false</ScaleCrop>
  <LinksUpToDate>false</LinksUpToDate>
  <CharactersWithSpaces>4427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2023-04-22T07:33:00Z</dcterms:created>
  <dc:creator>海之韵</dc:creator>
  <cp:lastModifiedBy>Administrator</cp:lastModifiedBy>
  <dcterms:modified xsi:type="dcterms:W3CDTF">2024-04-18T08:24:07Z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C05C0A58C1B94E6DA3F69BCC80938D65_11</vt:lpwstr>
  </property>
</Properties>
</file>