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hAnsi="Times New Roman" w:eastAsia="方正小标宋简体"/>
          <w:sz w:val="52"/>
          <w:szCs w:val="24"/>
          <w:lang w:eastAsia="zh-CN"/>
        </w:rPr>
      </w:pPr>
      <w:r>
        <w:rPr>
          <w:rFonts w:hint="eastAsia" w:ascii="方正小标宋简体" w:eastAsia="方正小标宋简体"/>
          <w:sz w:val="52"/>
          <w:szCs w:val="24"/>
          <w:lang w:val="en-US" w:eastAsia="zh-CN"/>
        </w:rPr>
        <w:t>2024年度</w:t>
      </w:r>
      <w:r>
        <w:rPr>
          <w:rFonts w:hint="eastAsia" w:ascii="方正小标宋简体" w:hAnsi="Times New Roman" w:eastAsia="方正小标宋简体"/>
          <w:sz w:val="52"/>
          <w:szCs w:val="24"/>
          <w:lang w:eastAsia="zh-CN"/>
        </w:rPr>
        <w:t>双牌县发展和改革局</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jc w:val="both"/>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双牌县发展和改革局</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7</w:t>
      </w:r>
      <w:r>
        <w:rPr>
          <w:rFonts w:hint="eastAsia" w:eastAsia="楷体_GB2312"/>
          <w:sz w:val="32"/>
          <w:szCs w:val="24"/>
        </w:rPr>
        <w:t xml:space="preserve"> 月 </w:t>
      </w:r>
      <w:r>
        <w:rPr>
          <w:rFonts w:hint="eastAsia" w:eastAsia="楷体_GB2312"/>
          <w:sz w:val="32"/>
          <w:szCs w:val="24"/>
          <w:lang w:val="en-US" w:eastAsia="zh-CN"/>
        </w:rPr>
        <w:t>15</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单位基本情况</w:t>
      </w:r>
    </w:p>
    <w:p>
      <w:pPr>
        <w:pStyle w:val="11"/>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0" w:firstLineChars="200"/>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（一）职能职责</w:t>
      </w:r>
    </w:p>
    <w:p>
      <w:pPr>
        <w:pStyle w:val="11"/>
        <w:keepNext w:val="0"/>
        <w:keepLines w:val="0"/>
        <w:pageBreakBefore w:val="0"/>
        <w:widowControl w:val="0"/>
        <w:kinsoku/>
        <w:wordWrap/>
        <w:overflowPunct/>
        <w:topLinePunct w:val="0"/>
        <w:autoSpaceDE/>
        <w:autoSpaceDN/>
        <w:bidi w:val="0"/>
        <w:adjustRightInd/>
        <w:snapToGrid/>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拟订并组织实施全县国民经济和社会发展战略、中长期规划和年度计划。牵头组织统一规划体系建设。负责县级专项规划、区域规划、空间规划与全县发展规划的统筹衔接。研究拟订全县国民经济和社会发展、经济体制改革和对外开放的有关制度，协调解决有关重大问题。受县人民政府委托负责向县人民代表大会提交国民经济和社会发展计划的报告。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2、提出加快建设现代化经济体系、推动高质量发展的总体目标、重大任务以及相关政策措施。组织开展重大战略规划、重大政策、重大工程等评估督导，提出相关调整建议。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3、统筹提出全县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4、指导推进和综合协调全县经济体制改革有关工作，提出相关改革建议。牵头推进供给侧结构性改革。协调推进产权制度和要素市场化配置改革。推动完善基本经济制度和现代市场体系建设，会同相关部门组织实施市场准入负面清单制度。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5、提出全县利用外资和境外投资的战略、规划、总量平衡和结构优化的政策措施。牵头推进实施“一带一路”建设。统筹协调走出去有关工作。负责全县全口径外债的总量控制、结构优化和监测工作。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6、负责投资综合管理，拟订全县固定资产投资总规模、结构调控目标、政策措施，会同相关部门拟订政府投资项目审批权限和政府核准的固定资产投资项目目录。组织申报中央、省预算内基本建设资金，按规定权限审批、核准、审核、备案重大项目。规划全县重大建设项目和生产力布局。拟订并推动落实鼓励民间投资政策措施。负责政府投资项目代建制实施的指导、协调和监督管理。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7、推进落实区域协调发展战略和重大政策，组织拟订相关区域规划和政策措施。统筹推进实施国家和省市重大区域发展战略。贯彻落实国家中部崛起、长江经济带发展的相关政策措施，统筹推进“一带一部”区域发展。协调推进两型社会建设。参与研究拟定全县新型城镇化发展战略和重大政策措施，协调配合做好相关工作。制定开发区发展规划和政策措施。统筹协调区域合作和对口支援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8、组织拟订综合性产业政策措施。负责协调一二三产业发展的重大问题并统筹衔接相关发展规划和重大政策。协调推进重大基础设施建设，组织拟订并推动实施服务业及现代物流业发展规划和重大政策措施。综合研判消费变动趋势，拟订实施促进消费的综合性政策措施。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9、推动实施创新驱动发展战略。会同相关部门拟订推进创新创业的规划和政策措施，提出创新发展和培育经济发展新动能的政策措施。研究提出产业集群发展相关政策措施。会同相关部门规划布局全县重大科技基础设施。组织拟订并推动实施高新技术产业和战略性新兴产业发展规划政策措施，协调产业升级、重大技术装备推广应用等方面的重大问题。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10、跟踪研判涉及经济安全、生态安全、资源安全、科技安全、社会安全等各类风险隐患，提出相关工作建议。承担经济、生态、资源等重点领域国家安全工作协调机制相关工作。负责重要商品总量平衡和宏观调控，提出重要工业品、原材料和重要农产品进出口调控建议并做好相关工作。会同有关部门拟订县级储备物资品种目录、总体发展规划。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11、负责社会发展与国民经济发展的政策衔接，协调有关重大问题。组织拟订社会发展战略、总体规划，统筹推进基本公共服务体系建设和收入分配制度改革，提出促进就业、完善社会保障与经济协调发展的政策建议。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12、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13、拟订并组织实施有关价格政策措施，组织制定少数由县级管理的重要商品、服务价格和重要收费标准意见。监测、分析市场价格形势，组织实施价格总水平控制；管理国家、省、市、县列名管理的商品和服务价格。负责依法组织对实行政府指导价、政府定价的商品、服务价格和行政事业性收费的成本监审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14、指导、协调、监督全县招投标活动。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15、会同有关部门拟订推进全县经济建设与国防建设协调发展的战略和规划，协调有关重大问题。推动实施军民融合发展战略，组织编制全县国民经济动员规划，协调和组织实施全县国民经济动员有关工作。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16、起草全县能源发展和有关监督管理的规范性文件草案，拟订并组织实施全县能源发展战略、规划和政策措施，推进全县能源体制改革，协调相关重大问题。负责全县能源行业节能和资源综合利用，参与研究全县能源消费总量控制目标建议，指导、监督能源消费总量控制工作，衔接能源生产建设和供需平衡。实施对电油气等能源和新能源的管理。按照规定权限审批、核准、备案、审核、上报全县能源固定资产投资项目。指导协调农村能源发展工作。负责能源预测预警，发布能源信息，参与能源运行调节和应急保障，负责县内石油和天然气储备管理工作。负责石油、天然气管道保护相关工作。组织推进全县能源重大设备研发及相关重大科技项目，指导能源科技进步和引进消化创新，组织协调相关重大示范工程和推广应用新产品、新技术、新设备。组织推进全县能源对外合作，负责起草县政府对外能源战略合作协议，协调能源合作中的重大问题。研究提出电力普遍服务政策的建议并监督实施，参与制定与能源相关的资源、财税、环保等政策措施，提出能源价格调整建议，参与能源有关价格执行情况监督检查。承担县能源委员会具体工作，负责全县能源发展战略决策的综合协调和服务保障，推动建立健全协调联动机制。 </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 xml:space="preserve">17、拟订粮食流通和物资储备管理有关规定并监督执行。拟订全县粮食市场体系建设与发展规划，承担全县粮食流通宏观调控的具体工作。组织实施粮食流通和物资储备体制改革方案。研究提出全县战略物资储备规划、全县储备品种目录的建议。根据全县储备总体发展规划和品种目录，组织实施全县战略和应急储备物资的收储、轮换和日常管理，落实有关动用计划和指令。管理全县粮食储备。负责县级储备粮行政管理。监测粮食和战略物资供求变化并预测预警。指导协调政策性粮食购销和粮食产销合作，保障军队粮食供应。组织实施粮食和物资储备仓储管理有关技术标准意见和规范。负责全县粮食流通、加工行业安全生产工作的监督管理，承担所属物资储备承储单位安全生产的监管责任。根据国家、省、市与全县储备总体发展规划，统一负责储备基础设施建设和管理。拟订全县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监督执行粮食流通和物资储备及粮食质量等有关标准和有关技术规范。负责粮食经营者备案管理。负责协调推进粮食产业发展有关工作。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18、完成县委和县政府交办的其它任务。 </w:t>
      </w:r>
    </w:p>
    <w:p>
      <w:pPr>
        <w:pStyle w:val="11"/>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40" w:firstLineChars="20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val="en-US" w:eastAsia="zh-CN"/>
        </w:rPr>
        <w:t>（二）</w:t>
      </w:r>
      <w:r>
        <w:rPr>
          <w:rFonts w:hint="eastAsia" w:ascii="仿宋_GB2312" w:hAnsi="仿宋_GB2312" w:eastAsia="仿宋_GB2312" w:cs="仿宋_GB2312"/>
          <w:b w:val="0"/>
          <w:i w:val="0"/>
          <w:caps w:val="0"/>
          <w:color w:val="000000"/>
          <w:spacing w:val="0"/>
          <w:sz w:val="32"/>
          <w:szCs w:val="32"/>
          <w:shd w:val="clear" w:color="auto" w:fill="FFFFFF"/>
          <w:lang w:eastAsia="zh-CN"/>
        </w:rPr>
        <w:t>内设机构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1</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rPr>
        <w:t>综合办公室</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shd w:val="clear" w:color="auto" w:fill="FFFFFF"/>
        </w:rPr>
        <w:t>经济社会发展办公室</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spacing w:val="-6"/>
          <w:kern w:val="0"/>
          <w:sz w:val="32"/>
          <w:szCs w:val="32"/>
        </w:rPr>
        <w:t>重大项目前期办公室（加挂县能源办公室、节能监察中心牌子）</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（4）</w:t>
      </w:r>
      <w:r>
        <w:rPr>
          <w:rFonts w:hint="eastAsia" w:ascii="仿宋_GB2312" w:hAnsi="仿宋_GB2312" w:eastAsia="仿宋_GB2312" w:cs="仿宋_GB2312"/>
          <w:b w:val="0"/>
          <w:i w:val="0"/>
          <w:caps w:val="0"/>
          <w:color w:val="000000"/>
          <w:spacing w:val="0"/>
          <w:sz w:val="32"/>
          <w:szCs w:val="32"/>
          <w:shd w:val="clear" w:color="auto" w:fill="FFFFFF"/>
        </w:rPr>
        <w:t>法规股（行政审批股）</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（5）</w:t>
      </w:r>
      <w:r>
        <w:rPr>
          <w:rFonts w:hint="eastAsia" w:ascii="仿宋_GB2312" w:hAnsi="仿宋_GB2312" w:eastAsia="仿宋_GB2312" w:cs="仿宋_GB2312"/>
          <w:spacing w:val="-6"/>
          <w:kern w:val="0"/>
          <w:sz w:val="32"/>
          <w:szCs w:val="32"/>
        </w:rPr>
        <w:t>粮食调控统计股（物资储备股）</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6</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spacing w:val="-6"/>
          <w:kern w:val="0"/>
          <w:sz w:val="32"/>
          <w:szCs w:val="32"/>
        </w:rPr>
        <w:t>粮食执法检查和行业发展股</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7</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spacing w:val="-6"/>
          <w:kern w:val="0"/>
          <w:sz w:val="32"/>
          <w:szCs w:val="32"/>
        </w:rPr>
        <w:t>价费管理和价格调控股</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8</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spacing w:val="-6"/>
          <w:kern w:val="0"/>
          <w:sz w:val="32"/>
          <w:szCs w:val="32"/>
        </w:rPr>
        <w:t>价格成本调查股</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(9)国防动员和人民防空办公室。</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（三）人员构成</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县发改局机关在职人员</w:t>
      </w:r>
      <w:r>
        <w:rPr>
          <w:rFonts w:hint="eastAsia" w:ascii="仿宋_GB2312" w:hAnsi="仿宋_GB2312" w:eastAsia="仿宋_GB2312" w:cs="仿宋_GB2312"/>
          <w:color w:val="000000"/>
          <w:sz w:val="32"/>
          <w:szCs w:val="32"/>
          <w:lang w:val="en-US" w:eastAsia="zh-CN"/>
        </w:rPr>
        <w:t>36</w:t>
      </w:r>
      <w:r>
        <w:rPr>
          <w:rFonts w:hint="eastAsia" w:ascii="仿宋_GB2312" w:hAnsi="仿宋_GB2312" w:eastAsia="仿宋_GB2312" w:cs="仿宋_GB2312"/>
          <w:color w:val="000000"/>
          <w:sz w:val="32"/>
          <w:szCs w:val="32"/>
        </w:rPr>
        <w:t>人,其中：行政编制</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人，事业编制</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人。</w:t>
      </w:r>
    </w:p>
    <w:p>
      <w:pPr>
        <w:numPr>
          <w:ilvl w:val="0"/>
          <w:numId w:val="2"/>
        </w:numPr>
        <w:spacing w:beforeLines="0" w:afterLines="0" w:line="570" w:lineRule="exact"/>
        <w:ind w:firstLine="640" w:firstLineChars="200"/>
        <w:outlineLvl w:val="1"/>
        <w:rPr>
          <w:rFonts w:hint="eastAsia" w:ascii="仿宋_GB2312" w:eastAsia="仿宋_GB2312"/>
          <w:sz w:val="32"/>
          <w:szCs w:val="24"/>
          <w:highlight w:val="none"/>
        </w:rPr>
      </w:pPr>
      <w:r>
        <w:rPr>
          <w:rFonts w:hint="eastAsia" w:ascii="仿宋_GB2312" w:eastAsia="仿宋_GB2312"/>
          <w:sz w:val="32"/>
          <w:szCs w:val="24"/>
          <w:highlight w:val="none"/>
        </w:rPr>
        <w:t>单位整体支出规模</w:t>
      </w:r>
    </w:p>
    <w:p>
      <w:pPr>
        <w:keepNext w:val="0"/>
        <w:keepLines w:val="0"/>
        <w:pageBreakBefore w:val="0"/>
        <w:widowControl w:val="0"/>
        <w:kinsoku/>
        <w:wordWrap/>
        <w:overflowPunct/>
        <w:topLinePunct w:val="0"/>
        <w:autoSpaceDE/>
        <w:autoSpaceDN/>
        <w:bidi w:val="0"/>
        <w:spacing w:before="0" w:beforeAutospacing="0" w:after="2" w:afterAutospacing="0" w:line="600" w:lineRule="exact"/>
        <w:ind w:left="0" w:firstLine="66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整体</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1486.32万元，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632.52万元，项目支出853.79万元。2024</w:t>
      </w:r>
      <w:r>
        <w:rPr>
          <w:rFonts w:hint="eastAsia" w:ascii="仿宋_GB2312" w:hAnsi="仿宋_GB2312" w:eastAsia="仿宋_GB2312" w:cs="仿宋_GB2312"/>
          <w:color w:val="000000" w:themeColor="text1"/>
          <w:sz w:val="32"/>
          <w:szCs w:val="32"/>
          <w:highlight w:val="none"/>
          <w14:textFill>
            <w14:solidFill>
              <w14:schemeClr w14:val="tx1"/>
            </w14:solidFill>
          </w14:textFill>
        </w:rPr>
        <w:t>年本部门“三公”经费预算数为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万元，其中，公务接待费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6.15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pStyle w:val="10"/>
        <w:tabs>
          <w:tab w:val="left" w:pos="603"/>
        </w:tabs>
        <w:spacing w:beforeLines="0" w:afterLines="0" w:line="570" w:lineRule="exact"/>
        <w:outlineLvl w:val="0"/>
        <w:rPr>
          <w:rFonts w:hint="default" w:ascii="Times New Roman" w:hAnsi="Times New Roman" w:eastAsia="黑体"/>
          <w:sz w:val="32"/>
          <w:szCs w:val="24"/>
          <w:highlight w:val="none"/>
        </w:rPr>
      </w:pPr>
      <w:r>
        <w:rPr>
          <w:rFonts w:hint="eastAsia" w:ascii="Times New Roman" w:hAnsi="Times New Roman" w:eastAsia="黑体"/>
          <w:sz w:val="32"/>
          <w:szCs w:val="24"/>
          <w:highlight w:val="none"/>
        </w:rPr>
        <w:t>二、一般公共预算支出情况</w:t>
      </w:r>
    </w:p>
    <w:p>
      <w:pPr>
        <w:pStyle w:val="10"/>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i w:val="0"/>
          <w:caps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2024年度</w:t>
      </w:r>
      <w:r>
        <w:rPr>
          <w:rFonts w:hint="eastAsia" w:ascii="仿宋_GB2312" w:hAnsi="仿宋_GB2312" w:eastAsia="仿宋_GB2312" w:cs="仿宋_GB2312"/>
          <w:b w:val="0"/>
          <w:bCs w:val="0"/>
          <w:i w:val="0"/>
          <w:caps w:val="0"/>
          <w:color w:val="000000"/>
          <w:spacing w:val="0"/>
          <w:sz w:val="32"/>
          <w:szCs w:val="32"/>
          <w:shd w:val="clear" w:color="auto" w:fill="auto"/>
        </w:rPr>
        <w:t>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632.52</w:t>
      </w:r>
      <w:r>
        <w:rPr>
          <w:rFonts w:hint="eastAsia" w:ascii="仿宋_GB2312" w:hAnsi="仿宋_GB2312" w:eastAsia="仿宋_GB2312" w:cs="仿宋_GB2312"/>
          <w:b w:val="0"/>
          <w:bCs w:val="0"/>
          <w:i w:val="0"/>
          <w:caps w:val="0"/>
          <w:color w:val="000000"/>
          <w:spacing w:val="0"/>
          <w:sz w:val="32"/>
          <w:szCs w:val="32"/>
          <w:shd w:val="clear" w:color="auto" w:fill="auto"/>
        </w:rPr>
        <w:t>万元</w:t>
      </w:r>
      <w:r>
        <w:rPr>
          <w:rFonts w:hint="eastAsia" w:ascii="仿宋_GB2312" w:hAnsi="仿宋_GB2312" w:eastAsia="仿宋_GB2312" w:cs="仿宋_GB2312"/>
          <w:b w:val="0"/>
          <w:bCs w:val="0"/>
          <w:i w:val="0"/>
          <w:caps w:val="0"/>
          <w:color w:val="000000"/>
          <w:spacing w:val="0"/>
          <w:sz w:val="32"/>
          <w:szCs w:val="32"/>
          <w:shd w:val="clear" w:color="auto" w:fill="auto"/>
          <w:lang w:eastAsia="zh-CN"/>
        </w:rPr>
        <w:t>。其中：</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1、工资福利支出500.27万元；2、一般商品和服务支出54.25万元；3、对个人和家庭的补助支出50万元;资本性支出28万元。</w:t>
      </w:r>
    </w:p>
    <w:p>
      <w:pPr>
        <w:pStyle w:val="10"/>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10"/>
        <w:spacing w:beforeLines="0" w:afterLines="0" w:line="570" w:lineRule="exact"/>
        <w:ind w:firstLine="640"/>
        <w:jc w:val="left"/>
        <w:outlineLvl w:val="0"/>
        <w:rPr>
          <w:rFonts w:hint="eastAsia" w:ascii="仿宋_GB2312" w:hAnsi="仿宋_GB2312" w:eastAsia="仿宋_GB2312" w:cs="仿宋_GB2312"/>
          <w:b w:val="0"/>
          <w:bCs w:val="0"/>
          <w:i w:val="0"/>
          <w:caps w:val="0"/>
          <w:color w:val="000000"/>
          <w:spacing w:val="0"/>
          <w:sz w:val="32"/>
          <w:szCs w:val="32"/>
          <w:shd w:val="clear" w:color="auto" w:fill="auto"/>
          <w:lang w:val="en-US" w:eastAsia="zh-CN"/>
        </w:rPr>
      </w:pP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2024年度</w:t>
      </w:r>
      <w:r>
        <w:rPr>
          <w:rFonts w:hint="eastAsia" w:ascii="仿宋_GB2312" w:hAnsi="仿宋_GB2312" w:eastAsia="仿宋_GB2312" w:cs="仿宋_GB2312"/>
          <w:b w:val="0"/>
          <w:bCs w:val="0"/>
          <w:i w:val="0"/>
          <w:caps w:val="0"/>
          <w:color w:val="000000"/>
          <w:spacing w:val="0"/>
          <w:sz w:val="32"/>
          <w:szCs w:val="32"/>
          <w:shd w:val="clear" w:color="auto" w:fill="auto"/>
          <w:lang w:eastAsia="zh-CN"/>
        </w:rPr>
        <w:t>项目</w:t>
      </w:r>
      <w:r>
        <w:rPr>
          <w:rFonts w:hint="eastAsia" w:ascii="仿宋_GB2312" w:hAnsi="仿宋_GB2312" w:eastAsia="仿宋_GB2312" w:cs="仿宋_GB2312"/>
          <w:b w:val="0"/>
          <w:bCs w:val="0"/>
          <w:i w:val="0"/>
          <w:caps w:val="0"/>
          <w:color w:val="000000"/>
          <w:spacing w:val="0"/>
          <w:sz w:val="32"/>
          <w:szCs w:val="32"/>
          <w:shd w:val="clear" w:color="auto" w:fill="auto"/>
        </w:rPr>
        <w:t>支出</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853.79</w:t>
      </w:r>
      <w:r>
        <w:rPr>
          <w:rFonts w:hint="eastAsia" w:ascii="仿宋_GB2312" w:hAnsi="仿宋_GB2312" w:eastAsia="仿宋_GB2312" w:cs="仿宋_GB2312"/>
          <w:b w:val="0"/>
          <w:bCs w:val="0"/>
          <w:i w:val="0"/>
          <w:caps w:val="0"/>
          <w:color w:val="000000"/>
          <w:spacing w:val="0"/>
          <w:sz w:val="32"/>
          <w:szCs w:val="32"/>
          <w:shd w:val="clear" w:color="auto" w:fill="auto"/>
        </w:rPr>
        <w:t>万元</w:t>
      </w:r>
      <w:r>
        <w:rPr>
          <w:rFonts w:hint="eastAsia" w:ascii="仿宋_GB2312" w:hAnsi="仿宋_GB2312" w:eastAsia="仿宋_GB2312" w:cs="仿宋_GB2312"/>
          <w:b w:val="0"/>
          <w:bCs w:val="0"/>
          <w:i w:val="0"/>
          <w:caps w:val="0"/>
          <w:color w:val="000000"/>
          <w:spacing w:val="0"/>
          <w:sz w:val="32"/>
          <w:szCs w:val="32"/>
          <w:shd w:val="clear" w:color="auto" w:fill="auto"/>
          <w:lang w:eastAsia="zh-CN"/>
        </w:rPr>
        <w:t>。其中：</w:t>
      </w:r>
      <w:r>
        <w:rPr>
          <w:rFonts w:hint="eastAsia" w:ascii="仿宋_GB2312" w:hAnsi="仿宋_GB2312" w:eastAsia="仿宋_GB2312" w:cs="仿宋_GB2312"/>
          <w:b w:val="0"/>
          <w:bCs w:val="0"/>
          <w:i w:val="0"/>
          <w:caps w:val="0"/>
          <w:color w:val="000000"/>
          <w:spacing w:val="0"/>
          <w:sz w:val="32"/>
          <w:szCs w:val="32"/>
          <w:shd w:val="clear" w:color="auto" w:fill="auto"/>
          <w:lang w:val="en-US" w:eastAsia="zh-CN"/>
        </w:rPr>
        <w:t>1、工资福利支出0.7万元；2、一般商品和服务支出764.92万元；3、对个人和家庭的补助支出44.17万元；4、资本性支出26.09万元；5、对企业补助17.92万元。</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10"/>
        <w:numPr>
          <w:ilvl w:val="0"/>
          <w:numId w:val="0"/>
        </w:numPr>
        <w:spacing w:beforeLines="0" w:afterLines="0" w:line="570" w:lineRule="exact"/>
        <w:ind w:firstLine="640" w:firstLineChars="20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我单位无社会保险基金预算支出情况</w:t>
      </w:r>
    </w:p>
    <w:p>
      <w:pPr>
        <w:pStyle w:val="10"/>
        <w:numPr>
          <w:ilvl w:val="0"/>
          <w:numId w:val="0"/>
        </w:numPr>
        <w:spacing w:beforeLines="0" w:afterLines="0" w:line="570" w:lineRule="exact"/>
        <w:ind w:left="640" w:leftChars="0"/>
        <w:jc w:val="left"/>
        <w:outlineLvl w:val="0"/>
        <w:rPr>
          <w:rFonts w:hint="default" w:eastAsia="黑体"/>
          <w:sz w:val="32"/>
          <w:szCs w:val="24"/>
        </w:rPr>
      </w:pPr>
      <w:r>
        <w:rPr>
          <w:rFonts w:hint="eastAsia" w:eastAsia="黑体"/>
          <w:sz w:val="32"/>
          <w:szCs w:val="24"/>
        </w:rPr>
        <w:t>六、部门整体支出绩效情况</w:t>
      </w:r>
    </w:p>
    <w:p>
      <w:pPr>
        <w:pStyle w:val="10"/>
        <w:keepNext w:val="0"/>
        <w:keepLines w:val="0"/>
        <w:pageBreakBefore w:val="0"/>
        <w:widowControl w:val="0"/>
        <w:kinsoku/>
        <w:wordWrap/>
        <w:overflowPunct/>
        <w:topLinePunct w:val="0"/>
        <w:autoSpaceDE/>
        <w:autoSpaceDN/>
        <w:bidi w:val="0"/>
        <w:adjustRightInd/>
        <w:snapToGrid/>
        <w:spacing w:beforeLines="0" w:afterLines="0" w:line="600" w:lineRule="exact"/>
        <w:ind w:firstLine="640"/>
        <w:jc w:val="left"/>
        <w:textAlignment w:val="auto"/>
        <w:outlineLvl w:val="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根据年初预算编制制定实施计划组织实施、严格按照批复执行预算。（2）加强财务管理制度和会计核算等管理制度，加强内部控制制度的建设和内部风险评估及防控，定期对资金绩效执行情况进行监控；一切支出按照国家财经法规和财务管理制度规定以及专项资金管理办法的规定办理，财务人员认真审核算每笔业务的合法性、真实性、手续完整性和资料的准确性。健全会计核算，依照规定进行会计处理，保证会计指标的口径一致。支出符合部门预算批复的用途，资金使用无截留、挤占挪用、虚列支出等情况。（3）按照政府信息公开的有关规定及时公开相关预决信息。</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outlineLvl w:val="0"/>
        <w:rPr>
          <w:rFonts w:hint="eastAsia" w:ascii="仿宋_GB2312" w:hAnsi="仿宋_GB2312" w:eastAsia="仿宋_GB2312" w:cs="仿宋_GB2312"/>
          <w:i w:val="0"/>
          <w:iCs w:val="0"/>
          <w:caps w:val="0"/>
          <w:color w:val="373737"/>
          <w:spacing w:val="0"/>
          <w:sz w:val="32"/>
          <w:szCs w:val="32"/>
          <w:shd w:val="clear" w:fill="FFFFFF"/>
          <w:lang w:eastAsia="zh-CN"/>
        </w:rPr>
      </w:pPr>
      <w:r>
        <w:rPr>
          <w:rFonts w:hint="eastAsia" w:ascii="仿宋_GB2312" w:hAnsi="仿宋_GB2312" w:eastAsia="仿宋_GB2312" w:cs="仿宋_GB2312"/>
          <w:i w:val="0"/>
          <w:iCs w:val="0"/>
          <w:caps w:val="0"/>
          <w:color w:val="373737"/>
          <w:spacing w:val="0"/>
          <w:sz w:val="32"/>
          <w:szCs w:val="32"/>
          <w:shd w:val="clear" w:fill="FFFFFF"/>
          <w:lang w:val="en-US" w:eastAsia="zh-CN"/>
        </w:rPr>
        <w:t>（1）</w:t>
      </w:r>
      <w:r>
        <w:rPr>
          <w:rFonts w:hint="eastAsia" w:ascii="仿宋_GB2312" w:hAnsi="仿宋_GB2312" w:eastAsia="仿宋_GB2312" w:cs="仿宋_GB2312"/>
          <w:i w:val="0"/>
          <w:iCs w:val="0"/>
          <w:caps w:val="0"/>
          <w:color w:val="373737"/>
          <w:spacing w:val="0"/>
          <w:sz w:val="32"/>
          <w:szCs w:val="32"/>
          <w:shd w:val="clear" w:fill="FFFFFF"/>
        </w:rPr>
        <w:t>预算控制率有所降低。除政策性因素以外，由于部分临时、紧急或突发的工作任务导致年中追加预算</w:t>
      </w:r>
      <w:r>
        <w:rPr>
          <w:rFonts w:hint="eastAsia" w:ascii="仿宋_GB2312" w:hAnsi="仿宋_GB2312" w:eastAsia="仿宋_GB2312" w:cs="仿宋_GB2312"/>
          <w:i w:val="0"/>
          <w:iCs w:val="0"/>
          <w:caps w:val="0"/>
          <w:color w:val="373737"/>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（2）工作任务繁重与人员编制不足矛盾日益突出。</w:t>
      </w:r>
    </w:p>
    <w:p>
      <w:pPr>
        <w:spacing w:beforeLines="0" w:afterLines="0" w:line="570" w:lineRule="exact"/>
        <w:ind w:firstLine="640" w:firstLineChars="200"/>
        <w:jc w:val="left"/>
        <w:outlineLvl w:val="0"/>
        <w:rPr>
          <w:rFonts w:hint="default" w:eastAsia="黑体"/>
          <w:sz w:val="32"/>
          <w:szCs w:val="24"/>
        </w:rPr>
      </w:pPr>
      <w:r>
        <w:rPr>
          <w:rFonts w:hint="eastAsia" w:eastAsia="黑体"/>
          <w:sz w:val="32"/>
          <w:szCs w:val="24"/>
        </w:rPr>
        <w:t>八、下一步改进措施</w:t>
      </w:r>
    </w:p>
    <w:p>
      <w:pPr>
        <w:spacing w:beforeLines="0" w:afterLines="0" w:line="570" w:lineRule="exact"/>
        <w:ind w:firstLine="645"/>
        <w:jc w:val="left"/>
        <w:outlineLvl w:val="0"/>
        <w:rPr>
          <w:rFonts w:hint="eastAsia" w:ascii="仿宋_GB2312" w:hAnsi="仿宋_GB2312" w:eastAsia="仿宋_GB2312" w:cs="仿宋_GB2312"/>
          <w:i w:val="0"/>
          <w:iCs w:val="0"/>
          <w:caps w:val="0"/>
          <w:color w:val="373737"/>
          <w:spacing w:val="0"/>
          <w:sz w:val="32"/>
          <w:szCs w:val="32"/>
          <w:shd w:val="clear" w:fill="FFFFFF"/>
        </w:rPr>
      </w:pPr>
      <w:r>
        <w:rPr>
          <w:rFonts w:hint="eastAsia" w:ascii="仿宋_GB2312" w:hAnsi="仿宋_GB2312" w:eastAsia="仿宋_GB2312" w:cs="仿宋_GB2312"/>
          <w:i w:val="0"/>
          <w:iCs w:val="0"/>
          <w:caps w:val="0"/>
          <w:color w:val="373737"/>
          <w:spacing w:val="0"/>
          <w:sz w:val="32"/>
          <w:szCs w:val="32"/>
          <w:shd w:val="clear" w:fill="FFFFFF"/>
        </w:rPr>
        <w:t>1、细化预算编制，精益求精做好预算编制工作。同时进一步加强内设机构的预算管理意识，严格按照预算编制的相关制度和指标要求进行操作。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73737"/>
          <w:spacing w:val="0"/>
          <w:sz w:val="32"/>
          <w:szCs w:val="32"/>
          <w:shd w:val="clear" w:fill="FFFFFF"/>
          <w:lang w:val="en-US" w:eastAsia="zh-CN"/>
        </w:rPr>
        <w:t>2</w:t>
      </w:r>
      <w:r>
        <w:rPr>
          <w:rFonts w:hint="eastAsia" w:ascii="仿宋_GB2312" w:hAnsi="仿宋_GB2312" w:eastAsia="仿宋_GB2312" w:cs="仿宋_GB2312"/>
          <w:i w:val="0"/>
          <w:iCs w:val="0"/>
          <w:caps w:val="0"/>
          <w:color w:val="373737"/>
          <w:spacing w:val="0"/>
          <w:sz w:val="32"/>
          <w:szCs w:val="32"/>
          <w:shd w:val="clear" w:fill="FFFFFF"/>
        </w:rPr>
        <w:t>、对相关人员加强培训，特别是针对《预算法》、《行政事业单位会计制度》等学习培训，规范部门预算收支核算，切实提高部门预算收支管理水平。</w:t>
      </w:r>
    </w:p>
    <w:p>
      <w:pPr>
        <w:spacing w:beforeLines="0" w:afterLines="0" w:line="570" w:lineRule="exact"/>
        <w:ind w:firstLine="645"/>
        <w:jc w:val="left"/>
        <w:outlineLvl w:val="0"/>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546.43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1636.07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1486.31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lang w:val="en-US" w:eastAsia="zh-CN"/>
              </w:rPr>
            </w:pPr>
            <w:r>
              <w:rPr>
                <w:rFonts w:hint="eastAsia"/>
                <w:lang w:val="en-US" w:eastAsia="zh-CN"/>
              </w:rPr>
              <w:t>40.15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12.74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12.74</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1.31</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34.15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34.15</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28</w:t>
            </w: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7.4335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tabs>
                <w:tab w:val="left" w:pos="566"/>
              </w:tabs>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val="en-US" w:eastAsia="zh-CN"/>
              </w:rPr>
              <w:t>667.33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1002.15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853.79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56.98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eastAsia="仿宋_GB2312"/>
          <w:sz w:val="22"/>
          <w:szCs w:val="24"/>
        </w:rPr>
        <w:t>填表人：</w:t>
      </w:r>
      <w:r>
        <w:rPr>
          <w:rFonts w:hint="eastAsia" w:eastAsia="仿宋_GB2312"/>
          <w:sz w:val="22"/>
          <w:szCs w:val="24"/>
          <w:lang w:eastAsia="zh-CN"/>
        </w:rPr>
        <w:t>蔡灵君</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2025.7.15 </w:t>
      </w:r>
      <w:r>
        <w:rPr>
          <w:rFonts w:hint="eastAsia" w:eastAsia="仿宋_GB2312"/>
          <w:sz w:val="22"/>
          <w:szCs w:val="24"/>
        </w:rPr>
        <w:t>联系电话：</w:t>
      </w:r>
      <w:r>
        <w:rPr>
          <w:rFonts w:hint="eastAsia" w:eastAsia="仿宋_GB2312"/>
          <w:sz w:val="22"/>
          <w:szCs w:val="24"/>
          <w:lang w:val="en-US" w:eastAsia="zh-CN"/>
        </w:rPr>
        <w:t>7723513</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eastAsia" w:eastAsia="仿宋_GB2312"/>
          <w:sz w:val="22"/>
          <w:szCs w:val="24"/>
          <w:lang w:eastAsia="zh-CN"/>
        </w:rPr>
        <w:t>刘飞轮</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931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双牌县发展和改革局</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1197.17</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1636.07</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1486.32</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1636.07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632.52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853.79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1197.17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1486.32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9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完成支出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1636.07万元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1486.32万元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资金使用</w:t>
            </w:r>
            <w:r>
              <w:rPr>
                <w:rFonts w:hint="eastAsia" w:asciiTheme="minorEastAsia" w:hAnsiTheme="minorEastAsia" w:eastAsiaTheme="minorEastAsia" w:cstheme="minorEastAsia"/>
                <w:color w:val="000000"/>
                <w:sz w:val="24"/>
                <w:szCs w:val="24"/>
              </w:rPr>
              <w:t>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总金额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1486.32</w:t>
            </w:r>
            <w:r>
              <w:rPr>
                <w:rFonts w:hint="eastAsia" w:asciiTheme="minorEastAsia" w:hAnsiTheme="minorEastAsia" w:eastAsiaTheme="minorEastAsia" w:cstheme="minorEastAsia"/>
                <w:color w:val="000000"/>
                <w:sz w:val="24"/>
                <w:szCs w:val="24"/>
                <w:lang w:eastAsia="zh-CN"/>
              </w:rPr>
              <w:t>万元</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1486.32</w:t>
            </w:r>
            <w:r>
              <w:rPr>
                <w:rFonts w:hint="eastAsia" w:asciiTheme="minorEastAsia" w:hAnsiTheme="minorEastAsia" w:eastAsiaTheme="minorEastAsia" w:cstheme="minorEastAsia"/>
                <w:color w:val="000000"/>
                <w:sz w:val="24"/>
                <w:szCs w:val="24"/>
                <w:lang w:eastAsia="zh-CN"/>
              </w:rPr>
              <w:t>万元</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经济发展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经济发展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社会发展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社会发展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促进可持续发展</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促进可持续发展</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社会公众或服务对象满意度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≥95%</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　≥95%</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93</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陈海娜</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2024.4.2 </w:t>
      </w:r>
      <w:r>
        <w:rPr>
          <w:rFonts w:hint="eastAsia" w:eastAsia="仿宋_GB2312"/>
          <w:sz w:val="22"/>
          <w:szCs w:val="24"/>
        </w:rPr>
        <w:t>联系电话：</w:t>
      </w:r>
      <w:r>
        <w:rPr>
          <w:rFonts w:hint="eastAsia" w:eastAsia="仿宋_GB2312"/>
          <w:sz w:val="22"/>
          <w:szCs w:val="24"/>
          <w:lang w:val="en-US" w:eastAsia="zh-CN"/>
        </w:rPr>
        <w:t>7723513</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eastAsia" w:eastAsia="仿宋_GB2312"/>
          <w:sz w:val="22"/>
          <w:szCs w:val="24"/>
          <w:lang w:eastAsia="zh-CN"/>
        </w:rPr>
        <w:t>刘飞轮</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p>
      <w:pPr>
        <w:pStyle w:val="2"/>
        <w:rPr>
          <w:rFonts w:hint="eastAsia"/>
        </w:rPr>
      </w:pP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r>
              <w:rPr>
                <w:rFonts w:hint="eastAsia" w:asciiTheme="minorEastAsia" w:hAnsiTheme="minorEastAsia" w:eastAsiaTheme="minorEastAsia" w:cstheme="minorEastAsia"/>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双牌县发展和改革局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保障</w:t>
            </w:r>
            <w:r>
              <w:rPr>
                <w:rFonts w:hint="eastAsia" w:asciiTheme="minorEastAsia" w:hAnsiTheme="minorEastAsia" w:eastAsiaTheme="minorEastAsia" w:cstheme="minorEastAsia"/>
                <w:sz w:val="24"/>
                <w:szCs w:val="24"/>
                <w:lang w:eastAsia="zh-CN"/>
              </w:rPr>
              <w:t>发改局</w:t>
            </w:r>
            <w:r>
              <w:rPr>
                <w:rFonts w:hint="eastAsia" w:asciiTheme="minorEastAsia" w:hAnsiTheme="minorEastAsia" w:eastAsiaTheme="minorEastAsia" w:cstheme="minorEastAsia"/>
                <w:sz w:val="24"/>
                <w:szCs w:val="24"/>
              </w:rPr>
              <w:t>的各项工作开展，不断提升</w:t>
            </w:r>
            <w:r>
              <w:rPr>
                <w:rFonts w:hint="eastAsia" w:asciiTheme="minorEastAsia" w:hAnsiTheme="minorEastAsia" w:eastAsiaTheme="minorEastAsia" w:cstheme="minorEastAsia"/>
                <w:sz w:val="24"/>
                <w:szCs w:val="24"/>
                <w:lang w:eastAsia="zh-CN"/>
              </w:rPr>
              <w:t>相关工作</w:t>
            </w:r>
            <w:r>
              <w:rPr>
                <w:rFonts w:hint="eastAsia" w:asciiTheme="minorEastAsia" w:hAnsiTheme="minorEastAsia" w:eastAsiaTheme="minorEastAsia" w:cstheme="minorEastAsia"/>
                <w:sz w:val="24"/>
                <w:szCs w:val="24"/>
              </w:rPr>
              <w:t>服务水平</w:t>
            </w:r>
            <w:r>
              <w:rPr>
                <w:rFonts w:hint="eastAsia" w:asciiTheme="minorEastAsia" w:hAnsiTheme="minorEastAsia" w:eastAsiaTheme="minorEastAsia" w:cstheme="minorEastAsia"/>
                <w:sz w:val="24"/>
                <w:szCs w:val="24"/>
                <w:lang w:eastAsia="zh-CN"/>
              </w:rPr>
              <w:t>；美化居住环境，提高居民生活质量，促进县域经济高质量发展</w:t>
            </w:r>
            <w:r>
              <w:rPr>
                <w:rFonts w:hint="eastAsia" w:asciiTheme="minorEastAsia" w:hAnsiTheme="minorEastAsia" w:eastAsiaTheme="minorEastAsia" w:cs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按财政相关要求保质保量完成项目支出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已完成</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9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eastAsia="仿宋_GB2312"/>
          <w:sz w:val="22"/>
          <w:szCs w:val="24"/>
          <w:lang w:eastAsia="zh-CN"/>
        </w:rPr>
        <w:t>填表人：蔡灵君</w:t>
      </w:r>
      <w:r>
        <w:rPr>
          <w:rFonts w:hint="eastAsia" w:eastAsia="仿宋_GB2312"/>
          <w:sz w:val="22"/>
          <w:szCs w:val="24"/>
          <w:lang w:val="en-US" w:eastAsia="zh-CN"/>
        </w:rPr>
        <w:t xml:space="preserve">  </w:t>
      </w:r>
      <w:r>
        <w:rPr>
          <w:rFonts w:hint="eastAsia" w:eastAsia="仿宋_GB2312"/>
          <w:sz w:val="22"/>
          <w:szCs w:val="24"/>
          <w:lang w:eastAsia="zh-CN"/>
        </w:rPr>
        <w:t>填报日期：</w:t>
      </w:r>
      <w:r>
        <w:rPr>
          <w:rFonts w:hint="eastAsia" w:eastAsia="仿宋_GB2312"/>
          <w:sz w:val="22"/>
          <w:szCs w:val="24"/>
          <w:lang w:val="en-US" w:eastAsia="zh-CN"/>
        </w:rPr>
        <w:t>2024.7.15</w:t>
      </w:r>
      <w:r>
        <w:rPr>
          <w:rFonts w:hint="eastAsia" w:eastAsia="仿宋_GB2312"/>
          <w:sz w:val="22"/>
          <w:szCs w:val="24"/>
          <w:lang w:eastAsia="zh-CN"/>
        </w:rPr>
        <w:t xml:space="preserve">  联系电话：</w:t>
      </w:r>
      <w:r>
        <w:rPr>
          <w:rFonts w:hint="eastAsia" w:eastAsia="仿宋_GB2312"/>
          <w:sz w:val="22"/>
          <w:szCs w:val="24"/>
          <w:lang w:val="en-US" w:eastAsia="zh-CN"/>
        </w:rPr>
        <w:t xml:space="preserve">7723513 </w:t>
      </w:r>
      <w:r>
        <w:rPr>
          <w:rFonts w:hint="eastAsia" w:eastAsia="仿宋_GB2312"/>
          <w:sz w:val="22"/>
          <w:szCs w:val="24"/>
          <w:lang w:eastAsia="zh-CN"/>
        </w:rPr>
        <w:t xml:space="preserve"> 单位负责人签字：刘飞轮</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双牌县发展和改革局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双牌县发展和改革局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853.79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853.79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853.79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保障镇政府的各项工作开展，不断提升何家洞镇政府服务水平</w:t>
            </w:r>
            <w:r>
              <w:rPr>
                <w:rFonts w:hint="eastAsia" w:asciiTheme="minorEastAsia" w:hAnsiTheme="minorEastAsia" w:eastAsiaTheme="minorEastAsia" w:cstheme="minorEastAsia"/>
                <w:color w:val="000000"/>
                <w:sz w:val="24"/>
                <w:szCs w:val="24"/>
                <w:lang w:eastAsia="zh-CN"/>
              </w:rPr>
              <w:t>。</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保障镇政府的各项工作开展，不断提升何家洞镇政府服务水平</w:t>
            </w:r>
            <w:r>
              <w:rPr>
                <w:rFonts w:hint="eastAsia" w:asciiTheme="minorEastAsia" w:hAnsiTheme="minorEastAsia" w:eastAsiaTheme="minorEastAsia" w:cstheme="minorEastAsia"/>
                <w:color w:val="00000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4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22"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促进社</w:t>
            </w:r>
            <w:r>
              <w:rPr>
                <w:rFonts w:hint="eastAsia" w:asciiTheme="minorEastAsia" w:hAnsiTheme="minorEastAsia" w:eastAsiaTheme="minorEastAsia" w:cstheme="minorEastAsia"/>
                <w:color w:val="000000"/>
                <w:sz w:val="24"/>
                <w:szCs w:val="24"/>
                <w:lang w:eastAsia="zh-CN"/>
              </w:rPr>
              <w:t>会发展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完成支出总额</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p>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853.79</w:t>
            </w:r>
          </w:p>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eastAsia="zh-CN"/>
              </w:rPr>
              <w:t>资金使用</w:t>
            </w:r>
            <w:r>
              <w:rPr>
                <w:rFonts w:hint="eastAsia" w:asciiTheme="minorEastAsia" w:hAnsiTheme="minorEastAsia" w:eastAsiaTheme="minorEastAsia" w:cstheme="minorEastAsia"/>
                <w:color w:val="000000"/>
                <w:kern w:val="0"/>
                <w:sz w:val="24"/>
                <w:szCs w:val="24"/>
              </w:rPr>
              <w:t>合格率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完成支出及时率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促进社会发展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促进社会可持续发展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≥9</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default" w:eastAsia="仿宋_GB2312"/>
          <w:sz w:val="22"/>
          <w:szCs w:val="24"/>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eastAsia="仿宋_GB2312"/>
          <w:sz w:val="22"/>
          <w:szCs w:val="24"/>
        </w:rPr>
        <w:t>填表人：</w:t>
      </w:r>
      <w:r>
        <w:rPr>
          <w:rFonts w:hint="eastAsia" w:eastAsia="仿宋_GB2312"/>
          <w:sz w:val="22"/>
          <w:szCs w:val="24"/>
          <w:lang w:eastAsia="zh-CN"/>
        </w:rPr>
        <w:t>蔡灵君</w:t>
      </w:r>
      <w:r>
        <w:rPr>
          <w:rFonts w:hint="eastAsia" w:eastAsia="仿宋_GB2312"/>
          <w:sz w:val="22"/>
          <w:szCs w:val="24"/>
          <w:lang w:val="en-US" w:eastAsia="zh-CN"/>
        </w:rPr>
        <w:t xml:space="preserve"> </w:t>
      </w:r>
      <w:r>
        <w:rPr>
          <w:rFonts w:hint="eastAsia" w:eastAsia="仿宋_GB2312"/>
          <w:sz w:val="22"/>
          <w:szCs w:val="24"/>
        </w:rPr>
        <w:t>填报日期：</w:t>
      </w:r>
      <w:r>
        <w:rPr>
          <w:rFonts w:hint="eastAsia" w:eastAsia="仿宋_GB2312"/>
          <w:sz w:val="22"/>
          <w:szCs w:val="24"/>
          <w:lang w:val="en-US" w:eastAsia="zh-CN"/>
        </w:rPr>
        <w:t xml:space="preserve">2024.7.15 </w:t>
      </w:r>
      <w:r>
        <w:rPr>
          <w:rFonts w:hint="eastAsia" w:eastAsia="仿宋_GB2312"/>
          <w:sz w:val="22"/>
          <w:szCs w:val="24"/>
        </w:rPr>
        <w:t>联系电话：</w:t>
      </w:r>
      <w:r>
        <w:rPr>
          <w:rFonts w:hint="eastAsia" w:eastAsia="仿宋_GB2312"/>
          <w:sz w:val="22"/>
          <w:szCs w:val="24"/>
          <w:lang w:val="en-US" w:eastAsia="zh-CN"/>
        </w:rPr>
        <w:t>7723513</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单位负责人签字：</w:t>
      </w:r>
      <w:r>
        <w:rPr>
          <w:rFonts w:hint="eastAsia" w:eastAsia="仿宋_GB2312"/>
          <w:sz w:val="22"/>
          <w:szCs w:val="24"/>
          <w:lang w:eastAsia="zh-CN"/>
        </w:rPr>
        <w:t>刘飞轮</w:t>
      </w:r>
      <w:r>
        <w:rPr>
          <w:rFonts w:hint="default" w:eastAsia="仿宋_GB2312"/>
          <w:sz w:val="22"/>
          <w:szCs w:val="24"/>
        </w:rPr>
        <w:br w:type="page"/>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发展和改革局单位</w:t>
      </w:r>
      <w:r>
        <w:rPr>
          <w:rFonts w:hint="eastAsia" w:ascii="宋体" w:hAnsi="宋体" w:eastAsia="宋体" w:cs="宋体"/>
          <w:b/>
          <w:bCs/>
          <w:sz w:val="40"/>
          <w:szCs w:val="40"/>
        </w:rPr>
        <w:t>预算绩效管理工作负责人名册</w:t>
      </w:r>
    </w:p>
    <w:tbl>
      <w:tblPr>
        <w:tblStyle w:val="7"/>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306"/>
        <w:gridCol w:w="1306"/>
        <w:gridCol w:w="1336"/>
        <w:gridCol w:w="153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蔡教军</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default" w:asciiTheme="minorEastAsia" w:hAnsiTheme="minorEastAsia" w:eastAsiaTheme="minorEastAsia" w:cstheme="minorEastAsia"/>
                <w:color w:val="000000"/>
                <w:sz w:val="24"/>
                <w:szCs w:val="24"/>
                <w:lang w:val="en-US" w:eastAsia="zh-CN"/>
              </w:rPr>
              <w:t>7723513</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17774654761</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蔡灵君</w:t>
            </w: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7723513</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15116653005</w:t>
            </w: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7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C5D0"/>
    <w:multiLevelType w:val="singleLevel"/>
    <w:tmpl w:val="0205C5D0"/>
    <w:lvl w:ilvl="0" w:tentative="0">
      <w:start w:val="2"/>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Y2ODNlNzhlM2E3ZWY2OTlhYzMwOTMzN2JkYTAifQ=="/>
  </w:docVars>
  <w:rsids>
    <w:rsidRoot w:val="00172A27"/>
    <w:rsid w:val="0CCE5073"/>
    <w:rsid w:val="0EC028DD"/>
    <w:rsid w:val="0EDB75A4"/>
    <w:rsid w:val="0F4C2D2A"/>
    <w:rsid w:val="101F3C57"/>
    <w:rsid w:val="105E064F"/>
    <w:rsid w:val="154B3473"/>
    <w:rsid w:val="15B02F86"/>
    <w:rsid w:val="17AE49E6"/>
    <w:rsid w:val="1B4A5138"/>
    <w:rsid w:val="1BCE59A7"/>
    <w:rsid w:val="1D5E5630"/>
    <w:rsid w:val="1D643C4D"/>
    <w:rsid w:val="1DC90E7F"/>
    <w:rsid w:val="1F9C1D8C"/>
    <w:rsid w:val="20BA3D5C"/>
    <w:rsid w:val="20FE29CD"/>
    <w:rsid w:val="213827F6"/>
    <w:rsid w:val="22DD0118"/>
    <w:rsid w:val="232332DE"/>
    <w:rsid w:val="24756501"/>
    <w:rsid w:val="293631B0"/>
    <w:rsid w:val="2AF82401"/>
    <w:rsid w:val="2C722B3F"/>
    <w:rsid w:val="2EC453C3"/>
    <w:rsid w:val="31EF3498"/>
    <w:rsid w:val="33457B5A"/>
    <w:rsid w:val="33EA0D37"/>
    <w:rsid w:val="3417298C"/>
    <w:rsid w:val="36696C75"/>
    <w:rsid w:val="392F733F"/>
    <w:rsid w:val="3DFB432B"/>
    <w:rsid w:val="3F0B7BA6"/>
    <w:rsid w:val="41A60F90"/>
    <w:rsid w:val="437042B4"/>
    <w:rsid w:val="43B16FF9"/>
    <w:rsid w:val="43D25C86"/>
    <w:rsid w:val="43F5638C"/>
    <w:rsid w:val="44940410"/>
    <w:rsid w:val="473807FE"/>
    <w:rsid w:val="47FF7E2A"/>
    <w:rsid w:val="4A7E5437"/>
    <w:rsid w:val="4B490F32"/>
    <w:rsid w:val="4B564457"/>
    <w:rsid w:val="4C575977"/>
    <w:rsid w:val="4DF30F3A"/>
    <w:rsid w:val="4E021016"/>
    <w:rsid w:val="4E8B7C40"/>
    <w:rsid w:val="4F1637A4"/>
    <w:rsid w:val="500F1BD2"/>
    <w:rsid w:val="51C40746"/>
    <w:rsid w:val="543E6CC0"/>
    <w:rsid w:val="55412274"/>
    <w:rsid w:val="55C03679"/>
    <w:rsid w:val="57C446E9"/>
    <w:rsid w:val="58820FB8"/>
    <w:rsid w:val="5ABA52A9"/>
    <w:rsid w:val="5C8E01AF"/>
    <w:rsid w:val="62BE6D8B"/>
    <w:rsid w:val="64E742EF"/>
    <w:rsid w:val="684B0AD7"/>
    <w:rsid w:val="6A096954"/>
    <w:rsid w:val="6E351362"/>
    <w:rsid w:val="6F6572CC"/>
    <w:rsid w:val="75073918"/>
    <w:rsid w:val="754209ED"/>
    <w:rsid w:val="75E13E4A"/>
    <w:rsid w:val="771A18F7"/>
    <w:rsid w:val="777B7AAD"/>
    <w:rsid w:val="7824629C"/>
    <w:rsid w:val="7BC6627D"/>
    <w:rsid w:val="7E991F23"/>
    <w:rsid w:val="7EB5519D"/>
    <w:rsid w:val="7F7F209B"/>
    <w:rsid w:val="D4EF9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6">
    <w:name w:val="Body Text First Indent 2"/>
    <w:basedOn w:val="3"/>
    <w:qFormat/>
    <w:uiPriority w:val="0"/>
    <w:pPr>
      <w:spacing w:before="100" w:beforeAutospacing="1"/>
      <w:ind w:left="0" w:firstLine="420" w:firstLineChars="200"/>
    </w:p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 w:type="paragraph" w:customStyle="1" w:styleId="11">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4351</Words>
  <Characters>4542</Characters>
  <Lines>0</Lines>
  <Paragraphs>0</Paragraphs>
  <TotalTime>3</TotalTime>
  <ScaleCrop>false</ScaleCrop>
  <LinksUpToDate>false</LinksUpToDate>
  <CharactersWithSpaces>4645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2023-04-22T23:33:00Z</dcterms:created>
  <dc:creator>海之韵</dc:creator>
  <cp:lastModifiedBy>Administrator</cp:lastModifiedBy>
  <cp:lastPrinted>2024-09-13T18:47:00Z</cp:lastPrinted>
  <dcterms:modified xsi:type="dcterms:W3CDTF">2025-07-22T02:02:43Z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036DD2A9AED947E9905BCD7B99F9A453_13</vt:lpwstr>
  </property>
</Properties>
</file>