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双牌县市场监督管理局</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640" w:firstLineChars="2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双牌县市场监督管理局</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17</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ind w:left="640" w:firstLine="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（1）负责市场综合监督管理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（2）负责市场主体统一登记注册</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（3）负责权限范围内食品、药品、医疗器械、化妆品、特种设备、计量器具的许可管理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（4）负责组织和指导市场监管综合执法工作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（5）根据授权负责反垄断统一执法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（6）负责监督管理市场秩序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（7）负责宏观质量管理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（8）负责产品质量安全监督管理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（9）负责特种设备安全监督管理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（10）负责食品安全监督管理综合协调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 负责食品安全监督管理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（12）负责统一管理计量工作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（13）负责统一管理标准化工作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（14）负责统一管理检验检测工作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（15） 负责统一管理、监督和综合协调全县认证认可工作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（16）负责市场监督管理、知识产权领域科技和信息化建设、新闻宣传、对外交流与合作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（17）负责实施知识产权战略，推进知识产权强县建设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（18）负责保护知识产权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（19）负责知识产权创造运用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（20）负责组织开展有关服务领域消费维权工作，查处制售假冒伪劣等违法行为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（21）负责指导消费者咨询、申诉、举报受理、处理和网络体系建设等工作，保护经营者、消费者合法权益</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（22）负责职责范围内的药品、医疗器械和化妆品的质量管理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（23）负责职责范围内药品、医疗器械和化妆品上市后风险管理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（24）负责组织实施职责范围内药品、医疗器械和化妆品监督检查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（25）负责县委组织部门安排的小微企业、个体工商户、专业市场的党建工作，指导全县相关工作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（26）完成县委、县政府交办的其他任务</w:t>
      </w:r>
    </w:p>
    <w:p>
      <w:pPr>
        <w:widowControl w:val="0"/>
        <w:spacing w:before="100" w:beforeLines="0" w:beforeAutospacing="1" w:after="120" w:afterLines="0"/>
        <w:ind w:left="0" w:leftChars="0" w:firstLine="640" w:firstLineChars="200"/>
        <w:jc w:val="both"/>
        <w:rPr>
          <w:rFonts w:hint="default"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2.机构编制、人员构成</w:t>
      </w:r>
    </w:p>
    <w:p>
      <w:pPr>
        <w:spacing w:beforeLines="0" w:afterLines="0" w:line="570" w:lineRule="exact"/>
        <w:ind w:firstLine="640" w:firstLineChars="200"/>
        <w:outlineLvl w:val="1"/>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本单位属县人民政府组成部门，为正科级行政单位，在职在编人员78人，其中：行政编制31人、事业编制47人。人员编制人数160人，在编实有车辆5辆，退休人员52人。</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pStyle w:val="2"/>
        <w:widowControl w:val="0"/>
        <w:numPr>
          <w:ilvl w:val="0"/>
          <w:numId w:val="0"/>
        </w:numPr>
        <w:spacing w:beforeLines="0" w:after="120" w:afterLines="0"/>
        <w:ind w:leftChars="200"/>
        <w:jc w:val="both"/>
        <w:rPr>
          <w:rFonts w:hint="eastAsia" w:ascii="仿宋_GB2312" w:hAnsi="仿宋_GB2312" w:eastAsia="仿宋_GB2312" w:cs="Times New Roman"/>
          <w:color w:val="auto"/>
          <w:kern w:val="2"/>
          <w:sz w:val="32"/>
          <w:szCs w:val="32"/>
          <w:lang w:val="en-US" w:eastAsia="zh-CN" w:bidi="ar-SA"/>
        </w:rPr>
      </w:pPr>
      <w:r>
        <w:rPr>
          <w:rFonts w:hint="eastAsia" w:eastAsia="宋体"/>
          <w:lang w:val="en-US" w:eastAsia="zh-CN"/>
        </w:rPr>
        <w:t xml:space="preserve">  </w:t>
      </w:r>
      <w:r>
        <w:rPr>
          <w:rFonts w:hint="eastAsia" w:ascii="Times New Roman" w:hAnsi="Times New Roman" w:eastAsia="宋体" w:cstheme="minorBidi"/>
          <w:color w:val="0000FF"/>
          <w:kern w:val="2"/>
          <w:sz w:val="21"/>
          <w:szCs w:val="24"/>
          <w:lang w:val="en-US" w:eastAsia="zh-CN" w:bidi="ar-SA"/>
        </w:rPr>
        <w:t xml:space="preserve">   </w:t>
      </w:r>
      <w:r>
        <w:rPr>
          <w:rFonts w:hint="eastAsia" w:ascii="仿宋_GB2312" w:hAnsi="仿宋_GB2312" w:eastAsia="仿宋_GB2312" w:cs="Times New Roman"/>
          <w:color w:val="auto"/>
          <w:kern w:val="2"/>
          <w:sz w:val="32"/>
          <w:szCs w:val="32"/>
          <w:lang w:val="en-US" w:eastAsia="zh-CN" w:bidi="ar-SA"/>
        </w:rPr>
        <w:t>2024年公共预算财政拨款支出1332.34万元,其中：基本支出</w:t>
      </w:r>
      <w:r>
        <w:rPr>
          <w:rFonts w:hint="eastAsia" w:ascii="Segoe UI" w:hAnsi="Segoe UI" w:eastAsia="Segoe UI" w:cs="Segoe UI"/>
          <w:i w:val="0"/>
          <w:iCs w:val="0"/>
          <w:caps w:val="0"/>
          <w:color w:val="000000"/>
          <w:spacing w:val="0"/>
          <w:kern w:val="2"/>
          <w:sz w:val="28"/>
          <w:szCs w:val="28"/>
          <w:shd w:val="clear" w:fill="FFFFFF"/>
          <w:lang w:val="en-US" w:eastAsia="zh-CN" w:bidi="ar-SA"/>
        </w:rPr>
        <w:t>1010.92</w:t>
      </w:r>
      <w:r>
        <w:rPr>
          <w:rFonts w:hint="eastAsia" w:ascii="仿宋_GB2312" w:hAnsi="仿宋_GB2312" w:eastAsia="仿宋_GB2312" w:cs="Times New Roman"/>
          <w:color w:val="auto"/>
          <w:kern w:val="2"/>
          <w:sz w:val="32"/>
          <w:szCs w:val="32"/>
          <w:lang w:val="en-US" w:eastAsia="zh-CN" w:bidi="ar-SA"/>
        </w:rPr>
        <w:t>万元，项目支出</w:t>
      </w:r>
      <w:r>
        <w:rPr>
          <w:rFonts w:hint="eastAsia" w:ascii="Segoe UI" w:hAnsi="Segoe UI" w:eastAsia="Segoe UI" w:cs="Segoe UI"/>
          <w:i w:val="0"/>
          <w:iCs w:val="0"/>
          <w:caps w:val="0"/>
          <w:color w:val="000000"/>
          <w:spacing w:val="0"/>
          <w:kern w:val="2"/>
          <w:sz w:val="28"/>
          <w:szCs w:val="28"/>
          <w:shd w:val="clear" w:fill="FFFFFF"/>
          <w:lang w:val="en-US" w:eastAsia="zh-CN" w:bidi="ar-SA"/>
        </w:rPr>
        <w:t>334.5</w:t>
      </w:r>
      <w:r>
        <w:rPr>
          <w:rFonts w:hint="eastAsia" w:ascii="仿宋_GB2312" w:hAnsi="仿宋_GB2312" w:eastAsia="仿宋_GB2312" w:cs="Times New Roman"/>
          <w:color w:val="auto"/>
          <w:kern w:val="2"/>
          <w:sz w:val="32"/>
          <w:szCs w:val="32"/>
          <w:lang w:val="en-US" w:eastAsia="zh-CN" w:bidi="ar-SA"/>
        </w:rPr>
        <w:t>万元。</w:t>
      </w:r>
    </w:p>
    <w:p>
      <w:pPr>
        <w:snapToGrid w:val="0"/>
        <w:spacing w:line="520" w:lineRule="exact"/>
        <w:ind w:firstLine="640" w:firstLineChars="200"/>
        <w:rPr>
          <w:rFonts w:hint="default" w:eastAsia="宋体"/>
          <w:lang w:val="en-US" w:eastAsia="zh-CN"/>
        </w:rPr>
      </w:pP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年公务用车运行维护费为98000元，较202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年9</w:t>
      </w:r>
      <w:r>
        <w:rPr>
          <w:rFonts w:hint="eastAsia" w:ascii="仿宋_GB2312" w:hAnsi="仿宋" w:eastAsia="仿宋_GB2312" w:cs="仿宋"/>
          <w:color w:val="auto"/>
          <w:sz w:val="32"/>
          <w:szCs w:val="32"/>
          <w:lang w:val="en-US" w:eastAsia="zh-CN"/>
        </w:rPr>
        <w:t>8000</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val="en-US" w:eastAsia="zh-CN"/>
        </w:rPr>
        <w:t>持平</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年公务接待费</w:t>
      </w:r>
      <w:r>
        <w:rPr>
          <w:rFonts w:hint="eastAsia" w:ascii="仿宋_GB2312" w:hAnsi="仿宋" w:eastAsia="仿宋_GB2312" w:cs="仿宋"/>
          <w:color w:val="auto"/>
          <w:sz w:val="32"/>
          <w:szCs w:val="32"/>
          <w:lang w:val="en-US" w:eastAsia="zh-CN"/>
        </w:rPr>
        <w:t>118913</w:t>
      </w:r>
      <w:r>
        <w:rPr>
          <w:rFonts w:hint="eastAsia" w:ascii="仿宋_GB2312" w:hAnsi="仿宋" w:eastAsia="仿宋_GB2312" w:cs="仿宋"/>
          <w:color w:val="auto"/>
          <w:sz w:val="32"/>
          <w:szCs w:val="32"/>
        </w:rPr>
        <w:t>元，较202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年1187</w:t>
      </w:r>
      <w:r>
        <w:rPr>
          <w:rFonts w:hint="eastAsia" w:ascii="仿宋_GB2312" w:hAnsi="仿宋" w:eastAsia="仿宋_GB2312" w:cs="仿宋"/>
          <w:color w:val="auto"/>
          <w:sz w:val="32"/>
          <w:szCs w:val="32"/>
          <w:lang w:val="en-US" w:eastAsia="zh-CN"/>
        </w:rPr>
        <w:t>49增加了164</w:t>
      </w:r>
      <w:r>
        <w:rPr>
          <w:rFonts w:hint="eastAsia" w:ascii="仿宋_GB2312" w:hAnsi="仿宋" w:eastAsia="仿宋_GB2312" w:cs="仿宋"/>
          <w:color w:val="auto"/>
          <w:sz w:val="32"/>
          <w:szCs w:val="32"/>
        </w:rPr>
        <w:t>元；</w:t>
      </w:r>
    </w:p>
    <w:p>
      <w:pPr>
        <w:pStyle w:val="6"/>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6"/>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6"/>
        <w:spacing w:beforeLines="0" w:afterLines="0" w:line="570" w:lineRule="exact"/>
        <w:ind w:firstLine="640"/>
        <w:outlineLvl w:val="1"/>
        <w:rPr>
          <w:rFonts w:hint="default" w:ascii="Times New Roman" w:hAnsi="Times New Roman" w:eastAsia="仿宋_GB2312"/>
          <w:color w:val="auto"/>
          <w:sz w:val="32"/>
          <w:szCs w:val="24"/>
        </w:rPr>
      </w:pPr>
      <w:r>
        <w:rPr>
          <w:rFonts w:hint="eastAsia" w:ascii="仿宋_GB2312" w:hAnsi="仿宋_GB2312" w:eastAsia="仿宋_GB2312" w:cs="Times New Roman"/>
          <w:color w:val="auto"/>
          <w:kern w:val="2"/>
          <w:sz w:val="32"/>
          <w:szCs w:val="32"/>
          <w:lang w:val="en-US" w:eastAsia="zh-CN" w:bidi="ar-SA"/>
        </w:rPr>
        <w:t>2024年度基本支出为</w:t>
      </w:r>
      <w:r>
        <w:rPr>
          <w:rFonts w:hint="eastAsia" w:ascii="Segoe UI" w:hAnsi="Segoe UI" w:eastAsia="宋体" w:cs="Segoe UI"/>
          <w:i w:val="0"/>
          <w:iCs w:val="0"/>
          <w:caps w:val="0"/>
          <w:color w:val="auto"/>
          <w:spacing w:val="0"/>
          <w:sz w:val="28"/>
          <w:szCs w:val="28"/>
          <w:shd w:val="clear" w:fill="FFFFFF"/>
          <w:lang w:val="en-US" w:eastAsia="zh-CN"/>
        </w:rPr>
        <w:t>1010.92</w:t>
      </w:r>
      <w:r>
        <w:rPr>
          <w:rFonts w:hint="eastAsia" w:ascii="仿宋_GB2312" w:hAnsi="仿宋_GB2312" w:eastAsia="仿宋_GB2312" w:cs="Times New Roman"/>
          <w:color w:val="auto"/>
          <w:kern w:val="2"/>
          <w:sz w:val="32"/>
          <w:szCs w:val="32"/>
          <w:lang w:val="en-US" w:eastAsia="zh-CN" w:bidi="ar-SA"/>
        </w:rPr>
        <w:t>万元，占总支出比重为75.88%。一般公共预算财政拨款基本支出中人员经费909.69万元，主要包括：基本工资、津贴补贴、奖金、社会保障缴费、其他工资福利支出、离休费、退休费、抚恤金、奖励金、住房公积金、其他对个人和家庭的补助；一般公共预算财政拨款基本支出中公用经费90.97万元，主要包括：办公费、印刷费、邮电费、差旅费、维修（护）费、公务接待费、劳务费、工会经费、福利费、公务用车运行维护费、其他交通费用、其他商品和服务支出、办公设备购置。</w:t>
      </w:r>
    </w:p>
    <w:p>
      <w:pPr>
        <w:pStyle w:val="6"/>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6"/>
        <w:spacing w:beforeLines="-2147483648" w:afterLines="-2147483648" w:line="600" w:lineRule="exact"/>
        <w:ind w:firstLine="640"/>
        <w:rPr>
          <w:rFonts w:hint="default" w:ascii="Times New Roman" w:hAnsi="Times New Roman" w:eastAsia="仿宋_GB2312"/>
          <w:color w:val="auto"/>
          <w:sz w:val="32"/>
          <w:szCs w:val="24"/>
        </w:rPr>
      </w:pPr>
      <w:r>
        <w:rPr>
          <w:rFonts w:hint="eastAsia" w:ascii="仿宋_GB2312" w:hAnsi="仿宋_GB2312" w:eastAsia="仿宋_GB2312" w:cs="Times New Roman"/>
          <w:color w:val="auto"/>
          <w:kern w:val="2"/>
          <w:sz w:val="32"/>
          <w:szCs w:val="32"/>
          <w:lang w:val="en-US" w:eastAsia="zh-CN" w:bidi="ar-SA"/>
        </w:rPr>
        <w:t>2024年度项目支出为</w:t>
      </w:r>
      <w:r>
        <w:rPr>
          <w:rFonts w:hint="eastAsia" w:ascii="Segoe UI" w:hAnsi="Segoe UI" w:eastAsia="宋体" w:cs="Segoe UI"/>
          <w:i w:val="0"/>
          <w:iCs w:val="0"/>
          <w:caps w:val="0"/>
          <w:color w:val="auto"/>
          <w:spacing w:val="0"/>
          <w:sz w:val="28"/>
          <w:szCs w:val="28"/>
          <w:shd w:val="clear" w:fill="FFFFFF"/>
          <w:lang w:val="en-US" w:eastAsia="zh-CN"/>
        </w:rPr>
        <w:t>334.5</w:t>
      </w:r>
      <w:r>
        <w:rPr>
          <w:rFonts w:hint="eastAsia" w:ascii="仿宋_GB2312" w:hAnsi="仿宋_GB2312" w:eastAsia="仿宋_GB2312" w:cs="Times New Roman"/>
          <w:color w:val="auto"/>
          <w:kern w:val="2"/>
          <w:sz w:val="32"/>
          <w:szCs w:val="32"/>
          <w:lang w:val="en-US" w:eastAsia="zh-CN" w:bidi="ar-SA"/>
        </w:rPr>
        <w:t>万元，占总支出的比重为24.12%，是指单位为完成特定行政工作任务或事业发展目标而发生的支出，其中：1、市场秩序执法支出9万元；2、一般行政管理事务148.4万元；3、其他市场监督管理事务134.46万元；4、食品安全监管事务支出24.34万元。5.药品事务支出2.4万元。6.质量基础支出15.9万元。</w:t>
      </w:r>
    </w:p>
    <w:p>
      <w:pPr>
        <w:pStyle w:val="6"/>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6"/>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6"/>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6"/>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6"/>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6"/>
        <w:numPr>
          <w:ilvl w:val="0"/>
          <w:numId w:val="0"/>
        </w:numPr>
        <w:spacing w:beforeLines="0" w:afterLines="0" w:line="570" w:lineRule="exact"/>
        <w:ind w:leftChars="200" w:firstLine="320" w:firstLineChars="1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在县委县政府的正确领导下，全局干部职工凝心聚力、解放思想、开拓思路、攻坚克难，突出“转职能，强服务；强监管，保安全；重执法，维民权；夯基础，见成效”的工作方针，形成了1+1+1大于3的良好局面，全局工作有序开展，取得了较好的成绩，圆满完成县委县政府和上级主管部门交办的工作任务，主要绩效如下：</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1、积极落实了商事登记制度改革各项措施，随着商事登记制度改革的落实，全县市场主体稳步增长；</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2、维护市场经济秩序，切实加强对企业监督管理：积极开展个体企业状态的抽查、调查和核实工作，对超市、综合市场、水果店等经营的蔬菜、水果、肉禽、水产品、蛋等进行抽检；</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3、切实加强特种设备安全监管：我局认真开展了特种设备的监督检验与定期检验工作。协助省特检院永州分院对我县特种设备使用单位的特种设备进行了监督检验与过期检验；</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4、切实加强计量及认证工作：开展了免检工作、强检工作、计量检测工作和计量认证工作。</w:t>
      </w:r>
    </w:p>
    <w:p>
      <w:pPr>
        <w:pStyle w:val="6"/>
        <w:spacing w:beforeLines="0" w:afterLines="0" w:line="570" w:lineRule="exact"/>
        <w:ind w:firstLine="640"/>
        <w:jc w:val="left"/>
        <w:outlineLvl w:val="0"/>
        <w:rPr>
          <w:rFonts w:hint="default" w:eastAsia="仿宋_GB2312"/>
          <w:color w:val="000000"/>
          <w:sz w:val="32"/>
          <w:szCs w:val="24"/>
        </w:rPr>
      </w:pPr>
      <w:r>
        <w:rPr>
          <w:rFonts w:hint="eastAsia" w:eastAsia="仿宋_GB2312"/>
          <w:color w:val="000000"/>
          <w:sz w:val="32"/>
          <w:szCs w:val="24"/>
        </w:rPr>
        <w:t>切实加强行政执法工作，开展了执法培训，充分利用局内网等督促指导执法人员学习法律法规、探讨业务工作。</w:t>
      </w:r>
    </w:p>
    <w:p>
      <w:pPr>
        <w:pStyle w:val="6"/>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1、预算执行率有待提高。由于预算项目未及时报账导致年末预算资金未形成支出。</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2、专项资金少，资金压力大。针对我局经济基础薄弱、资金压力大的现状，重点产业项目尚需进一步的加强。</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3、预算编制不够明确和细化，预算编制的合理性需要提高，预算执行力度还要进一步加强。资金使用效益有待进一步提高，绩效目标设立不够明确、细化和量化。</w:t>
      </w:r>
    </w:p>
    <w:p>
      <w:pPr>
        <w:spacing w:beforeLines="0" w:afterLines="0" w:line="570" w:lineRule="exact"/>
        <w:ind w:firstLine="640" w:firstLineChars="200"/>
        <w:jc w:val="left"/>
        <w:rPr>
          <w:rFonts w:hint="default" w:eastAsia="仿宋_GB2312"/>
          <w:sz w:val="32"/>
          <w:szCs w:val="24"/>
        </w:rPr>
      </w:pPr>
      <w:r>
        <w:rPr>
          <w:rFonts w:hint="eastAsia" w:eastAsia="仿宋_GB2312"/>
          <w:color w:val="000000"/>
          <w:sz w:val="32"/>
          <w:szCs w:val="24"/>
        </w:rPr>
        <w:t>4、人员严重缺编与工作任务繁重矛盾日益突出。</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（一）加强部门预算管理,合理安排财政资金。增强行政成本意识，细化经费预算编制，在保证单位正常工作需要的人员经费和公用经费的前提下，严格控制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二）加强“三公”经费管理，严控“三公”经费规模。我单位在既有的制度办法基础上，进一步研究完善公务接待、公务用车配置使用和因公出国(境)等管理制度和审核程序，将“三公”经费严格纳入预算管理，严控 “三公”经费支出。</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出差完善审批程序；坚持厉行节约的原则，控制和压缩办公经费支出，各项费用严格控制在预算额度内使用。</w:t>
      </w:r>
    </w:p>
    <w:p>
      <w:pPr>
        <w:spacing w:beforeLines="0" w:afterLines="0" w:line="570" w:lineRule="exact"/>
        <w:ind w:firstLine="640" w:firstLineChars="200"/>
        <w:jc w:val="left"/>
        <w:outlineLvl w:val="0"/>
        <w:rPr>
          <w:rFonts w:hint="default"/>
        </w:rPr>
      </w:pPr>
      <w:r>
        <w:rPr>
          <w:rFonts w:hint="default" w:ascii="Times New Roman" w:hAnsi="Times New Roman" w:eastAsia="仿宋_GB2312"/>
          <w:color w:val="000000"/>
          <w:sz w:val="32"/>
          <w:szCs w:val="24"/>
        </w:rPr>
        <w:t>（四）规范资金结算管理。各项支出按照批准的预算和有关规定审核办理，各项费用严格按照经费审批程序审批后才能报销，杜绝不合理的开支。资金支付执行国库集中支付结算方式，规范公务支出中的现金提取和使用，保证资金支付的安全、透明、规范，提高财政资金支付效率。</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outlineLvl w:val="0"/>
        <w:rPr>
          <w:rFonts w:hint="default"/>
        </w:rPr>
      </w:pPr>
      <w:r>
        <w:rPr>
          <w:rFonts w:hint="eastAsia" w:ascii="仿宋_GB2312" w:hAnsi="仿宋_GB2312" w:eastAsia="仿宋_GB2312"/>
          <w:color w:val="000000"/>
          <w:sz w:val="32"/>
          <w:szCs w:val="32"/>
        </w:rPr>
        <w:t>根据部门整体支出绩效评价指标体系，我单位202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年度评价得分为</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分。</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Lines="0" w:line="570" w:lineRule="exact"/>
        <w:ind w:firstLine="645"/>
        <w:jc w:val="left"/>
        <w:outlineLvl w:val="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D8F9C"/>
    <w:multiLevelType w:val="singleLevel"/>
    <w:tmpl w:val="03CD8F9C"/>
    <w:lvl w:ilvl="0" w:tentative="0">
      <w:start w:val="4"/>
      <w:numFmt w:val="chineseCounting"/>
      <w:suff w:val="nothing"/>
      <w:lvlText w:val="%1、"/>
      <w:lvlJc w:val="left"/>
      <w:rPr>
        <w:rFonts w:hint="eastAsia"/>
      </w:rPr>
    </w:lvl>
  </w:abstractNum>
  <w:abstractNum w:abstractNumId="1">
    <w:nsid w:val="43A8C518"/>
    <w:multiLevelType w:val="singleLevel"/>
    <w:tmpl w:val="43A8C518"/>
    <w:lvl w:ilvl="0" w:tentative="0">
      <w:start w:val="1"/>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TBhNWFmMmNkMTM0ZDNlOGZlODcxNzgxODhkZDYifQ=="/>
  </w:docVars>
  <w:rsids>
    <w:rsidRoot w:val="00000000"/>
    <w:rsid w:val="42981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before="100" w:beforeLines="0" w:beforeAutospacing="1" w:after="120" w:afterLines="0"/>
      <w:ind w:left="0" w:leftChars="200" w:firstLine="420" w:firstLineChars="200"/>
      <w:jc w:val="both"/>
    </w:pPr>
    <w:rPr>
      <w:rFonts w:hint="eastAsia" w:ascii="Times New Roman" w:hAnsi="Times New Roman" w:eastAsia="Times New Roman" w:cstheme="minorBidi"/>
      <w:kern w:val="2"/>
      <w:sz w:val="21"/>
      <w:szCs w:val="24"/>
      <w:lang w:val="en-US" w:eastAsia="zh-CN" w:bidi="ar-SA"/>
    </w:rPr>
  </w:style>
  <w:style w:type="paragraph" w:styleId="3">
    <w:name w:val="Body Text Indent"/>
    <w:qFormat/>
    <w:uiPriority w:val="0"/>
    <w:pPr>
      <w:widowControl w:val="0"/>
      <w:spacing w:beforeLines="0" w:after="120" w:afterLines="0"/>
      <w:ind w:left="420" w:leftChars="200"/>
      <w:jc w:val="both"/>
    </w:pPr>
    <w:rPr>
      <w:rFonts w:hint="eastAsia" w:ascii="Times New Roman" w:hAnsi="Times New Roman" w:eastAsia="Times New Roman" w:cstheme="minorBidi"/>
      <w:kern w:val="2"/>
      <w:sz w:val="21"/>
      <w:szCs w:val="24"/>
      <w:lang w:val="en-US" w:eastAsia="zh-CN" w:bidi="ar-SA"/>
    </w:rPr>
  </w:style>
  <w:style w:type="paragraph" w:styleId="6">
    <w:name w:val="List Paragraph"/>
    <w:unhideWhenUsed/>
    <w:qFormat/>
    <w:uiPriority w:val="99"/>
    <w:pPr>
      <w:widowControl w:val="0"/>
      <w:spacing w:beforeLines="0" w:afterLines="0"/>
      <w:ind w:firstLine="420" w:firstLineChars="200"/>
      <w:jc w:val="both"/>
    </w:pPr>
    <w:rPr>
      <w:rFonts w:hint="default" w:ascii="Calibri" w:hAnsi="Calibri" w:eastAsia="Times New Roman" w:cstheme="minorBidi"/>
      <w:kern w:val="0"/>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2025-09-26T02:53:20Z</dcterms:created>
  <dc:creator>Administrator</dc:creator>
  <cp:lastModifiedBy>Administrator</cp:lastModifiedBy>
  <dcterms:modified xsi:type="dcterms:W3CDTF">2025-09-26T02:54:25Z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78BB4CE110D04242914B276BE6CF84A5_12</vt:lpwstr>
  </property>
</Properties>
</file>