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900F8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A2ED6A6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541B7CF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双牌县人力资源管理服务中心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231D776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4E3E0F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F10EBF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04AD96C">
      <w:pPr>
        <w:spacing w:beforeLines="0" w:afterLines="0"/>
        <w:rPr>
          <w:rFonts w:hint="default" w:eastAsia="黑体"/>
          <w:sz w:val="32"/>
          <w:szCs w:val="24"/>
        </w:rPr>
      </w:pPr>
    </w:p>
    <w:p w14:paraId="12C7C23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2E2BBA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E00B36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983E3D7"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双牌县人力资源管理服务中心</w:t>
      </w:r>
    </w:p>
    <w:p w14:paraId="03CD10B8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742D1520">
      <w:pPr>
        <w:spacing w:beforeLines="0" w:afterLines="0" w:line="600" w:lineRule="exact"/>
        <w:jc w:val="center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</w:t>
      </w:r>
      <w:r>
        <w:rPr>
          <w:rFonts w:hint="eastAsia" w:eastAsia="楷体_GB2312"/>
          <w:sz w:val="32"/>
          <w:szCs w:val="24"/>
          <w:lang w:val="en-US" w:eastAsia="zh-CN"/>
        </w:rPr>
        <w:t>11</w:t>
      </w:r>
      <w:r>
        <w:rPr>
          <w:rFonts w:hint="eastAsia" w:eastAsia="楷体_GB2312"/>
          <w:sz w:val="32"/>
          <w:szCs w:val="24"/>
        </w:rPr>
        <w:t>日</w:t>
      </w:r>
    </w:p>
    <w:p w14:paraId="471BB58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D062EB6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</w:p>
    <w:p w14:paraId="67D42F9E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bookmarkStart w:id="0" w:name="_GoBack"/>
      <w:bookmarkEnd w:id="0"/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79DF5FA2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承担全县求职登记、用工登记、失业登记、职业指导、职业介绍、组织洽谈、发布信息、提供政策、法规、信息咨询、开展职业培训等相关工作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D7B8509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承担就业失业登记管理和证书发放等服务工作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D4EA152">
      <w:pPr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承办劳务派遣服务、人事代理、高校毕业生和流动专业技术人员档案管理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6B0D38A">
      <w:pPr>
        <w:widowControl/>
        <w:spacing w:line="600" w:lineRule="exact"/>
        <w:ind w:firstLine="627" w:firstLineChars="196"/>
        <w:jc w:val="left"/>
        <w:rPr>
          <w:rFonts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承办双牌县人力资源和社会保障局交办的其他事项。</w:t>
      </w:r>
    </w:p>
    <w:p w14:paraId="6850C58F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本年机构设置无变动。</w:t>
      </w:r>
    </w:p>
    <w:p w14:paraId="27A6A099">
      <w:pPr>
        <w:pStyle w:val="10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692BB990"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0E7C0AA9">
      <w:pPr>
        <w:pStyle w:val="10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color w:val="auto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年本部门基本支出预算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数</w:t>
      </w:r>
      <w:r>
        <w:rPr>
          <w:rFonts w:hint="eastAsia" w:ascii="仿宋_GB2312" w:hAnsi="仿宋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52.64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76557DA1"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color w:val="auto"/>
          <w:sz w:val="32"/>
          <w:szCs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  <w:highlight w:val="none"/>
        </w:rPr>
        <w:t>（二）项目支出情况</w:t>
      </w:r>
    </w:p>
    <w:p w14:paraId="78EFD2FA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/>
          <w:sz w:val="32"/>
          <w:szCs w:val="24"/>
          <w:highlight w:val="yellow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年本部门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项目支出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</w:rPr>
        <w:t>预算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数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55.6万元，</w:t>
      </w:r>
      <w:r>
        <w:rPr>
          <w:rFonts w:hint="eastAsia" w:ascii="仿宋_GB2312" w:hAnsi="仿宋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主要用于招聘会、其他促进就业列支等方面。</w:t>
      </w:r>
    </w:p>
    <w:p w14:paraId="4D7D120C"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5D117010">
      <w:pPr>
        <w:pStyle w:val="10"/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黑体"/>
          <w:sz w:val="32"/>
          <w:szCs w:val="24"/>
        </w:rPr>
        <w:t>。</w:t>
      </w:r>
    </w:p>
    <w:p w14:paraId="208A3198">
      <w:pPr>
        <w:pStyle w:val="10"/>
        <w:numPr>
          <w:ilvl w:val="0"/>
          <w:numId w:val="2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069B3247">
      <w:pPr>
        <w:pStyle w:val="10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黑体"/>
          <w:sz w:val="32"/>
          <w:szCs w:val="24"/>
        </w:rPr>
        <w:t>。</w:t>
      </w:r>
    </w:p>
    <w:p w14:paraId="5704B103">
      <w:pPr>
        <w:pStyle w:val="10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5DA2D3A4">
      <w:pPr>
        <w:pStyle w:val="10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黑体"/>
          <w:sz w:val="32"/>
          <w:szCs w:val="24"/>
        </w:rPr>
        <w:t>。</w:t>
      </w:r>
    </w:p>
    <w:p w14:paraId="1DFDCCCC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518D9667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今年以来，由于疫情放开不久，就业形势较为严峻，在县委、县政府的正确领导和上级业务部门的精心指导下，我中心以党史学习教育为契机，坚持把稳就业和保居民就业作为优先任务和重中之重，统筹推进，开拓进取，真抓实干。一年来，各项工作卓有成效，全县就业形势保持稳定态势。</w:t>
      </w:r>
    </w:p>
    <w:p w14:paraId="3A55BE7A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一、2024年工作完成情况</w:t>
      </w:r>
    </w:p>
    <w:p w14:paraId="7B9F9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1、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全方位服务企业、保障企业用工需求</w:t>
      </w:r>
    </w:p>
    <w:p w14:paraId="51991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是创新思路聚合力。把帮助园区招工工作摆上重要议事议程，局党组多次召集相关经办机构与股室，专题研究园区企业招工用工工作，统一了思想，做到步调一致，上下一心。多次协调有关部门，调度各乡镇，想法设法破解园区企业用工难题的问题，全力以赴保障企业用工需求。二是落实政策增动力。积极落实就业、社保惠民政策和稳就业政策，改进招工方式方法，吸引县内外人员进入园区就业。一是落实社保补贴政策。鼓励企业和员工参加职工养老保险、医疗保险、工伤保险等社会保险，对符合政策和达到要求的企业和员工给予一定比例的补贴，及时兑现优惠政策。二是持续实施稳岗补贴政策，用“真金白银”为企业减负稳岗。三是实施创业带动就业示范行动。优化创业环境，加大创业扶持力度，发挥创业带动就业的倍增效应，吸引更多劳动者到园区就业。三是创建平台添活力。一是设立县级企业用工服务中心。县人力资源管理中心作为县企业用工服务中心，作为全县求职招聘工作平台，负责全县人才资源库建设、招工信息收集发布、对乡镇服务站点业务进行指导等。二是设立乡镇园区招工站。在各乡镇设立招工服务站，每个服务站确定专人负责，并配齐配全招工设施，专门负责全乡镇的招工工作，为群众到园区企业就业提供方便和服务。三是设立村招工服务点。在劳动力较多的行政村（社区）设立招工服务点，确定1名以上招工信息员，主要负责收集村民务工信息、发放和更新招工信息、宣传招工政策等。四是在园区打造招聘长廊，目前，已建成县园区企业招工服务中心1个、1个招聘长廊、乡镇招工服务站11个、村级招工服务点63个。同时，拓展招工信息宣传载体，在大型广场、政务中心设立永久性招工电子显示屏，建立了园区企业招聘信息长廊，用于招工信息发布。适时印制用工信息手册，通过三级招工服平台，将信息手册发放到村到户。组织开展“春风行动”巡回招聘活动，搭建企业员工对接、咨询和招聘平台。</w:t>
      </w:r>
    </w:p>
    <w:p w14:paraId="21EC91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今年以来，全县共举办26场线上线下招聘活动，网络招聘11场，“春风行动”乡镇巡回招聘会11场，线下大型公益性招聘4场，帮助园区企业现场达成就业意向群众2306人，园区新增员工832余人，基本满足了园区企业用工需求。</w:t>
      </w:r>
    </w:p>
    <w:p w14:paraId="471862D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多措并举，助力高校毕业生高质量充分就业</w:t>
      </w:r>
    </w:p>
    <w:p w14:paraId="23F4B2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是“访企拓岗”开发就业岗位。加强与组织、教育、卫健、产业开发区等部门协同，确保全县机关事业单位、园区企业招聘高校毕业生规模。持续做好基层服务项目，开发更多适合毕业生的社区工作者、乡村振兴协理员、三支一扶等岗位，吸引毕业生到基层就业。创新开展人社干部“访企拓岗"行动，结合毕业生等青年群体的学历专业、能力水平和求职意愿，多方挖掘就业岗位，拓展就业空间，用好各类补贴政策，鼓励企业吸纳更多高校毕业生就业。二是“人社局长进校园”送政策送岗位。持续开展"人社局长进校园"讲政策送岗位活动，把政策、服务和岗位信息送到毕业生身边。组织职业指导专家进校园提供职业规划、就业指导等就业服务，帮助高校毕业生把握市场需要、明晰职业目标、提升就业能力。同时，实施高校毕业生档案转递接收服务专项行动，加强与教育部门和各高校协作，确保档案安全有序规范转递。三是常态化开展就业创业服务活动。实施高频次就业招聘行动。以“职引未来  筑梦青春”等为主题，积极开展全县高校毕业生就业服务月、就业服务季等招聘活动，依托“永就业”、“湘就业”就业创业服务平台，常态化发布岗位信息，实现线上与线下招聘同步行、招聘活动不停歇、就业服务不打烊，为高校毕业生求职就业创造更多机会。四是广泛开发高校毕业生见习岗位。推进实施人社部百万就业见习岗位募集计划，启动县级就业见习示范单位创建活动，发动各部门、各行业主管部门开展见习岗位募集，主动吸纳一批有影响力的民营企业成为见习单位，开发更多适合毕业生意向的见习岗位。依托进校园活动，开展见习宣传推介，扩大政策知晓度和见习参与率，广泛动员高校毕业生等青年积极参与见习。1-11月共招募92家就业见习单位（基地），招募见习生164人就业见习，发放就业见习补贴212.82万元。五是举办返乡高校毕业生技能培训。搭建返乡高校毕业生技能提升培训平台，建立由职业培训机构列单、学生选单、人社部门监管的市场培训机制。对符合条件的毕业年度高校毕业生可享受职业技能培训补贴。同时，开展离校未就业高校毕业生职业指导活动，活动聚焦于提供实用的求职技巧及职业选择与就业建议，鼓励毕业生们要明确自己的职业目标，并为之努力。六是开展高校毕业生实名制登记。开展就业服务攻坚行动。健全完善实名制台账，将户籍地、常住地、求职地毕业生全部纳入公共就业服务范围。根据2024年省人社厅转送的双牌籍462名高校毕业生信息，及时与县教育局对接，全面摸排信息，做好个人信息、就业需求帮扶状态记录，建立实名台账。全面落实实名帮扶，主动与高校毕生取得联系，了解就业需求，有针对性提供职业指导、岗位推荐和职业培训等帮扶，并通过微信公众号转发就业创业政策信息、招聘活动信息、企业招工信息等。对困难家庭毕业生实施“一人一档”“一生一策”精准帮扶，对有就业意愿的困难家庭毕业生，至少提供1次职业指导、3次岗位推介、1次技能培训和就业见习机会。对有创业意愿的，提供创业服务和政策服务。对暂无就业意愿的，做好台账记录，定期回访跟进服务，确保对有就业意愿的困难家庭毕业生100%帮扶。截止目前回访率100％，就业服务率100％，就业率95.27％，就业准备率4.73％。</w:t>
      </w:r>
    </w:p>
    <w:p w14:paraId="27A31D2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3、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零工市场建设有温度</w:t>
      </w:r>
    </w:p>
    <w:p w14:paraId="7AF7D2B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市零工市场建设实施方案下发后，我县迅速组建由常务副县长任顾问的</w:t>
      </w: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en-US" w:bidi="ar-SA"/>
        </w:rPr>
        <w:t>零工市场</w:t>
      </w: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建设专班，通过认真分析研究，制定了县公益性零工市场建设实施方案，建立了工作落实推进机制，明确责任到人。建设初期，深入摸排现有零工揽活集中地区的市场运行情况，重点采集运营时间、人员规模、主要工种、存在问题等信息，并通过外出学习调研、座谈交流等形式，广泛了解零工和用工主体的建议诉求。结合城市建设规划和产业布局，充分考虑劳动力数量、零工分布和交通便利度等因素，确定我县零工市场建设地址在交通便利、人流量密集的县综合大市场周边。建设中期，明确建设量化标准，绘制路线图和施工图，同时与创智公司达成合作，争取尽早引进招聘展位终端、自助查询机等智能设备。目前，零工市场设立了“1台4区3室”的功能布局，即：综合服务台，求职招聘区、特色功能区、等候休息区、信息发布区、创业指导室、职业指导室、洽谈室。配备了公告宣传栏、写字桌台、休息座椅、空调通风、饮水取用等基本服务设施设备。同时，强化了服务管理队伍建设，配备工作人员3人、其中1名零工市场专管员，开发公益性岗位2个。</w:t>
      </w:r>
    </w:p>
    <w:p w14:paraId="40FCA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4、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精心化规范流动人员人事档案</w:t>
      </w:r>
    </w:p>
    <w:p w14:paraId="57AB5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是突出严肃性，严把审核“质量关”。全面清理库存档案，分类整理，按照管理权限进行移交:制定工作人员、档案运行、审核管理等工作流程，建立了严密的审核责任制;采取初审和复审交叉进行、审核人员签名、分管领导抽查的方式，形成了层层负责的监督机制。二是突出准确性，严把审核“准确关”。对档案中的原有材料和新补充材料，逐份审查，准确鉴别。三是健全各项制度。建立健全了流动人员人事档案转递、缺失材料补充、查阅干部人事档案审签等多项工作制度，做到了室内有制度、管理有薄册、查阅有记载、转递有回执、管理有专人，无鼠害、无火源、无水患、无安全隐患的“五有四无”要求。截止目前，共接收流动人员人事档案4076份，流动人员人事档案数字化3365份。其中2024年接收流动人员人事档案937份，转出流动人员人事档案188份。</w:t>
      </w:r>
    </w:p>
    <w:p w14:paraId="33587C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三、存在的问题</w:t>
      </w:r>
    </w:p>
    <w:p w14:paraId="6319930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1、目前，零工市场建设和运行中存在经费不足的问题。建议市里尽快出台《永州市标准化零工市场建设实施方案》。</w:t>
      </w:r>
    </w:p>
    <w:p w14:paraId="7DB4F95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2、就业见习和高校毕业生实名制登记就业率冲突，就业见习不算就业，在系统里就业见习情况又不能做其他就业，最后影响就业。建议省市把就业见习算做就业。</w:t>
      </w:r>
    </w:p>
    <w:p w14:paraId="49FEB1D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3、流动人员人事档案托管费用尽快纳入财政预算，落实流动人员人事档案数字化。</w:t>
      </w:r>
    </w:p>
    <w:p w14:paraId="662D22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四、下一步打算</w:t>
      </w:r>
    </w:p>
    <w:p w14:paraId="2395F4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是加强软件系统升级，搭建本地零工平台与永就业平台对接通道，实现岗位归集和数据共享。二是推进实施人社部百万就业见习岗位募集计划，启动县级就业见习示范单位创建活动，发动各部门、各行业主管部门开展见习岗位募集，主动吸纳一批有影响力的民营企业成为见习单位，开发更多适合毕业生意向的见习岗位。三是实施高频次就业招聘行动。以“职引未来 筑梦青春”等为主题，积极开展全县高校毕业生就业服务月、就业服务季等招聘活动，依托“永就业”、“湘就业”就业创业服务平台，常态化发布岗位信息，实现线上与线下招聘同步行、招聘活动不停歇、就业服务不打烊，为高校毕业生求职就业创造更多机会。四是及时与县教育局对接，全面摸排信息，做好个人信息、就业需求帮扶状态记录，建立实名台账。全面落实实名帮扶，主动与高校毕生取得联系，了解就业需求，有针对性提供职业指导、岗位推荐和职业培训等帮扶，并通过微信公众号转发就业创业政策信息、招聘活动信息、企业招工信息等。对困难家庭毕业生实施“一人一档”“一生一策”精准帮扶，对有就业意愿的困难家庭毕业生，至少提供1次职业指导、3次岗位推介、1次技能培训和就业见习机会。</w:t>
      </w:r>
    </w:p>
    <w:p w14:paraId="7EB942F9">
      <w:pPr>
        <w:pStyle w:val="10"/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75C6C701">
      <w:pPr>
        <w:spacing w:line="600" w:lineRule="exact"/>
        <w:ind w:firstLine="640" w:firstLineChars="200"/>
        <w:rPr>
          <w:rFonts w:hint="default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1、预算编制不够明确和细化，部分科目年初预算与年底决算有差距。2、固定资产管理水平有待提高。3、内部管理制度有待完善。</w:t>
      </w:r>
      <w:r>
        <w:rPr>
          <w:rFonts w:ascii="仿宋_GB2312" w:hAnsi="仿宋_GB2312" w:eastAsia="仿宋_GB2312" w:cs="Times New Roman"/>
          <w:sz w:val="32"/>
          <w:szCs w:val="32"/>
        </w:rPr>
        <w:t>加强检查督促和动态管理。及时开展监督检查和动态管理，及时核查上报项目情况，确保</w:t>
      </w:r>
      <w:r>
        <w:rPr>
          <w:rFonts w:hint="eastAsia" w:ascii="仿宋_GB2312" w:hAnsi="仿宋_GB2312" w:eastAsia="仿宋_GB2312" w:cs="Times New Roman"/>
          <w:sz w:val="32"/>
          <w:szCs w:val="32"/>
        </w:rPr>
        <w:t>财政专项资金严格管理。</w:t>
      </w:r>
    </w:p>
    <w:p w14:paraId="7417400A"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5DECC302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、细化预算编制工作，认真做好预算的编制。进一步加强局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4CEB88BC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2、加强财务管理，严格财务审核。在费用报账支付时，按照预算规定的费用项目和用途进行资金使用审核、列报支付、财务核算，杜绝超支现象的发生。</w:t>
      </w:r>
    </w:p>
    <w:p w14:paraId="0AF96BF2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3、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2CAE1F3C">
      <w:pPr>
        <w:spacing w:line="600" w:lineRule="exact"/>
        <w:ind w:firstLine="640" w:firstLineChars="200"/>
        <w:rPr>
          <w:rFonts w:hint="default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4、加强项目开展进度的跟踪，开展项目绩效评价，确保项目绩效目标的完成。</w:t>
      </w:r>
    </w:p>
    <w:p w14:paraId="2E191FEA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28430D1E">
      <w:pPr>
        <w:spacing w:beforeLines="0" w:afterLines="0" w:line="570" w:lineRule="exact"/>
        <w:ind w:firstLine="645"/>
        <w:jc w:val="left"/>
        <w:rPr>
          <w:rFonts w:hint="eastAsia"/>
        </w:rPr>
      </w:pPr>
      <w:r>
        <w:rPr>
          <w:rFonts w:hint="eastAsia" w:eastAsia="黑体"/>
          <w:sz w:val="32"/>
          <w:szCs w:val="24"/>
        </w:rPr>
        <w:t>其他需要说明的情况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 w14:paraId="68A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0AB5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250C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3574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3620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7EA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DFED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F4B7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058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FA82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AC97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250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5A69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2AC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3C8F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70D4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8C1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2C1B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092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D4B3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AD80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FBCC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756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3E61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0AD6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C6EE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691A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4CF91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877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DF2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FAC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79DD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538A5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19AD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F388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1FE9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42AD0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37.5%</w:t>
            </w:r>
          </w:p>
        </w:tc>
      </w:tr>
      <w:tr w14:paraId="3059C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6DE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100E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8F7C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EB0A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00701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C263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BBD0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72.58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DB54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52.64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97861E">
            <w:pPr>
              <w:spacing w:beforeLines="0" w:afterLines="0"/>
              <w:ind w:firstLine="720" w:firstLineChars="300"/>
              <w:jc w:val="both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49.77</w:t>
            </w:r>
          </w:p>
        </w:tc>
      </w:tr>
      <w:tr w14:paraId="51312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6204E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9DA7A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2868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10.66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693F5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10.66</w:t>
            </w:r>
          </w:p>
        </w:tc>
      </w:tr>
      <w:tr w14:paraId="1A510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8BF8E2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0D8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B5BC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AB04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1EEB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D2273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4B2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D80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F184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0053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ABB72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BCF9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7F4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6DCF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0D94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6FD7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C54D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306D4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AEB02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</w:tr>
      <w:tr w14:paraId="0B815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13F3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A714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AFA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A239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5693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2FF82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7C1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ACC0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BCFD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57B2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E60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46C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F61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139A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3B1C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97492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FB2B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C981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7933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0B9A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BF2D0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2662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0B83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EC488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</w:tr>
      <w:tr w14:paraId="1540F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7A5ED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03BD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2655B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55.6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7FC70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48.77</w:t>
            </w:r>
          </w:p>
        </w:tc>
      </w:tr>
      <w:tr w14:paraId="6C757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8E4D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366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D4B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403F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0B9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42A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646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E18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19CD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5C8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09F8EF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1B62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3F1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705F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88E3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555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B01E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1B2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BEF3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50D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4C9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EB77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ACA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8BB2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4663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A259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1320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8AB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D62A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80A6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A1CF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2801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1BD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6434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8BA6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2E2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402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7A0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C1D5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DC7D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BCE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676D74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3E17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4B8EF9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5C7B5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59D6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6DAB1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834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5EF58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6EF5F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3C01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E1BD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14D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E192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4E1F5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8B8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A3A1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D0F8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E28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E6F0DD">
            <w:pPr>
              <w:spacing w:beforeLines="0" w:afterLines="0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明确做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厉行节约专项工作，是一项严肃的政治任务，必须从全局出发，切实把思想和行动统一，进一步增强责任感和紧迫感。为此，采取有力措施，制定了实施方案、工作计划等，确保厉行节约各项规定要求落实到位，取得实实在在的效果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</w:tbl>
    <w:p w14:paraId="2FD25F46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411B12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3D1FCA60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04E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蒋海华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0746-7721259</w:t>
      </w:r>
    </w:p>
    <w:p w14:paraId="6A6D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D51E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1078"/>
        <w:gridCol w:w="1202"/>
        <w:gridCol w:w="718"/>
        <w:gridCol w:w="884"/>
        <w:gridCol w:w="1443"/>
      </w:tblGrid>
      <w:tr w14:paraId="2AA47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0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EF2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F1B5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双牌县人力资源管理服务中心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E44C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90DF6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020E5B6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0368A24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6A801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44ED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0D95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76E8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A98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B03E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5C8D5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DDF0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B62D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92119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8BE4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101.18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9136E4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108.24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A4DA1F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98.54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BC5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D0947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91.04%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9EC152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4A284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48CBA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D0B47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94E6C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00595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13E8E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BA85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其中：  一般公共预算：46.37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A8C42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其中：基本支出：43.49</w:t>
            </w:r>
          </w:p>
        </w:tc>
      </w:tr>
      <w:tr w14:paraId="17C00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5A43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0F06FF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EA82BC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2.88</w:t>
            </w:r>
          </w:p>
        </w:tc>
      </w:tr>
      <w:tr w14:paraId="0257E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CBD8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CA1B5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D06A5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CEF6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6121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E59ED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C4A8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BA9F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A490F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B8627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0785A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7AFDF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9F80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F68CB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目标1：开展重点援助，促进就业困难人员再就业。</w:t>
            </w:r>
          </w:p>
          <w:p w14:paraId="44AE2B7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目标2：加强数据采集，全面掌握劳动力供求情况。</w:t>
            </w:r>
          </w:p>
          <w:p w14:paraId="608AD63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目标3：加大招聘频率，精细化开展招聘服务活动。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6F6000">
            <w:pPr>
              <w:spacing w:beforeLines="0" w:afterLines="0" w:line="24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送岗位下村；送员工到岗；送服务进企。强化管理；强化宣传；引导调处。为企业和求职者搭建优质、高效的供需交流平台。 </w:t>
            </w:r>
          </w:p>
        </w:tc>
      </w:tr>
      <w:tr w14:paraId="44D8E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42BE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52A929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01CB16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6650B3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6337EC5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ABD96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C0BA0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B0BE1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FC3F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CC74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949C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536A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B62C3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3D972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2BE90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A6CE8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122F54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D14A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1C9900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4447F2">
            <w:pPr>
              <w:jc w:val="center"/>
              <w:rPr>
                <w:rFonts w:hint="eastAsia" w:ascii="仿宋_GB2312" w:hAnsi="仿宋_GB2312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招聘会场次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9AAE7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≥10场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C49EED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7AE5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F5F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EEA3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1130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3FE8B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CE8B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6095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6656A8">
            <w:pPr>
              <w:jc w:val="both"/>
              <w:rPr>
                <w:rFonts w:hint="default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提供岗位数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DF8A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≥3000个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C35F8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3138个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CC7D57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42E6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F8ABE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B391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8BFD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597DA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4B59F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3C31DC">
            <w:pPr>
              <w:jc w:val="both"/>
              <w:rPr>
                <w:rFonts w:hint="default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8388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A09B0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387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4A05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AE8A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5C2F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1053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402D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756DC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4B621F6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108EB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实施线上线下招聘活动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BB45B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700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C04907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9AC02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FC78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BD96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6C95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1A0D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F1AC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F9A78B">
            <w:pPr>
              <w:spacing w:beforeLines="0" w:afterLines="0" w:line="240" w:lineRule="exact"/>
              <w:jc w:val="center"/>
              <w:rPr>
                <w:rFonts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0C2CE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BCEF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85F5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C69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30CC7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128B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ECA22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FED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3EA33DC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5EAAB9F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536DDE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3D4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5FBB160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BA1CC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Times New Roman"/>
                <w:kern w:val="0"/>
                <w:lang w:val="en-US" w:eastAsia="zh-CN"/>
              </w:rPr>
              <w:t>提供公共就业服务平台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3199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759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AD712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E5F9A3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805C6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9BFF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E02B1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1A345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AF39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A53E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  <w:lang w:val="en-US" w:eastAsia="zh-CN"/>
              </w:rPr>
              <w:t>就业率与稳定就业率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46DE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5906A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84BCE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8EC0E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FECD9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C3F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8161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11ACB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793C3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FE7A05">
            <w:pPr>
              <w:spacing w:beforeLines="0" w:afterLines="0" w:line="240" w:lineRule="exact"/>
              <w:jc w:val="center"/>
              <w:rPr>
                <w:rFonts w:hint="eastAsia" w:ascii="仿宋_GB2312" w:hAnsi="仿宋_GB2312" w:eastAsia="Times New Roman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4D7FB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12D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C275E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D580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5D391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0391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26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D35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5B0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6677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63D09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2C345386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蒋海华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2025.6.11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0746-7721259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</w:p>
    <w:p w14:paraId="121030DA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54A67010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D3ABE5A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双牌县人力资源管理服务中心单位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2"/>
        <w:gridCol w:w="1232"/>
        <w:gridCol w:w="1656"/>
        <w:gridCol w:w="1536"/>
        <w:gridCol w:w="1473"/>
      </w:tblGrid>
      <w:tr w14:paraId="2819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93B3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C73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1C3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1969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8DD8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28975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1351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1688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B14B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蒋武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3EEBA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中心副主任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04F19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E309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15116593331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F16B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26F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CAC17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FD58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蒋海华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0337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0A0AF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0746-7721259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9E3E43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13037494421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B24D3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B3E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0DDF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9957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5F83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9F6D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89ABB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987D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F5F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ED4AD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D72A1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8393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3C3FE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567A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7CC7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AC6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7DBBD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CA05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B48A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AB87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CB6D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A650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D8C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5AB38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16EA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7F9B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93C0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F0192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9C98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F98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797F0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AA14A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85A38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0AD3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217C9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FD43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ED3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448A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D9372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AD3BF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05A6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020D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002D3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35A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BB7C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680E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9287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A385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B278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6D75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F9E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62A16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DB975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3899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7B3CD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C69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710F7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127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B8CC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DF90F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83AE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EDE1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5D376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9089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2CBB9B6A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A4391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D5D79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1D5D79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3A7A0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24918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124918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DAAD6"/>
    <w:multiLevelType w:val="singleLevel"/>
    <w:tmpl w:val="A8BDAAD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3FCAA5"/>
    <w:multiLevelType w:val="singleLevel"/>
    <w:tmpl w:val="2A3FCAA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7D558A"/>
    <w:multiLevelType w:val="singleLevel"/>
    <w:tmpl w:val="3F7D558A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318"/>
  <w:displayHorizontalDrawingGridEvery w:val="1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MThiYzVhYWUxZDhkYmUwNWJiNzJhZWUzMDRiZDQifQ=="/>
  </w:docVars>
  <w:rsids>
    <w:rsidRoot w:val="00172A27"/>
    <w:rsid w:val="00683B9C"/>
    <w:rsid w:val="01D20C85"/>
    <w:rsid w:val="01F23506"/>
    <w:rsid w:val="01F62F61"/>
    <w:rsid w:val="021344B2"/>
    <w:rsid w:val="02E87C3C"/>
    <w:rsid w:val="051B5D99"/>
    <w:rsid w:val="08AB6853"/>
    <w:rsid w:val="09D0531F"/>
    <w:rsid w:val="0A406E8D"/>
    <w:rsid w:val="0C035828"/>
    <w:rsid w:val="0C2D57D1"/>
    <w:rsid w:val="0CCE5073"/>
    <w:rsid w:val="0EB2020F"/>
    <w:rsid w:val="0F171180"/>
    <w:rsid w:val="101F3C57"/>
    <w:rsid w:val="1049198B"/>
    <w:rsid w:val="105E064F"/>
    <w:rsid w:val="10692007"/>
    <w:rsid w:val="11A025A1"/>
    <w:rsid w:val="11AE2F10"/>
    <w:rsid w:val="127952CC"/>
    <w:rsid w:val="1299085F"/>
    <w:rsid w:val="133E565C"/>
    <w:rsid w:val="151B60A4"/>
    <w:rsid w:val="153E58C7"/>
    <w:rsid w:val="154B3473"/>
    <w:rsid w:val="15B02F86"/>
    <w:rsid w:val="163C75C3"/>
    <w:rsid w:val="16E847C1"/>
    <w:rsid w:val="17334527"/>
    <w:rsid w:val="174F484D"/>
    <w:rsid w:val="179901BE"/>
    <w:rsid w:val="18083CCF"/>
    <w:rsid w:val="190E74BA"/>
    <w:rsid w:val="19696B66"/>
    <w:rsid w:val="1B2E194C"/>
    <w:rsid w:val="1BCE59A7"/>
    <w:rsid w:val="1C0876C1"/>
    <w:rsid w:val="1CFB6E69"/>
    <w:rsid w:val="1D041089"/>
    <w:rsid w:val="1D5E5630"/>
    <w:rsid w:val="1F9C1D8C"/>
    <w:rsid w:val="207033FB"/>
    <w:rsid w:val="20BA3D5C"/>
    <w:rsid w:val="20FE29CD"/>
    <w:rsid w:val="213827F6"/>
    <w:rsid w:val="217C6B87"/>
    <w:rsid w:val="21927276"/>
    <w:rsid w:val="21C57F3F"/>
    <w:rsid w:val="230244C9"/>
    <w:rsid w:val="237D785B"/>
    <w:rsid w:val="24481096"/>
    <w:rsid w:val="24756501"/>
    <w:rsid w:val="24CC4455"/>
    <w:rsid w:val="25957C99"/>
    <w:rsid w:val="25D458B2"/>
    <w:rsid w:val="26065273"/>
    <w:rsid w:val="262833C3"/>
    <w:rsid w:val="27231852"/>
    <w:rsid w:val="288C5B88"/>
    <w:rsid w:val="2A0B0CD7"/>
    <w:rsid w:val="2AF82401"/>
    <w:rsid w:val="2B0A6FB1"/>
    <w:rsid w:val="2C840FE5"/>
    <w:rsid w:val="2FB35E69"/>
    <w:rsid w:val="2FF355C0"/>
    <w:rsid w:val="30C95DE0"/>
    <w:rsid w:val="31C84D63"/>
    <w:rsid w:val="31EF3498"/>
    <w:rsid w:val="329C3BE7"/>
    <w:rsid w:val="32A93554"/>
    <w:rsid w:val="33457B5A"/>
    <w:rsid w:val="33EA0D37"/>
    <w:rsid w:val="3407593B"/>
    <w:rsid w:val="36197474"/>
    <w:rsid w:val="38DD2C2E"/>
    <w:rsid w:val="3AB17E45"/>
    <w:rsid w:val="3D734E8A"/>
    <w:rsid w:val="3D9603C4"/>
    <w:rsid w:val="3DAA5519"/>
    <w:rsid w:val="3DFB432B"/>
    <w:rsid w:val="3F7743C5"/>
    <w:rsid w:val="3F965ED3"/>
    <w:rsid w:val="40016A57"/>
    <w:rsid w:val="41A60F90"/>
    <w:rsid w:val="41F66BBF"/>
    <w:rsid w:val="437042B4"/>
    <w:rsid w:val="43D25C86"/>
    <w:rsid w:val="44967428"/>
    <w:rsid w:val="45766D8B"/>
    <w:rsid w:val="46DA1AD6"/>
    <w:rsid w:val="46E75105"/>
    <w:rsid w:val="47FF7E2A"/>
    <w:rsid w:val="48DB435D"/>
    <w:rsid w:val="4910387D"/>
    <w:rsid w:val="49F87C0F"/>
    <w:rsid w:val="4A7E5437"/>
    <w:rsid w:val="4B490F32"/>
    <w:rsid w:val="4B564457"/>
    <w:rsid w:val="4C2A54C8"/>
    <w:rsid w:val="4C575977"/>
    <w:rsid w:val="4DA8648A"/>
    <w:rsid w:val="4DD12B21"/>
    <w:rsid w:val="4DE64068"/>
    <w:rsid w:val="4DF3093A"/>
    <w:rsid w:val="4DF30F3A"/>
    <w:rsid w:val="4E8314AE"/>
    <w:rsid w:val="4E8B7C40"/>
    <w:rsid w:val="4F1637A4"/>
    <w:rsid w:val="500F1BD2"/>
    <w:rsid w:val="513A5605"/>
    <w:rsid w:val="51C40746"/>
    <w:rsid w:val="51DC4954"/>
    <w:rsid w:val="52187182"/>
    <w:rsid w:val="52FC53B5"/>
    <w:rsid w:val="530A54F1"/>
    <w:rsid w:val="543E6CC0"/>
    <w:rsid w:val="546E3952"/>
    <w:rsid w:val="55412274"/>
    <w:rsid w:val="55C03679"/>
    <w:rsid w:val="57234DD3"/>
    <w:rsid w:val="57C446E9"/>
    <w:rsid w:val="58820FB8"/>
    <w:rsid w:val="592941F7"/>
    <w:rsid w:val="59A06639"/>
    <w:rsid w:val="5ABA52A9"/>
    <w:rsid w:val="5ADC6250"/>
    <w:rsid w:val="5AE945E5"/>
    <w:rsid w:val="5B924F7D"/>
    <w:rsid w:val="5C8E01AF"/>
    <w:rsid w:val="5D82473B"/>
    <w:rsid w:val="5F9D1924"/>
    <w:rsid w:val="5FE26B05"/>
    <w:rsid w:val="60C767CF"/>
    <w:rsid w:val="61060E01"/>
    <w:rsid w:val="61077514"/>
    <w:rsid w:val="626C104E"/>
    <w:rsid w:val="62BE6D8B"/>
    <w:rsid w:val="635446C9"/>
    <w:rsid w:val="64E742EF"/>
    <w:rsid w:val="650528A3"/>
    <w:rsid w:val="65FF7B83"/>
    <w:rsid w:val="664762A1"/>
    <w:rsid w:val="684B0AD7"/>
    <w:rsid w:val="6A1544AA"/>
    <w:rsid w:val="6ADB7399"/>
    <w:rsid w:val="6AEE4028"/>
    <w:rsid w:val="6B2313EE"/>
    <w:rsid w:val="6C6920F9"/>
    <w:rsid w:val="6CE6428E"/>
    <w:rsid w:val="6DFF5E1A"/>
    <w:rsid w:val="6F5222A2"/>
    <w:rsid w:val="70380AD8"/>
    <w:rsid w:val="72236D90"/>
    <w:rsid w:val="72300B8A"/>
    <w:rsid w:val="72606A84"/>
    <w:rsid w:val="73B33902"/>
    <w:rsid w:val="73FA66A7"/>
    <w:rsid w:val="74575C0C"/>
    <w:rsid w:val="74E25090"/>
    <w:rsid w:val="75073918"/>
    <w:rsid w:val="771A18F7"/>
    <w:rsid w:val="77400C32"/>
    <w:rsid w:val="78D37FAF"/>
    <w:rsid w:val="79F82157"/>
    <w:rsid w:val="7C48034E"/>
    <w:rsid w:val="7CC548D0"/>
    <w:rsid w:val="7DA912DF"/>
    <w:rsid w:val="7E7F64E4"/>
    <w:rsid w:val="7E991F23"/>
    <w:rsid w:val="7EB5519D"/>
    <w:rsid w:val="7EDA0D7F"/>
    <w:rsid w:val="7F8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Plain Text"/>
    <w:basedOn w:val="1"/>
    <w:next w:val="1"/>
    <w:autoRedefine/>
    <w:qFormat/>
    <w:uiPriority w:val="0"/>
    <w:pPr>
      <w:jc w:val="left"/>
      <w:outlineLvl w:val="2"/>
    </w:pPr>
    <w:rPr>
      <w:rFonts w:ascii="宋体" w:hAnsi="Courier New" w:cs="Courier New"/>
      <w:b/>
      <w:kern w:val="0"/>
      <w:szCs w:val="21"/>
    </w:r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2"/>
    <w:autoRedefine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1">
    <w:name w:val="正文2"/>
    <w:basedOn w:val="1"/>
    <w:next w:val="1"/>
    <w:autoRedefine/>
    <w:qFormat/>
    <w:uiPriority w:val="0"/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5348</Words>
  <Characters>5517</Characters>
  <Lines>0</Lines>
  <Paragraphs>0</Paragraphs>
  <TotalTime>65</TotalTime>
  <ScaleCrop>false</ScaleCrop>
  <LinksUpToDate>false</LinksUpToDate>
  <CharactersWithSpaces>5602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海里的鱼</cp:lastModifiedBy>
  <cp:lastPrinted>2023-05-15T08:26:00Z</cp:lastPrinted>
  <dcterms:modified xsi:type="dcterms:W3CDTF">2025-06-11T01:52:46Z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C05C0A58C1B94E6DA3F69BCC80938D65_11</vt:lpwstr>
  </property>
  <property fmtid="{D5CDD505-2E9C-101B-9397-08002B2CF9AE}" pid="4" name="KSOTemplateDocerSaveRecord">
    <vt:lpwstr>eyJoZGlkIjoiNmFjMThiYzVhYWUxZDhkYmUwNWJiNzJhZWUzMDRiZDQiLCJ1c2VySWQiOiIxNTgwODM0NDY4In0=</vt:lpwstr>
  </property>
</Properties>
</file>