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F96F88">
      <w:pPr>
        <w:widowControl/>
        <w:spacing w:line="500" w:lineRule="exact"/>
        <w:jc w:val="left"/>
        <w:rPr>
          <w:rFonts w:hint="default" w:cs="黑体" w:asciiTheme="minorEastAsia" w:hAnsiTheme="minorEastAsia" w:eastAsiaTheme="minorEastAsia"/>
          <w:sz w:val="30"/>
          <w:szCs w:val="30"/>
        </w:rPr>
      </w:pPr>
      <w:bookmarkStart w:id="0" w:name="_GoBack"/>
      <w:bookmarkEnd w:id="0"/>
    </w:p>
    <w:p w14:paraId="26FDD5D2">
      <w:pPr>
        <w:widowControl/>
        <w:spacing w:line="500" w:lineRule="exact"/>
        <w:jc w:val="left"/>
        <w:rPr>
          <w:rFonts w:hint="default" w:cs="黑体" w:asciiTheme="minorEastAsia" w:hAnsiTheme="minorEastAsia" w:eastAsiaTheme="minorEastAsia"/>
          <w:sz w:val="30"/>
          <w:szCs w:val="30"/>
        </w:rPr>
      </w:pPr>
    </w:p>
    <w:p w14:paraId="378B016F">
      <w:pPr>
        <w:widowControl/>
        <w:spacing w:line="500" w:lineRule="exact"/>
        <w:jc w:val="left"/>
        <w:rPr>
          <w:rFonts w:hint="default" w:cs="仿宋_GB2312" w:asciiTheme="minorEastAsia" w:hAnsiTheme="minorEastAsia" w:eastAsiaTheme="minorEastAsia"/>
          <w:sz w:val="30"/>
          <w:szCs w:val="30"/>
        </w:rPr>
      </w:pPr>
      <w:r>
        <w:rPr>
          <w:rFonts w:cs="黑体" w:asciiTheme="minorEastAsia" w:hAnsiTheme="minorEastAsia" w:eastAsiaTheme="minorEastAsia"/>
          <w:sz w:val="30"/>
          <w:szCs w:val="30"/>
        </w:rPr>
        <w:t>附件1</w:t>
      </w:r>
    </w:p>
    <w:p w14:paraId="3E45D82A">
      <w:pPr>
        <w:spacing w:line="500" w:lineRule="exact"/>
        <w:jc w:val="center"/>
        <w:outlineLvl w:val="1"/>
        <w:rPr>
          <w:rFonts w:hint="default" w:asciiTheme="minorEastAsia" w:hAnsiTheme="minorEastAsia" w:eastAsiaTheme="minorEastAsia"/>
          <w:sz w:val="30"/>
          <w:szCs w:val="30"/>
        </w:rPr>
      </w:pPr>
      <w:r>
        <w:rPr>
          <w:rFonts w:asciiTheme="minorEastAsia" w:hAnsiTheme="minorEastAsia" w:eastAsiaTheme="minorEastAsia"/>
          <w:sz w:val="30"/>
          <w:szCs w:val="30"/>
        </w:rPr>
        <w:t>2023年度双牌县财政局整体支出</w:t>
      </w:r>
    </w:p>
    <w:p w14:paraId="5AFA38FB">
      <w:pPr>
        <w:spacing w:line="500" w:lineRule="exact"/>
        <w:jc w:val="center"/>
        <w:outlineLvl w:val="1"/>
        <w:rPr>
          <w:rFonts w:hint="default" w:asciiTheme="minorEastAsia" w:hAnsiTheme="minorEastAsia" w:eastAsiaTheme="minorEastAsia"/>
          <w:sz w:val="30"/>
          <w:szCs w:val="30"/>
        </w:rPr>
      </w:pPr>
      <w:r>
        <w:rPr>
          <w:rFonts w:asciiTheme="minorEastAsia" w:hAnsiTheme="minorEastAsia" w:eastAsiaTheme="minorEastAsia"/>
          <w:sz w:val="30"/>
          <w:szCs w:val="30"/>
        </w:rPr>
        <w:t>绩效自评报告</w:t>
      </w:r>
    </w:p>
    <w:p w14:paraId="1873E95B">
      <w:pPr>
        <w:spacing w:line="500" w:lineRule="exact"/>
        <w:jc w:val="center"/>
        <w:rPr>
          <w:rFonts w:hint="default" w:asciiTheme="minorEastAsia" w:hAnsiTheme="minorEastAsia" w:eastAsiaTheme="minorEastAsia"/>
          <w:sz w:val="30"/>
          <w:szCs w:val="30"/>
        </w:rPr>
      </w:pPr>
    </w:p>
    <w:p w14:paraId="24B588F3">
      <w:pPr>
        <w:spacing w:line="500" w:lineRule="exact"/>
        <w:jc w:val="center"/>
        <w:rPr>
          <w:rFonts w:hint="default" w:asciiTheme="minorEastAsia" w:hAnsiTheme="minorEastAsia" w:eastAsiaTheme="minorEastAsia"/>
          <w:sz w:val="30"/>
          <w:szCs w:val="30"/>
        </w:rPr>
      </w:pPr>
    </w:p>
    <w:p w14:paraId="69DFBDB8">
      <w:pPr>
        <w:spacing w:line="500" w:lineRule="exact"/>
        <w:jc w:val="center"/>
        <w:rPr>
          <w:rFonts w:hint="default" w:asciiTheme="minorEastAsia" w:hAnsiTheme="minorEastAsia" w:eastAsiaTheme="minorEastAsia"/>
          <w:sz w:val="30"/>
          <w:szCs w:val="30"/>
        </w:rPr>
      </w:pPr>
    </w:p>
    <w:p w14:paraId="47631F8B">
      <w:pPr>
        <w:spacing w:line="500" w:lineRule="exact"/>
        <w:rPr>
          <w:rFonts w:hint="default" w:asciiTheme="minorEastAsia" w:hAnsiTheme="minorEastAsia" w:eastAsiaTheme="minorEastAsia"/>
          <w:sz w:val="30"/>
          <w:szCs w:val="30"/>
        </w:rPr>
      </w:pPr>
    </w:p>
    <w:p w14:paraId="66E205CD">
      <w:pPr>
        <w:spacing w:line="500" w:lineRule="exact"/>
        <w:jc w:val="center"/>
        <w:rPr>
          <w:rFonts w:hint="default" w:asciiTheme="minorEastAsia" w:hAnsiTheme="minorEastAsia" w:eastAsiaTheme="minorEastAsia"/>
          <w:sz w:val="30"/>
          <w:szCs w:val="30"/>
        </w:rPr>
      </w:pPr>
    </w:p>
    <w:p w14:paraId="7238224A">
      <w:pPr>
        <w:spacing w:line="500" w:lineRule="exact"/>
        <w:jc w:val="center"/>
        <w:rPr>
          <w:rFonts w:hint="default" w:asciiTheme="minorEastAsia" w:hAnsiTheme="minorEastAsia" w:eastAsiaTheme="minorEastAsia"/>
          <w:sz w:val="30"/>
          <w:szCs w:val="30"/>
        </w:rPr>
      </w:pPr>
    </w:p>
    <w:p w14:paraId="534B6653">
      <w:pPr>
        <w:spacing w:line="500" w:lineRule="exact"/>
        <w:jc w:val="center"/>
        <w:rPr>
          <w:rFonts w:hint="default" w:asciiTheme="minorEastAsia" w:hAnsiTheme="minorEastAsia" w:eastAsiaTheme="minorEastAsia"/>
          <w:sz w:val="30"/>
          <w:szCs w:val="30"/>
        </w:rPr>
      </w:pPr>
    </w:p>
    <w:p w14:paraId="3521E1F0">
      <w:pPr>
        <w:spacing w:line="500" w:lineRule="exact"/>
        <w:ind w:firstLine="1800" w:firstLineChars="600"/>
        <w:rPr>
          <w:rFonts w:hint="default" w:asciiTheme="minorEastAsia" w:hAnsiTheme="minorEastAsia" w:eastAsiaTheme="minorEastAsia"/>
          <w:sz w:val="30"/>
          <w:szCs w:val="30"/>
          <w:u w:val="single"/>
        </w:rPr>
      </w:pPr>
      <w:r>
        <w:rPr>
          <w:rFonts w:asciiTheme="minorEastAsia" w:hAnsiTheme="minorEastAsia" w:eastAsiaTheme="minorEastAsia"/>
          <w:sz w:val="30"/>
          <w:szCs w:val="30"/>
        </w:rPr>
        <w:t>单位名称：</w:t>
      </w:r>
      <w:r>
        <w:rPr>
          <w:rFonts w:asciiTheme="minorEastAsia" w:hAnsiTheme="minorEastAsia" w:eastAsiaTheme="minorEastAsia"/>
          <w:sz w:val="30"/>
          <w:szCs w:val="30"/>
          <w:u w:val="single"/>
        </w:rPr>
        <w:t xml:space="preserve"> 双牌县财政局       </w:t>
      </w:r>
    </w:p>
    <w:p w14:paraId="0E2DA158">
      <w:pPr>
        <w:spacing w:line="500" w:lineRule="exact"/>
        <w:ind w:firstLine="3000" w:firstLineChars="1000"/>
        <w:rPr>
          <w:rFonts w:hint="default" w:asciiTheme="minorEastAsia" w:hAnsiTheme="minorEastAsia" w:eastAsiaTheme="minorEastAsia"/>
          <w:sz w:val="30"/>
          <w:szCs w:val="30"/>
        </w:rPr>
      </w:pPr>
    </w:p>
    <w:p w14:paraId="1BAA46CF">
      <w:pPr>
        <w:spacing w:line="500" w:lineRule="exact"/>
        <w:ind w:firstLine="3000" w:firstLineChars="1000"/>
        <w:rPr>
          <w:rFonts w:hint="default" w:asciiTheme="minorEastAsia" w:hAnsiTheme="minorEastAsia" w:eastAsiaTheme="minorEastAsia"/>
          <w:sz w:val="30"/>
          <w:szCs w:val="30"/>
        </w:rPr>
      </w:pPr>
      <w:r>
        <w:rPr>
          <w:rFonts w:asciiTheme="minorEastAsia" w:hAnsiTheme="minorEastAsia" w:eastAsiaTheme="minorEastAsia"/>
          <w:sz w:val="30"/>
          <w:szCs w:val="30"/>
        </w:rPr>
        <w:t>2024年 5 月26日</w:t>
      </w:r>
    </w:p>
    <w:p w14:paraId="4CDD46B1">
      <w:pPr>
        <w:spacing w:line="500" w:lineRule="exact"/>
        <w:jc w:val="center"/>
        <w:rPr>
          <w:rFonts w:hint="default" w:asciiTheme="minorEastAsia" w:hAnsiTheme="minorEastAsia" w:eastAsiaTheme="minorEastAsia"/>
          <w:sz w:val="30"/>
          <w:szCs w:val="30"/>
        </w:rPr>
      </w:pPr>
    </w:p>
    <w:p w14:paraId="1956F350">
      <w:pPr>
        <w:spacing w:line="500" w:lineRule="exact"/>
        <w:jc w:val="center"/>
        <w:outlineLvl w:val="0"/>
        <w:rPr>
          <w:rFonts w:hint="default" w:asciiTheme="minorEastAsia" w:hAnsiTheme="minorEastAsia" w:eastAsiaTheme="minorEastAsia"/>
          <w:sz w:val="30"/>
          <w:szCs w:val="30"/>
        </w:rPr>
      </w:pPr>
      <w:r>
        <w:rPr>
          <w:rFonts w:asciiTheme="minorEastAsia" w:hAnsiTheme="minorEastAsia" w:eastAsiaTheme="minorEastAsia"/>
          <w:sz w:val="30"/>
          <w:szCs w:val="30"/>
        </w:rPr>
        <w:t>（此页为封面）</w:t>
      </w:r>
    </w:p>
    <w:p w14:paraId="4BBB7326">
      <w:pPr>
        <w:pStyle w:val="10"/>
        <w:spacing w:line="500" w:lineRule="exact"/>
        <w:ind w:left="709" w:firstLine="0" w:firstLineChars="0"/>
        <w:outlineLvl w:val="0"/>
        <w:rPr>
          <w:rFonts w:asciiTheme="minorEastAsia" w:hAnsiTheme="minorEastAsia" w:eastAsiaTheme="minorEastAsia"/>
          <w:sz w:val="30"/>
          <w:szCs w:val="30"/>
        </w:rPr>
      </w:pPr>
      <w:r>
        <w:rPr>
          <w:rFonts w:asciiTheme="minorEastAsia" w:hAnsiTheme="minorEastAsia" w:eastAsiaTheme="minorEastAsia"/>
          <w:sz w:val="30"/>
          <w:szCs w:val="30"/>
        </w:rPr>
        <w:br w:type="page"/>
      </w:r>
    </w:p>
    <w:p w14:paraId="67900E27">
      <w:pPr>
        <w:pStyle w:val="10"/>
        <w:spacing w:line="500" w:lineRule="exact"/>
        <w:ind w:firstLine="600"/>
        <w:jc w:val="lef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一、部门整体情况</w:t>
      </w:r>
    </w:p>
    <w:p w14:paraId="59E28477">
      <w:pPr>
        <w:spacing w:line="500" w:lineRule="exact"/>
        <w:ind w:left="709"/>
        <w:rPr>
          <w:rFonts w:hint="default" w:asciiTheme="minorEastAsia" w:hAnsiTheme="minorEastAsia" w:eastAsiaTheme="minorEastAsia"/>
          <w:sz w:val="30"/>
          <w:szCs w:val="30"/>
        </w:rPr>
      </w:pPr>
      <w:r>
        <w:rPr>
          <w:rFonts w:asciiTheme="minorEastAsia" w:hAnsiTheme="minorEastAsia" w:eastAsiaTheme="minorEastAsia"/>
          <w:sz w:val="30"/>
          <w:szCs w:val="30"/>
        </w:rPr>
        <w:t>一)、单位人员构成：县财政局年初在编在职实有人数83人。其中：行政人员48人，事业人员35人。退休人员59人，单位内设股室：</w:t>
      </w:r>
      <w:r>
        <w:rPr>
          <w:rFonts w:cs="宋体" w:asciiTheme="minorEastAsia" w:hAnsiTheme="minorEastAsia" w:eastAsiaTheme="minorEastAsia"/>
          <w:sz w:val="30"/>
          <w:szCs w:val="30"/>
        </w:rPr>
        <w:t>办公室、综合股、预算股、预算绩效管理股、国库股、企业股、经济建设股、农业股、行政政法教科文股、社会保障股、农村综合改革办公室、资产管理股、金融与债务股、财政监督检查股、监察室等15个职能股室，设双牌县政府采购监督管理办公室、双牌县财政投资评审中心、双牌县财政信息中心、双牌县国库支付核算中心、双牌县会计管理站、双牌县非税收入征收管理局、双牌县乡镇财政管理局、农信担保公司双牌分公司等8个归口管理单位。</w:t>
      </w:r>
    </w:p>
    <w:p w14:paraId="1E04DEB4">
      <w:pPr>
        <w:pStyle w:val="12"/>
        <w:spacing w:line="500" w:lineRule="exact"/>
        <w:ind w:left="710" w:leftChars="338"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在编实有在职人数83人。其中:行政人员48人，事业人员35人。退休人员59人。</w:t>
      </w:r>
    </w:p>
    <w:p w14:paraId="728036AE">
      <w:pPr>
        <w:pStyle w:val="12"/>
        <w:spacing w:line="500" w:lineRule="exact"/>
        <w:ind w:left="709" w:firstLine="0" w:firstLineChars="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二)、主要职责职能</w:t>
      </w:r>
    </w:p>
    <w:p w14:paraId="59523EC0">
      <w:pPr>
        <w:pStyle w:val="12"/>
        <w:spacing w:line="500" w:lineRule="exact"/>
        <w:ind w:left="710" w:leftChars="338"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sz w:val="30"/>
          <w:szCs w:val="30"/>
        </w:rPr>
        <w:t>一)组织贯彻执行国家、省和市财税方针政策，拟定和执行全县财政制度、改革方案，指导全县财政工作；分析预测全县经济形势；提出运用财税政策实施调控和综合平衡全县社会财力的建议；贯彻执行有关分配政策，完善鼓励公益事业发展的财税意见。</w:t>
      </w:r>
      <w:r>
        <w:rPr>
          <w:rFonts w:hint="eastAsia" w:cs="宋体" w:asciiTheme="minorEastAsia" w:hAnsiTheme="minorEastAsia" w:eastAsiaTheme="minorEastAsia"/>
          <w:sz w:val="30"/>
          <w:szCs w:val="30"/>
        </w:rPr>
        <w:br w:type="textWrapping"/>
      </w:r>
      <w:r>
        <w:rPr>
          <w:rFonts w:hint="eastAsia" w:cs="宋体" w:asciiTheme="minorEastAsia" w:hAnsiTheme="minorEastAsia" w:eastAsiaTheme="minorEastAsia"/>
          <w:sz w:val="30"/>
          <w:szCs w:val="30"/>
        </w:rPr>
        <w:t xml:space="preserve">  （二）起草财政、财务、会计管理规范性文件并监督实施。</w:t>
      </w:r>
      <w:r>
        <w:rPr>
          <w:rFonts w:hint="eastAsia" w:cs="宋体" w:asciiTheme="minorEastAsia" w:hAnsiTheme="minorEastAsia" w:eastAsiaTheme="minorEastAsia"/>
          <w:sz w:val="30"/>
          <w:szCs w:val="30"/>
        </w:rPr>
        <w:br w:type="textWrapping"/>
      </w:r>
      <w:r>
        <w:rPr>
          <w:rFonts w:hint="eastAsia" w:cs="宋体" w:asciiTheme="minorEastAsia" w:hAnsiTheme="minorEastAsia" w:eastAsiaTheme="minorEastAsia"/>
          <w:sz w:val="30"/>
          <w:szCs w:val="30"/>
        </w:rPr>
        <w:t xml:space="preserve">  （三）承担县本级各项财政收支管理的责任。负责编制年度县本级预预算草案并组织执行。编制全县财政收支预算和部门预算，汇总全县部门预算和财政总预算；受全县人民政府委托，向县人民代表大会报告县本级、全县预算及其执行情况，向全县人大常委会报告预算。组织制定县本级经费开支标准、定额，负责审核批复部门(单位)的年度预预算。对财政性资金进行预算绩效管理，负责全县的预预算公开工作。</w:t>
      </w:r>
      <w:r>
        <w:rPr>
          <w:rFonts w:hint="eastAsia" w:cs="宋体" w:asciiTheme="minorEastAsia" w:hAnsiTheme="minorEastAsia" w:eastAsiaTheme="minorEastAsia"/>
          <w:sz w:val="30"/>
          <w:szCs w:val="30"/>
        </w:rPr>
        <w:br w:type="textWrapping"/>
      </w:r>
      <w:r>
        <w:rPr>
          <w:rFonts w:hint="eastAsia" w:cs="宋体" w:asciiTheme="minorEastAsia" w:hAnsiTheme="minorEastAsia" w:eastAsiaTheme="minorEastAsia"/>
          <w:sz w:val="30"/>
          <w:szCs w:val="30"/>
        </w:rPr>
        <w:t xml:space="preserve">  （四）负责政府非税收入管理，负责政府性基金管理，按规定管理行政事业性收费。管理财政票据。贯彻执行彩票监督管理政策和有关办法，管理彩票市场，会同有关部门监督和管理彩票公益金，管理其他彩票资金。</w:t>
      </w:r>
      <w:r>
        <w:rPr>
          <w:rFonts w:hint="eastAsia" w:cs="宋体" w:asciiTheme="minorEastAsia" w:hAnsiTheme="minorEastAsia" w:eastAsiaTheme="minorEastAsia"/>
          <w:sz w:val="30"/>
          <w:szCs w:val="30"/>
        </w:rPr>
        <w:br w:type="textWrapping"/>
      </w:r>
      <w:r>
        <w:rPr>
          <w:rFonts w:hint="eastAsia" w:cs="宋体" w:asciiTheme="minorEastAsia" w:hAnsiTheme="minorEastAsia" w:eastAsiaTheme="minorEastAsia"/>
          <w:sz w:val="30"/>
          <w:szCs w:val="30"/>
        </w:rPr>
        <w:t xml:space="preserve">  （五）贯彻执行国库管理制度、国库集中支付制度，指导和监督县本级国库业务，按规定开展国库现金管理工作。负责制定政府采购制度并监督管理。</w:t>
      </w:r>
      <w:r>
        <w:rPr>
          <w:rFonts w:hint="eastAsia" w:cs="宋体" w:asciiTheme="minorEastAsia" w:hAnsiTheme="minorEastAsia" w:eastAsiaTheme="minorEastAsia"/>
          <w:sz w:val="30"/>
          <w:szCs w:val="30"/>
        </w:rPr>
        <w:br w:type="textWrapping"/>
      </w:r>
      <w:r>
        <w:rPr>
          <w:rFonts w:hint="eastAsia" w:cs="宋体" w:asciiTheme="minorEastAsia" w:hAnsiTheme="minorEastAsia" w:eastAsiaTheme="minorEastAsia"/>
          <w:sz w:val="30"/>
          <w:szCs w:val="30"/>
        </w:rPr>
        <w:t xml:space="preserve">  （六）贯彻执行国家、省和市税收法律、行政法规和税收调整政策，反馈政策执行情况，提出调整建议。参与县管理权限内有关税收政策及税收政策调整方案的调查研究，提出对策建议。</w:t>
      </w:r>
      <w:r>
        <w:rPr>
          <w:rFonts w:hint="eastAsia" w:cs="宋体" w:asciiTheme="minorEastAsia" w:hAnsiTheme="minorEastAsia" w:eastAsiaTheme="minorEastAsia"/>
          <w:sz w:val="30"/>
          <w:szCs w:val="30"/>
        </w:rPr>
        <w:br w:type="textWrapping"/>
      </w:r>
      <w:r>
        <w:rPr>
          <w:rFonts w:hint="eastAsia" w:cs="宋体" w:asciiTheme="minorEastAsia" w:hAnsiTheme="minorEastAsia" w:eastAsiaTheme="minorEastAsia"/>
          <w:sz w:val="30"/>
          <w:szCs w:val="30"/>
        </w:rPr>
        <w:t xml:space="preserve">  （七）负责制定全县行政事业单位国有资产管理规章制度，会同有关部门管理行政事业单位国有资产，制定需要全县统一规定的开支标准和支出办法，负责财政预算内行政、事业单位和社会团体的非贸易外汇管理。</w:t>
      </w:r>
      <w:r>
        <w:rPr>
          <w:rFonts w:hint="eastAsia" w:cs="宋体" w:asciiTheme="minorEastAsia" w:hAnsiTheme="minorEastAsia" w:eastAsiaTheme="minorEastAsia"/>
          <w:sz w:val="30"/>
          <w:szCs w:val="30"/>
        </w:rPr>
        <w:br w:type="textWrapping"/>
      </w:r>
      <w:r>
        <w:rPr>
          <w:rFonts w:hint="eastAsia" w:cs="宋体" w:asciiTheme="minorEastAsia" w:hAnsiTheme="minorEastAsia" w:eastAsiaTheme="minorEastAsia"/>
          <w:sz w:val="30"/>
          <w:szCs w:val="30"/>
        </w:rPr>
        <w:t xml:space="preserve">  （八）负责审核和汇总编制全县国有资本经营预预算草案，制定国有资本经营预算的制度和办法，收取县本级企业国有资本收益，组织实施企业财务制度，按规定管理地方金融类企业国有资产，参与拟定企业国有资产管理相关制度，负责县级国有宣传文化、金融类企业的国有资产管理，按规定管理资产评估工作。</w:t>
      </w:r>
      <w:r>
        <w:rPr>
          <w:rFonts w:hint="eastAsia" w:cs="宋体" w:asciiTheme="minorEastAsia" w:hAnsiTheme="minorEastAsia" w:eastAsiaTheme="minorEastAsia"/>
          <w:sz w:val="30"/>
          <w:szCs w:val="30"/>
        </w:rPr>
        <w:br w:type="textWrapping"/>
      </w:r>
      <w:r>
        <w:rPr>
          <w:rFonts w:hint="eastAsia" w:cs="宋体" w:asciiTheme="minorEastAsia" w:hAnsiTheme="minorEastAsia" w:eastAsiaTheme="minorEastAsia"/>
          <w:sz w:val="30"/>
          <w:szCs w:val="30"/>
        </w:rPr>
        <w:t xml:space="preserve">  （九）负责办理和监督县财政经济发展支出、县级政府性投资项目的财政拨款，参与拟定县建设投资的有关规定，组织实施基本建设财务制度，负责有关政策性补贴和专项储备资金财政管理工作。负责农业综合开发管理工作。</w:t>
      </w:r>
      <w:r>
        <w:rPr>
          <w:rFonts w:hint="eastAsia" w:cs="宋体" w:asciiTheme="minorEastAsia" w:hAnsiTheme="minorEastAsia" w:eastAsiaTheme="minorEastAsia"/>
          <w:sz w:val="30"/>
          <w:szCs w:val="30"/>
        </w:rPr>
        <w:br w:type="textWrapping"/>
      </w:r>
      <w:r>
        <w:rPr>
          <w:rFonts w:hint="eastAsia" w:cs="宋体" w:asciiTheme="minorEastAsia" w:hAnsiTheme="minorEastAsia" w:eastAsiaTheme="minorEastAsia"/>
          <w:sz w:val="30"/>
          <w:szCs w:val="30"/>
        </w:rPr>
        <w:t xml:space="preserve">  （十）会同有关部门管理全县财政社会保障和就业及医疗卫生支出，组织实施社会保障资金（基金）的财务管理制度，编制县社会保障预预算草案。</w:t>
      </w:r>
      <w:r>
        <w:rPr>
          <w:rFonts w:hint="eastAsia" w:cs="宋体" w:asciiTheme="minorEastAsia" w:hAnsiTheme="minorEastAsia" w:eastAsiaTheme="minorEastAsia"/>
          <w:sz w:val="30"/>
          <w:szCs w:val="30"/>
        </w:rPr>
        <w:br w:type="textWrapping"/>
      </w:r>
      <w:r>
        <w:rPr>
          <w:rFonts w:hint="eastAsia" w:cs="宋体" w:asciiTheme="minorEastAsia" w:hAnsiTheme="minorEastAsia" w:eastAsiaTheme="minorEastAsia"/>
          <w:sz w:val="30"/>
          <w:szCs w:val="30"/>
        </w:rPr>
        <w:t xml:space="preserve">  （十一）贯彻执行政府内外债务管理的政策、制度和办法，防范财政风险。负责统一管理县政府外债，制定基本管理制度。按规定管理外国政府和国际金融组织贷（赠）款。承担财税领域交流与合作的具体工作。</w:t>
      </w:r>
      <w:r>
        <w:rPr>
          <w:rFonts w:hint="eastAsia" w:cs="宋体" w:asciiTheme="minorEastAsia" w:hAnsiTheme="minorEastAsia" w:eastAsiaTheme="minorEastAsia"/>
          <w:sz w:val="30"/>
          <w:szCs w:val="30"/>
        </w:rPr>
        <w:br w:type="textWrapping"/>
      </w:r>
      <w:r>
        <w:rPr>
          <w:rFonts w:hint="eastAsia" w:cs="宋体" w:asciiTheme="minorEastAsia" w:hAnsiTheme="minorEastAsia" w:eastAsiaTheme="minorEastAsia"/>
          <w:sz w:val="30"/>
          <w:szCs w:val="30"/>
        </w:rPr>
        <w:t xml:space="preserve">   （十二）负责管理全县的会计工作，监督和规范会计行为，组织实施国家统一的会计制度，在全县组织实施会计行政法规规章。负责组织全县会计从业人员培训和继续教育。</w:t>
      </w:r>
      <w:r>
        <w:rPr>
          <w:rFonts w:hint="eastAsia" w:cs="宋体" w:asciiTheme="minorEastAsia" w:hAnsiTheme="minorEastAsia" w:eastAsiaTheme="minorEastAsia"/>
          <w:sz w:val="30"/>
          <w:szCs w:val="30"/>
        </w:rPr>
        <w:br w:type="textWrapping"/>
      </w:r>
      <w:r>
        <w:rPr>
          <w:rFonts w:hint="eastAsia" w:cs="宋体" w:asciiTheme="minorEastAsia" w:hAnsiTheme="minorEastAsia" w:eastAsiaTheme="minorEastAsia"/>
          <w:sz w:val="30"/>
          <w:szCs w:val="30"/>
        </w:rPr>
        <w:t xml:space="preserve">  （十三）监督检查财税法规、政策的执行情况，反映财政收支管理中的重大问题，提出加强财政管理的意见和建议。</w:t>
      </w:r>
      <w:r>
        <w:rPr>
          <w:rFonts w:hint="eastAsia" w:cs="宋体" w:asciiTheme="minorEastAsia" w:hAnsiTheme="minorEastAsia" w:eastAsiaTheme="minorEastAsia"/>
          <w:sz w:val="30"/>
          <w:szCs w:val="30"/>
        </w:rPr>
        <w:br w:type="textWrapping"/>
      </w:r>
      <w:r>
        <w:rPr>
          <w:rFonts w:hint="eastAsia" w:cs="宋体" w:asciiTheme="minorEastAsia" w:hAnsiTheme="minorEastAsia" w:eastAsiaTheme="minorEastAsia"/>
          <w:sz w:val="30"/>
          <w:szCs w:val="30"/>
        </w:rPr>
        <w:t xml:space="preserve">  （十四）承办县人民政府交办的其他事项。</w:t>
      </w:r>
    </w:p>
    <w:p w14:paraId="0193A07E">
      <w:pPr>
        <w:spacing w:line="500" w:lineRule="exact"/>
        <w:ind w:firstLine="300" w:firstLineChars="100"/>
        <w:outlineLvl w:val="1"/>
        <w:rPr>
          <w:rFonts w:hint="default" w:asciiTheme="minorEastAsia" w:hAnsiTheme="minorEastAsia" w:eastAsiaTheme="minorEastAsia"/>
          <w:sz w:val="30"/>
          <w:szCs w:val="30"/>
        </w:rPr>
      </w:pPr>
      <w:r>
        <w:rPr>
          <w:rFonts w:asciiTheme="minorEastAsia" w:hAnsiTheme="minorEastAsia" w:eastAsiaTheme="minorEastAsia"/>
          <w:sz w:val="30"/>
          <w:szCs w:val="30"/>
        </w:rPr>
        <w:t>（三）、整体支出规模</w:t>
      </w:r>
    </w:p>
    <w:p w14:paraId="26079169">
      <w:pPr>
        <w:spacing w:line="500" w:lineRule="exact"/>
        <w:ind w:left="594" w:leftChars="283" w:firstLine="600" w:firstLineChars="200"/>
        <w:outlineLvl w:val="1"/>
        <w:rPr>
          <w:rFonts w:hint="default" w:asciiTheme="minorEastAsia" w:hAnsiTheme="minorEastAsia" w:eastAsiaTheme="minorEastAsia"/>
          <w:color w:val="000000"/>
          <w:sz w:val="30"/>
          <w:szCs w:val="30"/>
        </w:rPr>
      </w:pPr>
      <w:r>
        <w:rPr>
          <w:rFonts w:asciiTheme="minorEastAsia" w:hAnsiTheme="minorEastAsia" w:eastAsiaTheme="minorEastAsia"/>
          <w:sz w:val="30"/>
          <w:szCs w:val="30"/>
        </w:rPr>
        <w:t>2023年双牌县财政局整体支出2356.44万元，其中：基本支出1108.76万元，项目支出1247.68万元。2023年“三公经费”支出33.45元。其中：公务用车运行维护费0万元，公务接待费33.45万元，比年初预算49万元减少15.55万元，主要是控制三公经费开支减少了公务接待费；比2022年减少8.92万元，主要是减少了公务接待费。</w:t>
      </w:r>
    </w:p>
    <w:p w14:paraId="1AFEC733">
      <w:pPr>
        <w:spacing w:line="500" w:lineRule="exact"/>
        <w:outlineLvl w:val="0"/>
        <w:rPr>
          <w:rFonts w:hint="default" w:asciiTheme="minorEastAsia" w:hAnsiTheme="minorEastAsia" w:eastAsiaTheme="minorEastAsia"/>
          <w:sz w:val="30"/>
          <w:szCs w:val="30"/>
        </w:rPr>
      </w:pPr>
      <w:r>
        <w:rPr>
          <w:rFonts w:asciiTheme="minorEastAsia" w:hAnsiTheme="minorEastAsia" w:eastAsiaTheme="minorEastAsia"/>
          <w:sz w:val="30"/>
          <w:szCs w:val="30"/>
        </w:rPr>
        <w:t>二、一般公共预算支出情况</w:t>
      </w:r>
    </w:p>
    <w:p w14:paraId="3CDCF75B">
      <w:pPr>
        <w:pStyle w:val="10"/>
        <w:spacing w:line="500" w:lineRule="exact"/>
        <w:ind w:firstLine="600"/>
        <w:outlineLvl w:val="1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（一）基本支出情况</w:t>
      </w:r>
    </w:p>
    <w:p w14:paraId="2F8B20F1">
      <w:pPr>
        <w:pStyle w:val="10"/>
        <w:spacing w:line="500" w:lineRule="exact"/>
        <w:ind w:firstLine="600"/>
        <w:outlineLvl w:val="1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 xml:space="preserve">   2023年基本支出年初预算批复数为1077.79，决算数为1108.76万元，执行率102.8%。其中：人员经费990.5万元，公用经费108.77万元。</w:t>
      </w:r>
    </w:p>
    <w:p w14:paraId="06BA5C88">
      <w:pPr>
        <w:pStyle w:val="10"/>
        <w:spacing w:line="500" w:lineRule="exact"/>
        <w:ind w:firstLine="600"/>
        <w:outlineLvl w:val="1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（二）项目支出情况</w:t>
      </w:r>
    </w:p>
    <w:p w14:paraId="3C3F2EF1">
      <w:pPr>
        <w:spacing w:line="500" w:lineRule="exact"/>
        <w:ind w:firstLine="600" w:firstLineChars="200"/>
        <w:rPr>
          <w:rFonts w:hint="default" w:asciiTheme="minorEastAsia" w:hAnsiTheme="minorEastAsia" w:eastAsiaTheme="minorEastAsia"/>
          <w:sz w:val="30"/>
          <w:szCs w:val="30"/>
        </w:rPr>
      </w:pPr>
      <w:r>
        <w:rPr>
          <w:rFonts w:asciiTheme="minorEastAsia" w:hAnsiTheme="minorEastAsia" w:eastAsiaTheme="minorEastAsia"/>
          <w:sz w:val="30"/>
          <w:szCs w:val="30"/>
        </w:rPr>
        <w:t>项目支出年初预算批复数为1460.68万元，2023年决算数为1247.68万元，执行率85.4%。部分绩效目标未完成的原因是：一是预算精准度有差距，二是项目有的还在实施中，还未完工结算。</w:t>
      </w:r>
    </w:p>
    <w:p w14:paraId="7069854C">
      <w:pPr>
        <w:pStyle w:val="10"/>
        <w:spacing w:line="500" w:lineRule="exact"/>
        <w:ind w:firstLine="600"/>
        <w:jc w:val="left"/>
        <w:outlineLvl w:val="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三、政府性基金预算支出情况。</w:t>
      </w:r>
    </w:p>
    <w:p w14:paraId="74E6B0D4">
      <w:pPr>
        <w:pStyle w:val="10"/>
        <w:spacing w:line="500" w:lineRule="exact"/>
        <w:ind w:firstLine="600"/>
        <w:jc w:val="left"/>
        <w:outlineLvl w:val="0"/>
        <w:rPr>
          <w:rFonts w:asciiTheme="minorEastAsia" w:hAnsiTheme="minorEastAsia" w:eastAsia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000000"/>
          <w:sz w:val="30"/>
          <w:szCs w:val="30"/>
        </w:rPr>
        <w:t>我单位2023年政府性基金收入130.34万元，支出130.34万元，主要用于国有资产评估费用和债券发行评估费用。</w:t>
      </w:r>
    </w:p>
    <w:p w14:paraId="036728C9">
      <w:pPr>
        <w:pStyle w:val="10"/>
        <w:spacing w:line="500" w:lineRule="exact"/>
        <w:ind w:firstLine="600"/>
        <w:jc w:val="left"/>
        <w:outlineLvl w:val="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四、国有资本经营预算支出情况。</w:t>
      </w:r>
    </w:p>
    <w:p w14:paraId="5C90D283">
      <w:pPr>
        <w:pStyle w:val="10"/>
        <w:spacing w:line="500" w:lineRule="exact"/>
        <w:ind w:firstLine="600"/>
        <w:jc w:val="left"/>
        <w:outlineLvl w:val="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000000"/>
          <w:sz w:val="30"/>
          <w:szCs w:val="30"/>
        </w:rPr>
        <w:t>我单位无国有资本经营预算支出情况</w:t>
      </w:r>
    </w:p>
    <w:p w14:paraId="4039B6B0">
      <w:pPr>
        <w:pStyle w:val="10"/>
        <w:spacing w:line="500" w:lineRule="exact"/>
        <w:ind w:firstLine="600"/>
        <w:jc w:val="left"/>
        <w:outlineLvl w:val="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五、社会保险基金预算支出情况。</w:t>
      </w:r>
    </w:p>
    <w:p w14:paraId="1F115FFC">
      <w:pPr>
        <w:pStyle w:val="10"/>
        <w:spacing w:line="500" w:lineRule="exact"/>
        <w:ind w:firstLine="600"/>
        <w:jc w:val="left"/>
        <w:outlineLvl w:val="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000000"/>
          <w:sz w:val="30"/>
          <w:szCs w:val="30"/>
        </w:rPr>
        <w:t>我单位无</w:t>
      </w:r>
      <w:r>
        <w:rPr>
          <w:rFonts w:hint="eastAsia" w:asciiTheme="minorEastAsia" w:hAnsiTheme="minorEastAsia" w:eastAsiaTheme="minorEastAsia"/>
          <w:sz w:val="30"/>
          <w:szCs w:val="30"/>
        </w:rPr>
        <w:t>社会保险基金</w:t>
      </w:r>
      <w:r>
        <w:rPr>
          <w:rFonts w:hint="eastAsia" w:asciiTheme="minorEastAsia" w:hAnsiTheme="minorEastAsia" w:eastAsiaTheme="minorEastAsia"/>
          <w:color w:val="000000"/>
          <w:sz w:val="30"/>
          <w:szCs w:val="30"/>
        </w:rPr>
        <w:t>预算支出情况</w:t>
      </w:r>
    </w:p>
    <w:p w14:paraId="3C944277">
      <w:pPr>
        <w:spacing w:line="500" w:lineRule="exact"/>
        <w:ind w:firstLine="645"/>
        <w:jc w:val="left"/>
        <w:outlineLvl w:val="0"/>
        <w:rPr>
          <w:rFonts w:hint="default" w:asciiTheme="minorEastAsia" w:hAnsiTheme="minorEastAsia" w:eastAsiaTheme="minorEastAsia"/>
          <w:sz w:val="30"/>
          <w:szCs w:val="30"/>
        </w:rPr>
      </w:pPr>
      <w:r>
        <w:rPr>
          <w:rFonts w:asciiTheme="minorEastAsia" w:hAnsiTheme="minorEastAsia" w:eastAsiaTheme="minorEastAsia"/>
          <w:sz w:val="30"/>
          <w:szCs w:val="30"/>
        </w:rPr>
        <w:t>六、部门整体支出绩效情况</w:t>
      </w:r>
    </w:p>
    <w:p w14:paraId="08263004">
      <w:pPr>
        <w:pStyle w:val="12"/>
        <w:spacing w:line="500" w:lineRule="exact"/>
        <w:ind w:left="420" w:firstLine="750" w:firstLineChars="25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部门整体支出年初预算批复数为2538.47万元，2023年执行数为2356.44万元，执行率为92.8%。2023年我局认真做好年预算绩效运行监控工作，单位分管领导针对绩效监控工作精心组织、周密部署、把绩效监控工作列入重要议事日程，针对发现的绩效目标执行偏差和管理漏洞，及时采取有针对性的措施予以纠正，不断改进和加强预算绩效管理。</w:t>
      </w:r>
    </w:p>
    <w:p w14:paraId="1A134F08">
      <w:pPr>
        <w:pStyle w:val="12"/>
        <w:spacing w:line="500" w:lineRule="exact"/>
        <w:ind w:left="418" w:leftChars="199" w:firstLine="0" w:firstLineChars="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1.预算编制情况：本单位预算编制合理，根据本部门职责、年初工作重点，以及项目的轻重缓急，在不同项目、不同用途之间分配合理。</w:t>
      </w:r>
    </w:p>
    <w:p w14:paraId="48B8852B">
      <w:pPr>
        <w:pStyle w:val="12"/>
        <w:spacing w:line="500" w:lineRule="exact"/>
        <w:ind w:firstLineChars="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2.预算执行情况：</w:t>
      </w:r>
    </w:p>
    <w:p w14:paraId="6DEC5B38">
      <w:pPr>
        <w:pStyle w:val="12"/>
        <w:spacing w:line="500" w:lineRule="exact"/>
        <w:ind w:left="420" w:firstLine="0" w:firstLineChars="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（1）支出管理方面：本单位2023年按批复的预算文件履行当年预算，在预算内、范围内按预算安排支出。并按项目进度支付资金。严格按照先有预算，后有支出的原则，加强对财务、物资采购、资金使用等方面的管理，规范预算资金支出。</w:t>
      </w:r>
    </w:p>
    <w:p w14:paraId="35375BEA">
      <w:pPr>
        <w:pStyle w:val="12"/>
        <w:spacing w:line="500" w:lineRule="exact"/>
        <w:ind w:left="420" w:firstLine="0" w:firstLineChars="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（2）资产管理方面。本单位资产管理职能由局办公室负责，设置专人负责国有资产的购置入库、报废、转移等工作的管理和监督，准确及时把握资产的增减变动及其结存情况，实现资产的安全生命周期管理。</w:t>
      </w:r>
    </w:p>
    <w:p w14:paraId="693A727B">
      <w:pPr>
        <w:pStyle w:val="12"/>
        <w:spacing w:line="500" w:lineRule="exact"/>
        <w:ind w:left="420" w:firstLine="0" w:firstLineChars="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3.预算监督情况：本单位2023年预决算和绩效目标已按规定要求在政府的网站公开。成立自评小组，在规定时间完成自评工作并按时报送材料。</w:t>
      </w:r>
    </w:p>
    <w:p w14:paraId="356A2599">
      <w:pPr>
        <w:pStyle w:val="10"/>
        <w:spacing w:line="500" w:lineRule="exact"/>
        <w:ind w:firstLine="600"/>
        <w:jc w:val="left"/>
        <w:outlineLvl w:val="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七、存在的问题及原因分析</w:t>
      </w:r>
    </w:p>
    <w:p w14:paraId="7E7FFEAF">
      <w:pPr>
        <w:spacing w:line="500" w:lineRule="exact"/>
        <w:ind w:firstLine="600" w:firstLineChars="200"/>
        <w:rPr>
          <w:rFonts w:hint="default" w:asciiTheme="minorEastAsia" w:hAnsiTheme="minorEastAsia" w:eastAsiaTheme="minorEastAsia"/>
          <w:sz w:val="30"/>
          <w:szCs w:val="30"/>
        </w:rPr>
      </w:pPr>
      <w:r>
        <w:rPr>
          <w:rFonts w:asciiTheme="minorEastAsia" w:hAnsiTheme="minorEastAsia" w:eastAsiaTheme="minorEastAsia"/>
          <w:sz w:val="30"/>
          <w:szCs w:val="30"/>
        </w:rPr>
        <w:t>（一）部门整体</w:t>
      </w:r>
    </w:p>
    <w:p w14:paraId="4FF0CC54">
      <w:pPr>
        <w:pStyle w:val="12"/>
        <w:spacing w:line="500" w:lineRule="exact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预算编制细化不够，年初预算的科目设置与实际发生情况有一定的出入，导致部分目标有偏差；其主要原因：一是年初单位的收入不确定，预算做的就不准确精细；二是责任人对目标任务梳理重视不够，主管人督促检查不够。</w:t>
      </w:r>
    </w:p>
    <w:p w14:paraId="6E019847">
      <w:pPr>
        <w:spacing w:line="500" w:lineRule="exact"/>
        <w:ind w:firstLine="600" w:firstLineChars="200"/>
        <w:rPr>
          <w:rFonts w:hint="default" w:asciiTheme="minorEastAsia" w:hAnsiTheme="minorEastAsia" w:eastAsiaTheme="minorEastAsia"/>
          <w:sz w:val="30"/>
          <w:szCs w:val="30"/>
        </w:rPr>
      </w:pPr>
      <w:r>
        <w:rPr>
          <w:rFonts w:asciiTheme="minorEastAsia" w:hAnsiTheme="minorEastAsia" w:eastAsiaTheme="minorEastAsia"/>
          <w:sz w:val="30"/>
          <w:szCs w:val="30"/>
        </w:rPr>
        <w:t>（二）项目支出</w:t>
      </w:r>
    </w:p>
    <w:p w14:paraId="46DDD4FD">
      <w:pPr>
        <w:pStyle w:val="12"/>
        <w:spacing w:line="500" w:lineRule="exact"/>
        <w:ind w:firstLine="3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存在的问题：项目支出预算不精准，完成率、执行率有偏差。其原因是：临时安排项目难以估算，导致项目预算编制难度较大，对绩效管理有一定的影响。</w:t>
      </w:r>
    </w:p>
    <w:p w14:paraId="6E0EDAF7">
      <w:pPr>
        <w:pStyle w:val="12"/>
        <w:spacing w:line="500" w:lineRule="exact"/>
        <w:ind w:firstLine="300"/>
        <w:rPr>
          <w:rFonts w:asciiTheme="minorEastAsia" w:hAnsiTheme="minorEastAsia" w:eastAsiaTheme="minorEastAsia"/>
          <w:sz w:val="30"/>
          <w:szCs w:val="30"/>
        </w:rPr>
      </w:pPr>
      <w:r>
        <w:rPr>
          <w:rFonts w:asciiTheme="minorEastAsia" w:hAnsiTheme="minorEastAsia" w:eastAsiaTheme="minorEastAsia"/>
          <w:sz w:val="30"/>
          <w:szCs w:val="30"/>
        </w:rPr>
        <w:t>八、下一步改进措施</w:t>
      </w:r>
    </w:p>
    <w:p w14:paraId="105E053A">
      <w:pPr>
        <w:pStyle w:val="12"/>
        <w:spacing w:line="500" w:lineRule="exact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1、细化预算编制工作，认真做好预算的编制，进一步提高预算编制的科学性、严谨性和可行性。</w:t>
      </w:r>
    </w:p>
    <w:p w14:paraId="44FC3EC2">
      <w:pPr>
        <w:pStyle w:val="12"/>
        <w:spacing w:line="500" w:lineRule="exact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2、加强财务管理，严格财务审核。</w:t>
      </w:r>
    </w:p>
    <w:p w14:paraId="3125A640">
      <w:pPr>
        <w:pStyle w:val="12"/>
        <w:spacing w:line="500" w:lineRule="exact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3、加强项目开展进度的跟踪。开展项目绩效评价评价，确保项目绩效目标的完成。</w:t>
      </w:r>
    </w:p>
    <w:p w14:paraId="68C36DCF">
      <w:pPr>
        <w:spacing w:line="500" w:lineRule="exact"/>
        <w:ind w:firstLine="300" w:firstLineChars="100"/>
        <w:jc w:val="left"/>
        <w:outlineLvl w:val="0"/>
        <w:rPr>
          <w:rFonts w:hint="default" w:asciiTheme="minorEastAsia" w:hAnsiTheme="minorEastAsia" w:eastAsiaTheme="minorEastAsia"/>
          <w:sz w:val="30"/>
          <w:szCs w:val="30"/>
        </w:rPr>
      </w:pPr>
      <w:r>
        <w:rPr>
          <w:rFonts w:asciiTheme="minorEastAsia" w:hAnsiTheme="minorEastAsia" w:eastAsiaTheme="minorEastAsia"/>
          <w:sz w:val="30"/>
          <w:szCs w:val="30"/>
        </w:rPr>
        <w:t>九、部门整体支出绩效自评结果拟应用和公开情况</w:t>
      </w:r>
    </w:p>
    <w:p w14:paraId="057F0EC3">
      <w:pPr>
        <w:spacing w:line="500" w:lineRule="exact"/>
        <w:ind w:firstLine="645"/>
        <w:jc w:val="left"/>
        <w:outlineLvl w:val="0"/>
        <w:rPr>
          <w:rFonts w:hint="default" w:asciiTheme="minorEastAsia" w:hAnsiTheme="minorEastAsia" w:eastAsiaTheme="minorEastAsia"/>
          <w:sz w:val="30"/>
          <w:szCs w:val="30"/>
        </w:rPr>
      </w:pPr>
      <w:r>
        <w:rPr>
          <w:rFonts w:asciiTheme="minorEastAsia" w:hAnsiTheme="minorEastAsia" w:eastAsiaTheme="minorEastAsia"/>
          <w:sz w:val="30"/>
          <w:szCs w:val="30"/>
        </w:rPr>
        <w:t>已公开。</w:t>
      </w:r>
    </w:p>
    <w:p w14:paraId="1BB95E3C">
      <w:pPr>
        <w:spacing w:line="500" w:lineRule="exact"/>
        <w:ind w:firstLine="300" w:firstLineChars="100"/>
        <w:jc w:val="left"/>
        <w:rPr>
          <w:rFonts w:hint="default" w:asciiTheme="minorEastAsia" w:hAnsiTheme="minorEastAsia" w:eastAsiaTheme="minorEastAsia"/>
          <w:sz w:val="30"/>
          <w:szCs w:val="30"/>
        </w:rPr>
      </w:pPr>
      <w:r>
        <w:rPr>
          <w:rFonts w:asciiTheme="minorEastAsia" w:hAnsiTheme="minorEastAsia" w:eastAsiaTheme="minorEastAsia"/>
          <w:sz w:val="30"/>
          <w:szCs w:val="30"/>
        </w:rPr>
        <w:t>十、其他需要说明的情况</w:t>
      </w:r>
    </w:p>
    <w:p w14:paraId="2EAB930C">
      <w:pPr>
        <w:spacing w:afterLines="50" w:line="500" w:lineRule="exact"/>
        <w:ind w:firstLine="750" w:firstLineChars="250"/>
        <w:rPr>
          <w:rFonts w:hint="default" w:asciiTheme="minorEastAsia" w:hAnsiTheme="minorEastAsia" w:eastAsiaTheme="minorEastAsia"/>
          <w:sz w:val="30"/>
          <w:szCs w:val="30"/>
        </w:rPr>
      </w:pPr>
      <w:r>
        <w:rPr>
          <w:rFonts w:asciiTheme="minorEastAsia" w:hAnsiTheme="minorEastAsia" w:eastAsiaTheme="minorEastAsia"/>
          <w:sz w:val="30"/>
          <w:szCs w:val="30"/>
        </w:rPr>
        <w:t>无</w:t>
      </w:r>
    </w:p>
    <w:p w14:paraId="1437BAAA">
      <w:pPr>
        <w:spacing w:afterLines="50" w:line="500" w:lineRule="exact"/>
        <w:rPr>
          <w:rFonts w:hint="default" w:asciiTheme="minorEastAsia" w:hAnsiTheme="minorEastAsia" w:eastAsiaTheme="minorEastAsia"/>
          <w:sz w:val="30"/>
          <w:szCs w:val="30"/>
        </w:rPr>
      </w:pPr>
    </w:p>
    <w:p w14:paraId="005477AA">
      <w:pPr>
        <w:spacing w:afterLines="50" w:line="500" w:lineRule="exact"/>
        <w:rPr>
          <w:rFonts w:hint="default" w:asciiTheme="minorEastAsia" w:hAnsiTheme="minorEastAsia" w:eastAsiaTheme="minorEastAsia"/>
          <w:sz w:val="30"/>
          <w:szCs w:val="30"/>
        </w:rPr>
      </w:pPr>
    </w:p>
    <w:sectPr>
      <w:headerReference r:id="rId3" w:type="default"/>
      <w:footerReference r:id="rId4" w:type="default"/>
      <w:footerReference r:id="rId5" w:type="even"/>
      <w:pgSz w:w="12240" w:h="15840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E05D6">
    <w:pPr>
      <w:pStyle w:val="4"/>
      <w:framePr w:wrap="auto" w:vAnchor="margin" w:hAnchor="text" w:xAlign="left" w:yAlign="inline"/>
      <w:ind w:right="360" w:firstLine="360"/>
      <w:rPr>
        <w:rFonts w:hint="default"/>
      </w:rPr>
    </w:pPr>
    <w:r>
      <w:rPr>
        <w:rFonts w:hint="defaul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2E91CF7">
                          <w:pPr>
                            <w:pStyle w:val="4"/>
                            <w:rPr>
                              <w:rFonts w:hint="default"/>
                            </w:rPr>
                          </w:pPr>
                          <w:r>
                            <w:rPr>
                              <w:rFonts w:ascii="宋体" w:hAnsi="宋体" w:cs="宋体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default" w:ascii="宋体" w:hAnsi="宋体" w:cs="宋体"/>
                              <w:szCs w:val="18"/>
                            </w:rPr>
                            <w:t>5</w:t>
                          </w:r>
                          <w:r>
                            <w:rPr>
                              <w:rFonts w:ascii="宋体" w:hAnsi="宋体" w:cs="宋体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CVqUGD4QEAAMw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2E91CF7">
                    <w:pPr>
                      <w:pStyle w:val="4"/>
                      <w:rPr>
                        <w:rFonts w:hint="default"/>
                      </w:rPr>
                    </w:pPr>
                    <w:r>
                      <w:rPr>
                        <w:rFonts w:ascii="宋体" w:hAnsi="宋体" w:cs="宋体"/>
                        <w:szCs w:val="1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Cs w:val="18"/>
                      </w:rPr>
                      <w:fldChar w:fldCharType="separate"/>
                    </w:r>
                    <w:r>
                      <w:rPr>
                        <w:rFonts w:hint="default" w:ascii="宋体" w:hAnsi="宋体" w:cs="宋体"/>
                        <w:szCs w:val="18"/>
                      </w:rPr>
                      <w:t>5</w:t>
                    </w:r>
                    <w:r>
                      <w:rPr>
                        <w:rFonts w:ascii="宋体" w:hAnsi="宋体" w:cs="宋体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72D5FC">
    <w:pPr>
      <w:pStyle w:val="4"/>
      <w:framePr w:wrap="auto" w:vAnchor="margin" w:hAnchor="text" w:xAlign="left" w:yAlign="inline"/>
      <w:ind w:right="360" w:firstLine="360"/>
      <w:rPr>
        <w:rFonts w:hint="default"/>
      </w:rPr>
    </w:pPr>
    <w:r>
      <w:rPr>
        <w:rFonts w:hint="defaul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65A4C15">
                          <w:pPr>
                            <w:pStyle w:val="4"/>
                            <w:rPr>
                              <w:rFonts w:hint="default"/>
                            </w:rPr>
                          </w:pPr>
                          <w:r>
                            <w:rPr>
                              <w:rFonts w:ascii="宋体" w:hAnsi="宋体" w:cs="宋体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default" w:ascii="宋体" w:hAnsi="宋体" w:cs="宋体"/>
                              <w:szCs w:val="18"/>
                            </w:rPr>
                            <w:t>4</w:t>
                          </w:r>
                          <w:r>
                            <w:rPr>
                              <w:rFonts w:ascii="宋体" w:hAnsi="宋体" w:cs="宋体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qXm5zwAAAAUBAAAPAAAAAAAA&#10;AAEAIAAAACIAAABkcnMvZG93bnJldi54bWxQSwECFAAUAAAACACHTuJAv9kBouIBAADMAwAADgAA&#10;AAAAAAABACAAAAAe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65A4C15">
                    <w:pPr>
                      <w:pStyle w:val="4"/>
                      <w:rPr>
                        <w:rFonts w:hint="default"/>
                      </w:rPr>
                    </w:pPr>
                    <w:r>
                      <w:rPr>
                        <w:rFonts w:ascii="宋体" w:hAnsi="宋体" w:cs="宋体"/>
                        <w:szCs w:val="1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Cs w:val="18"/>
                      </w:rPr>
                      <w:fldChar w:fldCharType="separate"/>
                    </w:r>
                    <w:r>
                      <w:rPr>
                        <w:rFonts w:hint="default" w:ascii="宋体" w:hAnsi="宋体" w:cs="宋体"/>
                        <w:szCs w:val="18"/>
                      </w:rPr>
                      <w:t>4</w:t>
                    </w:r>
                    <w:r>
                      <w:rPr>
                        <w:rFonts w:ascii="宋体" w:hAnsi="宋体" w:cs="宋体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7482BA">
    <w:pPr>
      <w:pStyle w:val="5"/>
      <w:jc w:val="both"/>
      <w:rPr>
        <w:rFonts w:hint="default" w:eastAsia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橄ポ嗠ե֠찔ㆰ"/>
  </w:docVars>
  <w:rsids>
    <w:rsidRoot w:val="00172A27"/>
    <w:rsid w:val="000A715F"/>
    <w:rsid w:val="00172A27"/>
    <w:rsid w:val="002735CC"/>
    <w:rsid w:val="002B2C9E"/>
    <w:rsid w:val="00310ACA"/>
    <w:rsid w:val="004701CB"/>
    <w:rsid w:val="004B2321"/>
    <w:rsid w:val="004E53DE"/>
    <w:rsid w:val="004F63C6"/>
    <w:rsid w:val="005A71BF"/>
    <w:rsid w:val="006302F7"/>
    <w:rsid w:val="006D252C"/>
    <w:rsid w:val="00712953"/>
    <w:rsid w:val="00715F33"/>
    <w:rsid w:val="00813277"/>
    <w:rsid w:val="0082772C"/>
    <w:rsid w:val="00894577"/>
    <w:rsid w:val="009246A2"/>
    <w:rsid w:val="00987F02"/>
    <w:rsid w:val="00B164B2"/>
    <w:rsid w:val="00B23F5C"/>
    <w:rsid w:val="00B25C41"/>
    <w:rsid w:val="00B358CD"/>
    <w:rsid w:val="00C77B48"/>
    <w:rsid w:val="00C86437"/>
    <w:rsid w:val="00CA12E4"/>
    <w:rsid w:val="00D73212"/>
    <w:rsid w:val="00DB07B9"/>
    <w:rsid w:val="00DD6140"/>
    <w:rsid w:val="00E915DB"/>
    <w:rsid w:val="00E97DCF"/>
    <w:rsid w:val="00F53FD5"/>
    <w:rsid w:val="00FA0542"/>
    <w:rsid w:val="00FC262B"/>
    <w:rsid w:val="0CCE5073"/>
    <w:rsid w:val="101F3C57"/>
    <w:rsid w:val="105E064F"/>
    <w:rsid w:val="154B3473"/>
    <w:rsid w:val="15B02F86"/>
    <w:rsid w:val="1BCE59A7"/>
    <w:rsid w:val="1D5E5630"/>
    <w:rsid w:val="1F9C1D8C"/>
    <w:rsid w:val="20BA3D5C"/>
    <w:rsid w:val="20FE29CD"/>
    <w:rsid w:val="213827F6"/>
    <w:rsid w:val="24756501"/>
    <w:rsid w:val="2AF82401"/>
    <w:rsid w:val="31EF3498"/>
    <w:rsid w:val="33457B5A"/>
    <w:rsid w:val="33EA0D37"/>
    <w:rsid w:val="3DFB432B"/>
    <w:rsid w:val="41A60F90"/>
    <w:rsid w:val="41BD1973"/>
    <w:rsid w:val="437042B4"/>
    <w:rsid w:val="43D25C86"/>
    <w:rsid w:val="47FF7E2A"/>
    <w:rsid w:val="4A7E5437"/>
    <w:rsid w:val="4B490F32"/>
    <w:rsid w:val="4B564457"/>
    <w:rsid w:val="4C575977"/>
    <w:rsid w:val="4DF30F3A"/>
    <w:rsid w:val="4E8B7C40"/>
    <w:rsid w:val="4F1637A4"/>
    <w:rsid w:val="500F1BD2"/>
    <w:rsid w:val="51C40746"/>
    <w:rsid w:val="543E6CC0"/>
    <w:rsid w:val="55412274"/>
    <w:rsid w:val="55C03679"/>
    <w:rsid w:val="57C446E9"/>
    <w:rsid w:val="58820FB8"/>
    <w:rsid w:val="5ABA52A9"/>
    <w:rsid w:val="5C8E01AF"/>
    <w:rsid w:val="62BE6D8B"/>
    <w:rsid w:val="64E742EF"/>
    <w:rsid w:val="684B0AD7"/>
    <w:rsid w:val="75073918"/>
    <w:rsid w:val="771A18F7"/>
    <w:rsid w:val="7E991F23"/>
    <w:rsid w:val="7EB5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jc w:val="both"/>
    </w:pPr>
    <w:rPr>
      <w:rFonts w:hint="eastAsia" w:ascii="Times New Roman" w:hAnsi="Times New Roman" w:eastAsia="Times New Roman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100" w:beforeAutospacing="1"/>
      <w:ind w:left="0"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0"/>
    <w:pPr>
      <w:framePr w:wrap="auto" w:vAnchor="text" w:hAnchor="margin" w:xAlign="outside" w:y="1"/>
      <w:tabs>
        <w:tab w:val="center" w:pos="4153"/>
        <w:tab w:val="right" w:pos="8306"/>
      </w:tabs>
      <w:snapToGrid w:val="0"/>
      <w:jc w:val="left"/>
    </w:pPr>
    <w:rPr>
      <w:kern w:val="0"/>
      <w:sz w:val="2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hint="default" w:ascii="Calibri" w:hAnsi="Calibri" w:eastAsia="宋体"/>
      <w:kern w:val="0"/>
      <w:sz w:val="24"/>
    </w:rPr>
  </w:style>
  <w:style w:type="paragraph" w:customStyle="1" w:styleId="9">
    <w:name w:val="列出段落1"/>
    <w:basedOn w:val="1"/>
    <w:unhideWhenUsed/>
    <w:qFormat/>
    <w:uiPriority w:val="34"/>
    <w:pPr>
      <w:ind w:firstLine="420" w:firstLineChars="200"/>
    </w:pPr>
    <w:rPr>
      <w:rFonts w:ascii="仿宋" w:hAnsi="仿宋" w:eastAsia="仿宋"/>
      <w:kern w:val="0"/>
      <w:sz w:val="2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  <w:rPr>
      <w:rFonts w:hint="default" w:ascii="Calibri" w:hAnsi="Calibri"/>
      <w:kern w:val="0"/>
      <w:sz w:val="28"/>
    </w:rPr>
  </w:style>
  <w:style w:type="character" w:customStyle="1" w:styleId="11">
    <w:name w:val="页眉 Char"/>
    <w:basedOn w:val="8"/>
    <w:link w:val="5"/>
    <w:uiPriority w:val="0"/>
    <w:rPr>
      <w:rFonts w:ascii="Times New Roman" w:hAnsi="Times New Roman" w:eastAsia="Times New Roman"/>
      <w:kern w:val="2"/>
      <w:sz w:val="18"/>
      <w:szCs w:val="18"/>
    </w:rPr>
  </w:style>
  <w:style w:type="paragraph" w:customStyle="1" w:styleId="12">
    <w:name w:val="BodyText1I"/>
    <w:basedOn w:val="1"/>
    <w:qFormat/>
    <w:uiPriority w:val="99"/>
    <w:pPr>
      <w:snapToGrid w:val="0"/>
      <w:spacing w:line="360" w:lineRule="auto"/>
      <w:ind w:firstLine="420" w:firstLineChars="100"/>
    </w:pPr>
    <w:rPr>
      <w:rFonts w:hint="default" w:eastAsia="宋体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444444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00F975-67E0-4BA9-A64B-880D62DDEB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2783</Words>
  <Characters>2934</Characters>
  <Lines>21</Lines>
  <Paragraphs>6</Paragraphs>
  <TotalTime>153</TotalTime>
  <ScaleCrop>false</ScaleCrop>
  <LinksUpToDate>false</LinksUpToDate>
  <CharactersWithSpaces>2974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2023-04-22T07:33:00Z</dcterms:created>
  <dc:creator>海之韵</dc:creator>
  <cp:lastModifiedBy>SEND KING黄海英</cp:lastModifiedBy>
  <cp:lastPrinted>2023-09-18T00:54:00Z</cp:lastPrinted>
  <dcterms:modified xsi:type="dcterms:W3CDTF">2024-10-23T02:28:03Z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7EA8E49729D7443691F09F57896FE97B_13</vt:lpwstr>
  </property>
</Properties>
</file>