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auto"/>
          <w:sz w:val="32"/>
          <w:szCs w:val="32"/>
        </w:rPr>
      </w:pPr>
    </w:p>
    <w:p>
      <w:pPr>
        <w:spacing w:line="600" w:lineRule="exact"/>
        <w:rPr>
          <w:rFonts w:hint="eastAsia" w:eastAsia="黑体"/>
          <w:color w:val="auto"/>
          <w:kern w:val="0"/>
          <w:sz w:val="32"/>
          <w:szCs w:val="32"/>
        </w:rPr>
      </w:pPr>
      <w:r>
        <w:rPr>
          <w:rFonts w:eastAsia="黑体"/>
          <w:color w:val="auto"/>
          <w:kern w:val="0"/>
          <w:sz w:val="32"/>
          <w:szCs w:val="32"/>
        </w:rPr>
        <w:t xml:space="preserve"> </w:t>
      </w:r>
    </w:p>
    <w:p>
      <w:pPr>
        <w:jc w:val="center"/>
        <w:rPr>
          <w:rFonts w:eastAsia="方正小标宋_GBK"/>
          <w:color w:val="auto"/>
          <w:sz w:val="48"/>
          <w:szCs w:val="48"/>
        </w:rPr>
      </w:pPr>
      <w:r>
        <w:rPr>
          <w:rFonts w:hint="eastAsia" w:eastAsia="方正小标宋_GBK"/>
          <w:color w:val="auto"/>
          <w:sz w:val="48"/>
          <w:szCs w:val="48"/>
          <w:lang w:val="en-US" w:eastAsia="zh-CN"/>
        </w:rPr>
        <w:t>2023</w:t>
      </w:r>
      <w:r>
        <w:rPr>
          <w:rFonts w:ascii="方正小标宋_GBK" w:hAnsi="方正小标宋_GBK" w:eastAsia="方正小标宋_GBK"/>
          <w:color w:val="auto"/>
          <w:sz w:val="48"/>
          <w:szCs w:val="48"/>
        </w:rPr>
        <w:t>年度</w:t>
      </w:r>
      <w:r>
        <w:rPr>
          <w:rFonts w:hint="eastAsia" w:eastAsia="方正小标宋_GBK"/>
          <w:color w:val="auto"/>
          <w:sz w:val="48"/>
          <w:szCs w:val="48"/>
          <w:lang w:eastAsia="zh-CN"/>
        </w:rPr>
        <w:t>中共双牌县委改革与发展研究中心</w:t>
      </w:r>
      <w:r>
        <w:rPr>
          <w:rFonts w:ascii="方正小标宋_GBK" w:hAnsi="方正小标宋_GBK" w:eastAsia="方正小标宋_GBK"/>
          <w:color w:val="auto"/>
          <w:sz w:val="48"/>
          <w:szCs w:val="48"/>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ascii="Times New Roman" w:hAnsi="Times New Roman" w:eastAsia="仿宋_GB2312" w:cstheme="minorBidi"/>
          <w:sz w:val="32"/>
          <w:szCs w:val="24"/>
          <w:u w:val="single"/>
        </w:rPr>
      </w:pPr>
      <w:r>
        <w:rPr>
          <w:rFonts w:hint="eastAsia" w:ascii="Times New Roman" w:hAnsi="Times New Roman" w:eastAsia="仿宋_GB2312" w:cstheme="minorBidi"/>
          <w:sz w:val="32"/>
          <w:szCs w:val="24"/>
        </w:rPr>
        <w:t>单位名称：</w:t>
      </w:r>
      <w:r>
        <w:rPr>
          <w:rFonts w:hint="eastAsia" w:ascii="Times New Roman" w:hAnsi="Times New Roman" w:eastAsia="仿宋_GB2312" w:cstheme="minorBidi"/>
          <w:sz w:val="32"/>
          <w:szCs w:val="24"/>
          <w:u w:val="single"/>
          <w:lang w:eastAsia="zh-CN"/>
        </w:rPr>
        <w:t>中共双牌县委改革与发展</w:t>
      </w:r>
      <w:r>
        <w:rPr>
          <w:rFonts w:hint="eastAsia" w:ascii="Times New Roman" w:hAnsi="Times New Roman" w:eastAsia="仿宋_GB2312" w:cstheme="minorBidi"/>
          <w:sz w:val="32"/>
          <w:szCs w:val="24"/>
          <w:u w:val="single"/>
          <w:lang w:val="en-US" w:eastAsia="zh-CN"/>
        </w:rPr>
        <w:t>研究中心</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9</w:t>
      </w:r>
      <w:r>
        <w:rPr>
          <w:rFonts w:hint="eastAsia" w:eastAsia="楷体_GB2312"/>
          <w:sz w:val="32"/>
          <w:szCs w:val="24"/>
        </w:rPr>
        <w:t>日</w:t>
      </w:r>
    </w:p>
    <w:p>
      <w:pPr>
        <w:spacing w:beforeLines="0" w:afterLines="0"/>
        <w:jc w:val="center"/>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default" w:eastAsia="仿宋_GB2312"/>
          <w:sz w:val="32"/>
          <w:szCs w:val="24"/>
        </w:rPr>
        <w:br w:type="page"/>
      </w:r>
      <w:r>
        <w:rPr>
          <w:rFonts w:ascii="黑体" w:hAnsi="黑体" w:eastAsia="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中共双牌县委改革与发展研究中心是县委直属正科级公益类事业机构。设办公室、党群研究室、经济研究室3个内设股室，编制数15个，目前有全额事业编制12名。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Times New Roman"/>
          <w:b/>
          <w:bCs/>
          <w:color w:val="auto"/>
          <w:sz w:val="32"/>
          <w:szCs w:val="32"/>
          <w:lang w:val="en-US" w:eastAsia="zh-CN"/>
        </w:rPr>
      </w:pPr>
      <w:r>
        <w:rPr>
          <w:rFonts w:hint="eastAsia" w:ascii="仿宋_GB2312" w:hAnsi="仿宋_GB2312" w:eastAsia="仿宋_GB2312" w:cs="Times New Roman"/>
          <w:b/>
          <w:bCs/>
          <w:color w:val="auto"/>
          <w:sz w:val="32"/>
          <w:szCs w:val="32"/>
          <w:lang w:val="en-US" w:eastAsia="zh-CN"/>
        </w:rPr>
        <w:t>单位主要工作职能：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1.围绕全县国民经济、社会发展、党的建设和改革开放中的全局性、战略性、前瞻性、长期性以及热点、难点问题进行调查研究，为县委县政府提供政策建议和咨询意见。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2.为制定中长期发展规划和区域发展政策提出建议；接受委托参与或组织对有关部门和地区拟定的发展规划进行研究和论证，提出意见和建议。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3.接受委托参与起草改革中长期实施规划、重大改革方案等，组织开展改革重大问题的政策研究和政策咨询工作。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4.接受委托组织和参与县委重大决策预案的先行研究论证工作。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5.对本县有关重大决策方案、重大决策实施情况及决策绩效实施评估，及时对决策情况进行研究反馈。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6.收集整理有关政策规定及反映各地和本地改革发展的各类资料。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7.承担县委领导同志交办的文件文稿起草工作。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8.承办县委交办的其他事项。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（二）部门（单位）年度整体支出绩效目标，项目支出绩效目标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2023年部门整体支出绩效目标的金额为162.66万元，其中，项目支出绩效目标金额22.27万元。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二、一般公共预算支出情况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2023年本部门收入预算171.53万元，其中，一般公共预算拨款167.65万元。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2023年本部门一般公共预算拨款支出预算162.66万元，其中，基本支出140.39万元，占86.31%；</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2023年项目支出</w:t>
      </w:r>
      <w:r>
        <w:rPr>
          <w:rFonts w:hint="eastAsia" w:ascii="仿宋_GB2312" w:hAnsi="仿宋_GB2312" w:eastAsia="仿宋_GB2312" w:cs="Times New Roman"/>
          <w:color w:val="auto"/>
          <w:sz w:val="32"/>
          <w:szCs w:val="32"/>
          <w:lang w:val="en-US" w:eastAsia="zh-CN"/>
        </w:rPr>
        <w:t>22.27</w:t>
      </w:r>
      <w:r>
        <w:rPr>
          <w:rFonts w:hint="eastAsia" w:ascii="仿宋_GB2312" w:hAnsi="仿宋_GB2312" w:eastAsia="仿宋_GB2312" w:cs="Times New Roman"/>
          <w:color w:val="auto"/>
          <w:sz w:val="32"/>
          <w:szCs w:val="32"/>
          <w:lang w:val="en-US" w:eastAsia="zh-CN"/>
        </w:rPr>
        <w:t>万元，占13.69%；是指单位为完成特定行政工作任务或事业发展目标而发生的支出，主要用于课题调研、相关资料打印、商品和服务支出等支出。我单位坚持节约办事，严格控制经费支出。</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三、政府性基金预算支出情况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ascii="黑体" w:hAnsi="黑体" w:eastAsia="黑体" w:cs="Times New Roman"/>
          <w:color w:val="auto"/>
          <w:sz w:val="32"/>
          <w:szCs w:val="32"/>
        </w:rPr>
        <w:t>四、国有资本经营预算支出情况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五、</w:t>
      </w:r>
      <w:r>
        <w:rPr>
          <w:rFonts w:ascii="黑体" w:hAnsi="黑体" w:eastAsia="黑体" w:cs="Times New Roman"/>
          <w:color w:val="auto"/>
          <w:sz w:val="32"/>
          <w:szCs w:val="32"/>
        </w:rPr>
        <w:t>社会保险基金预算支出情况</w:t>
      </w:r>
    </w:p>
    <w:p>
      <w:pPr>
        <w:keepNext w:val="0"/>
        <w:keepLines w:val="0"/>
        <w:widowControl/>
        <w:suppressLineNumbers w:val="0"/>
        <w:ind w:firstLine="640" w:firstLineChars="200"/>
        <w:jc w:val="left"/>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 xml:space="preserve">无 </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bookmarkStart w:id="0" w:name="_GoBack"/>
      <w:r>
        <w:rPr>
          <w:rFonts w:hint="eastAsia" w:ascii="仿宋_GB2312" w:hAnsi="仿宋_GB2312" w:eastAsia="仿宋_GB2312" w:cs="Times New Roman"/>
          <w:color w:val="auto"/>
          <w:sz w:val="32"/>
          <w:szCs w:val="32"/>
          <w:lang w:val="en-US" w:eastAsia="zh-CN"/>
        </w:rPr>
        <w:t>2023</w:t>
      </w:r>
      <w:bookmarkEnd w:id="0"/>
      <w:r>
        <w:rPr>
          <w:rFonts w:hint="eastAsia" w:ascii="仿宋_GB2312" w:hAnsi="仿宋_GB2312" w:eastAsia="仿宋_GB2312" w:cs="Times New Roman"/>
          <w:color w:val="auto"/>
          <w:sz w:val="32"/>
          <w:szCs w:val="32"/>
          <w:lang w:val="en-US" w:eastAsia="zh-CN"/>
        </w:rPr>
        <w:t>年度，本单位较好地完成了整体及项目绩效目标。主要是：1.文稿服务优质输出。全年共起草领导讲话、汇报、总结等各类文稿300余篇、200余万字。2.综合调研成果丰硕。</w:t>
      </w:r>
      <w:r>
        <w:rPr>
          <w:rFonts w:hint="eastAsia" w:ascii="仿宋_GB2312" w:eastAsia="仿宋_GB2312" w:cs="Times New Roman"/>
          <w:color w:val="auto"/>
          <w:kern w:val="2"/>
          <w:sz w:val="32"/>
          <w:szCs w:val="32"/>
          <w:u w:val="none"/>
          <w:lang w:val="en-US" w:eastAsia="zh-CN" w:bidi="ar-SA"/>
        </w:rPr>
        <w:t>全年共开展调研活动30余次，撰写了</w:t>
      </w:r>
      <w:r>
        <w:rPr>
          <w:rFonts w:hint="eastAsia" w:ascii="仿宋_GB2312" w:eastAsia="仿宋_GB2312"/>
          <w:sz w:val="32"/>
          <w:szCs w:val="32"/>
          <w:lang w:eastAsia="zh-CN"/>
        </w:rPr>
        <w:t>《双牌县文化旅游康养调研报告》</w:t>
      </w:r>
      <w:r>
        <w:rPr>
          <w:rFonts w:hint="eastAsia" w:ascii="仿宋_GB2312" w:eastAsia="仿宋_GB2312" w:cs="Times New Roman"/>
          <w:color w:val="auto"/>
          <w:kern w:val="2"/>
          <w:sz w:val="32"/>
          <w:szCs w:val="32"/>
          <w:u w:val="none"/>
          <w:lang w:val="en-US" w:eastAsia="zh-CN" w:bidi="ar-SA"/>
        </w:rPr>
        <w:t>等一批有深度、有价值的调研报告，为领导科学决策提供了重要依据，提出一批有价值、可落地的意见建议并转化为县委决策。</w:t>
      </w:r>
      <w:r>
        <w:rPr>
          <w:rFonts w:hint="eastAsia" w:ascii="仿宋_GB2312" w:hAnsi="仿宋_GB2312" w:eastAsia="仿宋_GB2312" w:cs="Times New Roman"/>
          <w:color w:val="auto"/>
          <w:sz w:val="32"/>
          <w:szCs w:val="32"/>
          <w:lang w:val="en-US" w:eastAsia="zh-CN"/>
        </w:rPr>
        <w:t>3.业务培训务实有效。</w:t>
      </w:r>
      <w:r>
        <w:rPr>
          <w:rFonts w:hint="eastAsia" w:ascii="仿宋_GB2312" w:eastAsia="仿宋_GB2312"/>
          <w:sz w:val="32"/>
          <w:szCs w:val="32"/>
          <w:u w:val="none"/>
        </w:rPr>
        <w:t>举办了高质量、高规格</w:t>
      </w:r>
      <w:r>
        <w:rPr>
          <w:rFonts w:hint="eastAsia" w:ascii="仿宋_GB2312" w:eastAsia="仿宋_GB2312"/>
          <w:sz w:val="32"/>
          <w:szCs w:val="32"/>
          <w:u w:val="none"/>
          <w:lang w:val="en-US" w:eastAsia="zh-CN"/>
        </w:rPr>
        <w:t>的</w:t>
      </w:r>
      <w:r>
        <w:rPr>
          <w:rFonts w:hint="eastAsia" w:ascii="仿宋_GB2312" w:eastAsia="仿宋_GB2312"/>
          <w:sz w:val="32"/>
          <w:szCs w:val="32"/>
          <w:u w:val="none"/>
        </w:rPr>
        <w:t>全县</w:t>
      </w:r>
      <w:r>
        <w:rPr>
          <w:rFonts w:hint="eastAsia" w:ascii="仿宋_GB2312" w:eastAsia="仿宋_GB2312"/>
          <w:sz w:val="32"/>
          <w:szCs w:val="32"/>
          <w:u w:val="none"/>
          <w:lang w:eastAsia="zh-CN"/>
        </w:rPr>
        <w:t>办公室工作业务培训班</w:t>
      </w:r>
      <w:r>
        <w:rPr>
          <w:rFonts w:hint="eastAsia" w:ascii="仿宋_GB2312" w:eastAsia="仿宋_GB2312"/>
          <w:color w:val="auto"/>
          <w:sz w:val="32"/>
          <w:szCs w:val="32"/>
          <w:u w:val="none"/>
          <w:lang w:val="en-US" w:eastAsia="zh-CN"/>
        </w:rPr>
        <w:t>，</w:t>
      </w:r>
      <w:r>
        <w:rPr>
          <w:rFonts w:hint="eastAsia" w:ascii="仿宋_GB2312" w:eastAsia="仿宋_GB2312"/>
          <w:snapToGrid w:val="0"/>
          <w:color w:val="000000"/>
          <w:sz w:val="32"/>
          <w:szCs w:val="32"/>
          <w:lang w:val="en-US" w:eastAsia="zh-CN"/>
        </w:rPr>
        <w:t>围绕</w:t>
      </w:r>
      <w:r>
        <w:rPr>
          <w:rFonts w:hint="eastAsia" w:ascii="仿宋_GB2312" w:hAnsi="仿宋_GB2312" w:eastAsia="仿宋_GB2312" w:cs="仿宋_GB2312"/>
          <w:sz w:val="32"/>
          <w:szCs w:val="32"/>
          <w:lang w:val="en-US" w:eastAsia="zh-CN"/>
        </w:rPr>
        <w:t>文稿写作、文秘值班、机要保密和档案管理等方面</w:t>
      </w:r>
      <w:r>
        <w:rPr>
          <w:rFonts w:hint="default" w:ascii="仿宋_GB2312" w:hAnsi="仿宋_GB2312" w:eastAsia="仿宋_GB2312" w:cs="仿宋_GB2312"/>
          <w:sz w:val="32"/>
          <w:szCs w:val="32"/>
          <w:lang w:val="en-US" w:eastAsia="zh-CN"/>
        </w:rPr>
        <w:t>内容</w:t>
      </w:r>
      <w:r>
        <w:rPr>
          <w:rFonts w:ascii="仿宋_GB2312" w:eastAsia="仿宋_GB2312"/>
          <w:snapToGrid w:val="0"/>
          <w:color w:val="000000"/>
          <w:sz w:val="32"/>
          <w:szCs w:val="32"/>
          <w:lang w:val="en-US" w:eastAsia="zh-CN"/>
        </w:rPr>
        <w:t>对全县</w:t>
      </w:r>
      <w:r>
        <w:rPr>
          <w:rFonts w:hint="eastAsia" w:ascii="仿宋_GB2312" w:eastAsia="仿宋_GB2312"/>
          <w:snapToGrid w:val="0"/>
          <w:color w:val="000000"/>
          <w:sz w:val="32"/>
          <w:szCs w:val="32"/>
          <w:lang w:val="en-US" w:eastAsia="zh-CN"/>
        </w:rPr>
        <w:t>办公室人员</w:t>
      </w:r>
      <w:r>
        <w:rPr>
          <w:rFonts w:ascii="仿宋_GB2312" w:eastAsia="仿宋_GB2312"/>
          <w:snapToGrid w:val="0"/>
          <w:color w:val="000000"/>
          <w:sz w:val="32"/>
          <w:szCs w:val="32"/>
          <w:lang w:val="en-US" w:eastAsia="zh-CN"/>
        </w:rPr>
        <w:t>进行了专题培训，</w:t>
      </w:r>
      <w:r>
        <w:rPr>
          <w:rFonts w:hint="eastAsia" w:ascii="仿宋_GB2312" w:eastAsia="仿宋_GB2312"/>
          <w:sz w:val="32"/>
          <w:szCs w:val="32"/>
          <w:u w:val="none"/>
        </w:rPr>
        <w:t>促进全县党办系统文稿写作核心能力及综合素质不断提升</w:t>
      </w:r>
      <w:r>
        <w:rPr>
          <w:rFonts w:hint="eastAsia" w:ascii="仿宋_GB2312" w:hAnsi="仿宋_GB2312" w:eastAsia="仿宋_GB2312" w:cs="Times New Roman"/>
          <w:color w:val="auto"/>
          <w:sz w:val="32"/>
          <w:szCs w:val="32"/>
          <w:lang w:val="en-US" w:eastAsia="zh-CN"/>
        </w:rPr>
        <w:t>。4.队伍建设不断加强。干部合理有序流动，形成了能进能出的用人机制，保持了干部队伍的旺盛生机和活力。</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2023年，由于我单位相关制度建设还不够完善，</w:t>
      </w:r>
      <w:r>
        <w:rPr>
          <w:rFonts w:hint="eastAsia" w:ascii="仿宋_GB2312" w:eastAsia="仿宋_GB2312"/>
          <w:color w:val="auto"/>
          <w:sz w:val="32"/>
          <w:szCs w:val="32"/>
          <w:u w:val="none"/>
        </w:rPr>
        <w:t>干部管理和决策咨询服务水平有待进一步提高，特别是主动服务、超前服务方面还存在一定差距；抓主责主业有差距，围绕</w:t>
      </w:r>
      <w:r>
        <w:rPr>
          <w:rFonts w:hint="eastAsia" w:ascii="仿宋_GB2312" w:eastAsia="仿宋_GB2312"/>
          <w:color w:val="auto"/>
          <w:sz w:val="32"/>
          <w:szCs w:val="32"/>
          <w:u w:val="none"/>
          <w:lang w:eastAsia="zh-CN"/>
        </w:rPr>
        <w:t>双牌</w:t>
      </w:r>
      <w:r>
        <w:rPr>
          <w:rFonts w:hint="eastAsia" w:ascii="仿宋_GB2312" w:eastAsia="仿宋_GB2312"/>
          <w:color w:val="auto"/>
          <w:sz w:val="32"/>
          <w:szCs w:val="32"/>
          <w:u w:val="none"/>
        </w:rPr>
        <w:t>经济社会跨越发展调查研究的针对性、前瞻性不够，调研的深度、广度有待进一步加强；从事文稿服务和调查研究人员少，有时会顾此失彼，党建和业务融合度不高</w:t>
      </w:r>
      <w:r>
        <w:rPr>
          <w:rFonts w:hint="eastAsia" w:ascii="仿宋_GB2312" w:hAns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ascii="黑体" w:hAnsi="黑体" w:eastAsia="黑体"/>
          <w:color w:val="auto"/>
          <w:sz w:val="32"/>
          <w:szCs w:val="32"/>
        </w:rPr>
        <w:t>、下一步改进措施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（一）健全财务</w:t>
      </w:r>
      <w:r>
        <w:rPr>
          <w:rFonts w:hint="default" w:ascii="楷体_GB2312" w:hAnsi="楷体_GB2312" w:eastAsia="楷体_GB2312" w:cs="Times New Roman"/>
          <w:color w:val="auto"/>
          <w:sz w:val="32"/>
          <w:szCs w:val="32"/>
          <w:lang w:val="en-US" w:eastAsia="zh-CN"/>
        </w:rPr>
        <w:t>管理制度及</w:t>
      </w:r>
      <w:r>
        <w:rPr>
          <w:rFonts w:hint="eastAsia" w:ascii="楷体_GB2312" w:hAnsi="楷体_GB2312" w:eastAsia="楷体_GB2312" w:cs="Times New Roman"/>
          <w:color w:val="auto"/>
          <w:sz w:val="32"/>
          <w:szCs w:val="32"/>
          <w:lang w:val="en-US" w:eastAsia="zh-CN"/>
        </w:rPr>
        <w:t>内部控制制度，加大对年初预算的审核。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（二）持续加强财务人员培训与继续教育。提高财务人员的预决算编制与数据分析能力。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（三）遵循“以公开为常态、不公开为例外”的原则，全面推进财务公开。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ascii="黑体" w:hAnsi="黑体" w:eastAsia="黑体"/>
          <w:color w:val="auto"/>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val="en-US" w:eastAsia="zh-CN"/>
        </w:rPr>
        <w:t>严格按照县财政局要求公开2023年度绩效自评报告。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十、其他需要说明的情况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无。</w:t>
      </w:r>
    </w:p>
    <w:p>
      <w:pPr>
        <w:spacing w:line="560" w:lineRule="exact"/>
        <w:rPr>
          <w:rFonts w:ascii="黑体" w:hAnsi="黑体" w:eastAsia="黑体" w:cs="宋体"/>
          <w:color w:val="auto"/>
          <w:kern w:val="0"/>
          <w:sz w:val="32"/>
          <w:szCs w:val="32"/>
        </w:rPr>
      </w:pPr>
      <w:r>
        <w:rPr>
          <w:rFonts w:hint="eastAsia" w:ascii="黑体" w:hAnsi="黑体" w:eastAsia="黑体" w:cs="宋体"/>
          <w:color w:val="auto"/>
          <w:kern w:val="0"/>
          <w:sz w:val="32"/>
          <w:szCs w:val="32"/>
        </w:rPr>
        <w:t>附件1</w:t>
      </w:r>
      <w:r>
        <w:rPr>
          <w:rFonts w:hint="eastAsia" w:ascii="黑体" w:hAnsi="黑体" w:eastAsia="黑体" w:cs="宋体"/>
          <w:color w:val="auto"/>
          <w:kern w:val="0"/>
          <w:sz w:val="32"/>
          <w:szCs w:val="32"/>
        </w:rPr>
        <w:tab/>
      </w:r>
      <w:r>
        <w:rPr>
          <w:rFonts w:hint="eastAsia" w:ascii="黑体" w:hAnsi="黑体" w:eastAsia="黑体" w:cs="宋体"/>
          <w:color w:val="auto"/>
          <w:kern w:val="0"/>
          <w:sz w:val="32"/>
          <w:szCs w:val="32"/>
        </w:rPr>
        <w:tab/>
      </w:r>
    </w:p>
    <w:p>
      <w:pPr>
        <w:spacing w:line="560" w:lineRule="exact"/>
        <w:jc w:val="center"/>
        <w:rPr>
          <w:rFonts w:hint="eastAsia" w:eastAsia="方正小标宋_GBK"/>
          <w:color w:val="auto"/>
          <w:kern w:val="0"/>
          <w:sz w:val="36"/>
          <w:szCs w:val="36"/>
        </w:rPr>
      </w:pPr>
      <w:r>
        <w:rPr>
          <w:rFonts w:ascii="方正小标宋_GBK" w:hAnsi="方正小标宋_GBK" w:eastAsia="方正小标宋_GBK"/>
          <w:color w:val="auto"/>
          <w:kern w:val="0"/>
          <w:sz w:val="36"/>
          <w:szCs w:val="36"/>
        </w:rPr>
        <w:t>部门整体支出绩效评价基础数据表</w:t>
      </w:r>
    </w:p>
    <w:p>
      <w:pPr>
        <w:widowControl/>
        <w:ind w:left="91"/>
        <w:jc w:val="center"/>
        <w:rPr>
          <w:rFonts w:eastAsia="仿宋_GB2312"/>
          <w:color w:val="auto"/>
          <w:kern w:val="0"/>
          <w:sz w:val="24"/>
          <w:szCs w:val="24"/>
        </w:rPr>
      </w:pPr>
      <w:r>
        <w:rPr>
          <w:rFonts w:eastAsia="仿宋_GB2312"/>
          <w:color w:val="auto"/>
          <w:kern w:val="0"/>
          <w:sz w:val="24"/>
          <w:szCs w:val="24"/>
        </w:rPr>
        <w:tab/>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rPr>
            </w:pPr>
            <w:r>
              <w:rPr>
                <w:rFonts w:hint="eastAsia" w:eastAsia="仿宋_GB2312"/>
                <w:color w:val="auto"/>
                <w:kern w:val="0"/>
                <w:lang w:val="en-US" w:eastAsia="zh-CN"/>
              </w:rPr>
              <w:t>12</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rFonts w:hint="eastAsia" w:eastAsia="仿宋_GB2312"/>
                <w:b/>
                <w:bCs/>
                <w:color w:val="auto"/>
                <w:kern w:val="0"/>
                <w:lang w:val="en-US" w:eastAsia="zh-CN"/>
              </w:rPr>
              <w:t>22</w:t>
            </w:r>
            <w:r>
              <w:rPr>
                <w:rFonts w:eastAsia="仿宋_GB2312"/>
                <w:b/>
                <w:bCs/>
                <w:color w:val="auto"/>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0.98</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0.98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1</w:t>
            </w:r>
            <w:r>
              <w:rPr>
                <w:rFonts w:ascii="仿宋_GB2312" w:hAnsi="仿宋_GB2312" w:eastAsia="仿宋_GB2312"/>
                <w:color w:val="auto"/>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2</w:t>
            </w:r>
            <w:r>
              <w:rPr>
                <w:rFonts w:ascii="仿宋_GB2312" w:hAnsi="仿宋_GB2312" w:eastAsia="仿宋_GB2312"/>
                <w:color w:val="auto"/>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3</w:t>
            </w:r>
            <w:r>
              <w:rPr>
                <w:rFonts w:ascii="仿宋_GB2312" w:hAnsi="仿宋_GB2312" w:eastAsia="仿宋_GB2312"/>
                <w:color w:val="auto"/>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0.98</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0.98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95</w:t>
            </w: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1</w:t>
            </w:r>
            <w:r>
              <w:rPr>
                <w:rFonts w:ascii="仿宋_GB2312" w:hAnsi="仿宋_GB2312" w:eastAsia="仿宋_GB2312"/>
                <w:color w:val="auto"/>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24</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2</w:t>
            </w:r>
            <w:r>
              <w:rPr>
                <w:rFonts w:ascii="仿宋_GB2312" w:hAnsi="仿宋_GB2312" w:eastAsia="仿宋_GB2312"/>
                <w:color w:val="auto"/>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color w:val="auto"/>
                <w:kern w:val="0"/>
              </w:rPr>
            </w:pPr>
            <w:r>
              <w:rPr>
                <w:rFonts w:eastAsia="仿宋_GB2312"/>
                <w:color w:val="auto"/>
                <w:kern w:val="0"/>
              </w:rPr>
              <w:t>3</w:t>
            </w:r>
            <w:r>
              <w:rPr>
                <w:rFonts w:ascii="仿宋_GB2312" w:hAnsi="仿宋_GB2312" w:eastAsia="仿宋_GB2312"/>
                <w:color w:val="auto"/>
                <w:kern w:val="0"/>
              </w:rPr>
              <w:t>、</w:t>
            </w:r>
            <w:r>
              <w:rPr>
                <w:rFonts w:ascii="仿宋_GB2312" w:hAnsi="仿宋_GB2312"/>
                <w:color w:val="auto"/>
                <w:kern w:val="0"/>
              </w:rPr>
              <w:t>本</w:t>
            </w:r>
            <w:r>
              <w:rPr>
                <w:rFonts w:eastAsia="仿宋_GB2312"/>
                <w:color w:val="auto"/>
                <w:kern w:val="0"/>
              </w:rPr>
              <w:t>级专项资金</w:t>
            </w:r>
          </w:p>
          <w:p>
            <w:pPr>
              <w:widowControl/>
              <w:ind w:firstLine="630" w:firstLineChars="300"/>
              <w:jc w:val="left"/>
              <w:rPr>
                <w:rFonts w:eastAsia="仿宋_GB2312"/>
                <w:color w:val="auto"/>
                <w:kern w:val="0"/>
              </w:rPr>
            </w:pPr>
            <w:r>
              <w:rPr>
                <w:rFonts w:eastAsia="仿宋_GB2312"/>
                <w:color w:val="auto"/>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color w:val="auto"/>
                <w:kern w:val="0"/>
              </w:rPr>
            </w:pPr>
            <w:r>
              <w:rPr>
                <w:rFonts w:eastAsia="仿宋_GB2312"/>
                <w:color w:val="auto"/>
                <w:kern w:val="0"/>
              </w:rPr>
              <w:t>4</w:t>
            </w:r>
            <w:r>
              <w:rPr>
                <w:rFonts w:ascii="仿宋_GB2312" w:hAnsi="仿宋_GB2312" w:eastAsia="仿宋_GB2312"/>
                <w:color w:val="auto"/>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7</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10.92</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4.38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3.58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8.65</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lang w:eastAsia="zh-CN"/>
              </w:rPr>
            </w:pPr>
            <w:r>
              <w:rPr>
                <w:rFonts w:eastAsia="仿宋_GB2312"/>
                <w:color w:val="auto"/>
                <w:kern w:val="0"/>
              </w:rPr>
              <w:t>楼堂馆所控制情况</w:t>
            </w:r>
          </w:p>
          <w:p>
            <w:pPr>
              <w:widowControl/>
              <w:jc w:val="center"/>
              <w:rPr>
                <w:rFonts w:eastAsia="仿宋_GB2312"/>
                <w:color w:val="auto"/>
                <w:kern w:val="0"/>
              </w:rPr>
            </w:pPr>
            <w:r>
              <w:rPr>
                <w:rFonts w:eastAsia="仿宋_GB2312"/>
                <w:color w:val="auto"/>
                <w:kern w:val="0"/>
              </w:rPr>
              <w:t>（20</w:t>
            </w:r>
            <w:r>
              <w:rPr>
                <w:color w:val="auto"/>
                <w:kern w:val="0"/>
              </w:rPr>
              <w:t>2</w:t>
            </w:r>
            <w:r>
              <w:rPr>
                <w:rFonts w:hint="eastAsia"/>
                <w:color w:val="auto"/>
                <w:kern w:val="0"/>
                <w:lang w:val="en-US" w:eastAsia="zh-CN"/>
              </w:rPr>
              <w:t>1</w:t>
            </w:r>
            <w:r>
              <w:rPr>
                <w:rFonts w:eastAsia="仿宋_GB2312"/>
                <w:color w:val="auto"/>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color w:val="auto"/>
                <w:kern w:val="0"/>
                <w:lang w:eastAsia="zh-CN"/>
              </w:rPr>
            </w:pPr>
            <w:r>
              <w:rPr>
                <w:rFonts w:eastAsia="仿宋_GB2312"/>
                <w:bCs/>
                <w:color w:val="auto"/>
                <w:kern w:val="0"/>
              </w:rPr>
              <w:t>批复规模</w:t>
            </w:r>
          </w:p>
          <w:p>
            <w:pPr>
              <w:widowControl/>
              <w:spacing w:line="240" w:lineRule="exact"/>
              <w:jc w:val="center"/>
              <w:rPr>
                <w:rFonts w:eastAsia="仿宋_GB2312"/>
                <w:bCs/>
                <w:color w:val="auto"/>
                <w:kern w:val="0"/>
              </w:rPr>
            </w:pPr>
            <w:r>
              <w:rPr>
                <w:rFonts w:eastAsia="仿宋_GB2312"/>
                <w:bCs/>
                <w:color w:val="auto"/>
                <w:kern w:val="0"/>
              </w:rPr>
              <w:t>（</w:t>
            </w:r>
            <w:r>
              <w:rPr>
                <w:rFonts w:eastAsia="Batang"/>
                <w:bCs/>
                <w:color w:val="auto"/>
                <w:kern w:val="0"/>
              </w:rPr>
              <w:t>㎡</w:t>
            </w:r>
            <w:r>
              <w:rPr>
                <w:rFonts w:eastAsia="仿宋_GB2312"/>
                <w:bCs/>
                <w:color w:val="auto"/>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实际规模（</w:t>
            </w:r>
            <w:r>
              <w:rPr>
                <w:rFonts w:eastAsia="Batang"/>
                <w:bCs/>
                <w:color w:val="auto"/>
                <w:kern w:val="0"/>
              </w:rPr>
              <w:t>㎡</w:t>
            </w:r>
            <w:r>
              <w:rPr>
                <w:rFonts w:eastAsia="仿宋_GB2312"/>
                <w:bCs/>
                <w:color w:val="auto"/>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eastAsia="仿宋_GB2312"/>
                <w:color w:val="auto"/>
                <w:kern w:val="0"/>
              </w:rPr>
            </w:pPr>
            <w:r>
              <w:rPr>
                <w:rFonts w:hint="eastAsia" w:eastAsia="仿宋_GB2312"/>
                <w:color w:val="auto"/>
                <w:kern w:val="0"/>
                <w:lang w:val="en-US" w:eastAsia="zh-CN"/>
              </w:rPr>
              <w:t>1、</w:t>
            </w:r>
            <w:r>
              <w:rPr>
                <w:rFonts w:eastAsia="仿宋_GB2312"/>
                <w:color w:val="auto"/>
                <w:kern w:val="0"/>
                <w:lang w:val="en-US" w:eastAsia="zh-CN"/>
              </w:rPr>
              <w:t>严格预算执行和预算管理，严格控制人员编制和“三公经费”使用，规范管理经费使用</w:t>
            </w:r>
            <w:r>
              <w:rPr>
                <w:rFonts w:hint="eastAsia" w:eastAsia="仿宋_GB2312"/>
                <w:color w:val="auto"/>
                <w:kern w:val="0"/>
                <w:lang w:val="en-US" w:eastAsia="zh-CN"/>
              </w:rPr>
              <w:t>，</w:t>
            </w:r>
            <w:r>
              <w:rPr>
                <w:rFonts w:eastAsia="仿宋_GB2312"/>
                <w:color w:val="auto"/>
                <w:kern w:val="0"/>
                <w:lang w:val="en-US" w:eastAsia="zh-CN"/>
              </w:rPr>
              <w:t>确保各项支出符合规定。</w:t>
            </w:r>
          </w:p>
          <w:p>
            <w:pPr>
              <w:widowControl/>
              <w:spacing w:line="240" w:lineRule="auto"/>
              <w:jc w:val="left"/>
              <w:rPr>
                <w:rFonts w:eastAsia="仿宋_GB2312"/>
                <w:color w:val="auto"/>
                <w:kern w:val="0"/>
              </w:rPr>
            </w:pPr>
            <w:r>
              <w:rPr>
                <w:rFonts w:hint="eastAsia" w:eastAsia="仿宋_GB2312"/>
                <w:color w:val="auto"/>
                <w:kern w:val="0"/>
                <w:lang w:val="en-US" w:eastAsia="zh-CN"/>
              </w:rPr>
              <w:t>2、</w:t>
            </w:r>
            <w:r>
              <w:rPr>
                <w:rFonts w:hint="eastAsia" w:eastAsia="仿宋_GB2312"/>
                <w:color w:val="auto"/>
                <w:kern w:val="0"/>
                <w:lang w:eastAsia="zh-CN"/>
              </w:rPr>
              <w:t>健全完善推行行为节约、绿色办公的举措，推进无纸化办公。</w:t>
            </w:r>
          </w:p>
        </w:tc>
      </w:tr>
    </w:tbl>
    <w:p>
      <w:pPr>
        <w:spacing w:line="360" w:lineRule="exact"/>
        <w:rPr>
          <w:rFonts w:ascii="仿宋_GB2312" w:hAnsi="仿宋_GB2312" w:eastAsia="仿宋_GB2312"/>
          <w:color w:val="auto"/>
          <w:kern w:val="0"/>
          <w:sz w:val="22"/>
          <w:szCs w:val="22"/>
        </w:rPr>
      </w:pPr>
      <w:r>
        <w:rPr>
          <w:rFonts w:ascii="仿宋_GB2312" w:hAnsi="仿宋_GB2312" w:eastAsia="仿宋_GB2312"/>
          <w:color w:val="auto"/>
          <w:kern w:val="0"/>
          <w:sz w:val="22"/>
          <w:szCs w:val="22"/>
        </w:rPr>
        <w:t>说明：</w:t>
      </w:r>
      <w:r>
        <w:rPr>
          <w:rFonts w:eastAsia="仿宋_GB2312"/>
          <w:color w:val="auto"/>
          <w:kern w:val="0"/>
          <w:sz w:val="22"/>
          <w:szCs w:val="22"/>
        </w:rPr>
        <w:t>“</w:t>
      </w:r>
      <w:r>
        <w:rPr>
          <w:rFonts w:ascii="仿宋_GB2312" w:hAnsi="仿宋_GB2312" w:eastAsia="仿宋_GB2312"/>
          <w:color w:val="auto"/>
          <w:kern w:val="0"/>
          <w:sz w:val="22"/>
          <w:szCs w:val="22"/>
        </w:rPr>
        <w:t>项目支出</w:t>
      </w:r>
      <w:r>
        <w:rPr>
          <w:rFonts w:eastAsia="仿宋_GB2312"/>
          <w:color w:val="auto"/>
          <w:kern w:val="0"/>
          <w:sz w:val="22"/>
          <w:szCs w:val="22"/>
        </w:rPr>
        <w:t>”</w:t>
      </w:r>
      <w:r>
        <w:rPr>
          <w:rFonts w:ascii="仿宋_GB2312" w:hAnsi="仿宋_GB2312" w:eastAsia="仿宋_GB2312"/>
          <w:color w:val="auto"/>
          <w:kern w:val="0"/>
          <w:sz w:val="22"/>
          <w:szCs w:val="22"/>
        </w:rPr>
        <w:t>需要填报基本支出以外的所有项目支出情况，</w:t>
      </w:r>
      <w:r>
        <w:rPr>
          <w:rFonts w:eastAsia="仿宋_GB2312"/>
          <w:color w:val="auto"/>
          <w:kern w:val="0"/>
          <w:sz w:val="22"/>
          <w:szCs w:val="22"/>
        </w:rPr>
        <w:t>“</w:t>
      </w:r>
      <w:r>
        <w:rPr>
          <w:rFonts w:ascii="仿宋_GB2312" w:hAnsi="仿宋_GB2312" w:eastAsia="仿宋_GB2312"/>
          <w:color w:val="auto"/>
          <w:kern w:val="0"/>
          <w:sz w:val="22"/>
          <w:szCs w:val="22"/>
        </w:rPr>
        <w:t>公用经费</w:t>
      </w:r>
      <w:r>
        <w:rPr>
          <w:rFonts w:eastAsia="仿宋_GB2312"/>
          <w:color w:val="auto"/>
          <w:kern w:val="0"/>
          <w:sz w:val="22"/>
          <w:szCs w:val="22"/>
        </w:rPr>
        <w:t>”</w:t>
      </w:r>
      <w:r>
        <w:rPr>
          <w:rFonts w:ascii="仿宋_GB2312" w:hAnsi="仿宋_GB2312" w:eastAsia="仿宋_GB2312"/>
          <w:color w:val="auto"/>
          <w:kern w:val="0"/>
          <w:sz w:val="22"/>
          <w:szCs w:val="22"/>
        </w:rPr>
        <w:t>填报基本支出中的一般商品和服务支出。</w:t>
      </w: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2024.03.10</w:t>
      </w:r>
      <w:r>
        <w:rPr>
          <w:rFonts w:hint="default"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p>
    <w:p>
      <w:pPr>
        <w:spacing w:line="560" w:lineRule="exac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widowControl/>
        <w:jc w:val="center"/>
        <w:rPr>
          <w:rFonts w:hint="eastAsia" w:eastAsia="方正小标宋_GBK"/>
          <w:color w:val="auto"/>
          <w:kern w:val="0"/>
          <w:sz w:val="36"/>
          <w:szCs w:val="36"/>
        </w:rPr>
      </w:pPr>
      <w:r>
        <w:rPr>
          <w:rFonts w:ascii="方正小标宋_GBK" w:hAnsi="方正小标宋_GBK" w:eastAsia="方正小标宋_GBK"/>
          <w:color w:val="auto"/>
          <w:kern w:val="0"/>
          <w:sz w:val="36"/>
          <w:szCs w:val="36"/>
        </w:rPr>
        <w:t>部门整体支出绩效自评表</w:t>
      </w:r>
    </w:p>
    <w:p>
      <w:pPr>
        <w:widowControl/>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26"/>
        <w:gridCol w:w="1695"/>
        <w:gridCol w:w="1163"/>
        <w:gridCol w:w="787"/>
        <w:gridCol w:w="573"/>
        <w:gridCol w:w="522"/>
        <w:gridCol w:w="839"/>
        <w:gridCol w:w="211"/>
        <w:gridCol w:w="659"/>
        <w:gridCol w:w="197"/>
        <w:gridCol w:w="553"/>
        <w:gridCol w:w="41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5" w:type="dxa"/>
            <w:tcBorders>
              <w:tl2br w:val="nil"/>
              <w:tr2bl w:val="nil"/>
            </w:tcBorders>
            <w:noWrap w:val="0"/>
            <w:vAlign w:val="center"/>
          </w:tcPr>
          <w:p>
            <w:pPr>
              <w:widowControl/>
              <w:jc w:val="left"/>
              <w:rPr>
                <w:rFonts w:eastAsia="仿宋_GB2312"/>
                <w:color w:val="auto"/>
                <w:kern w:val="0"/>
              </w:rPr>
            </w:pPr>
            <w:r>
              <w:rPr>
                <w:rFonts w:eastAsia="仿宋_GB2312"/>
                <w:color w:val="auto"/>
                <w:kern w:val="0"/>
              </w:rPr>
              <w:t>省级预算部门名称</w:t>
            </w:r>
          </w:p>
        </w:tc>
        <w:tc>
          <w:tcPr>
            <w:tcW w:w="10107" w:type="dxa"/>
            <w:gridSpan w:val="13"/>
            <w:tcBorders>
              <w:tl2br w:val="nil"/>
              <w:tr2bl w:val="nil"/>
            </w:tcBorders>
            <w:noWrap w:val="0"/>
            <w:vAlign w:val="center"/>
          </w:tcPr>
          <w:p>
            <w:pPr>
              <w:widowControl/>
              <w:jc w:val="center"/>
              <w:rPr>
                <w:rFonts w:eastAsia="仿宋_GB2312"/>
                <w:color w:val="auto"/>
                <w:kern w:val="0"/>
              </w:rPr>
            </w:pPr>
            <w:r>
              <w:rPr>
                <w:rFonts w:hint="eastAsia" w:ascii="仿宋_GB2312" w:hAnsi="仿宋_GB2312"/>
                <w:color w:val="auto"/>
                <w:kern w:val="0"/>
                <w:lang w:eastAsia="zh-CN"/>
              </w:rPr>
              <w:t>中共双牌县委改革与发展</w:t>
            </w:r>
            <w:r>
              <w:rPr>
                <w:rFonts w:hint="eastAsia" w:ascii="仿宋_GB2312" w:hAnsi="仿宋_GB2312"/>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年度预</w:t>
            </w:r>
          </w:p>
          <w:p>
            <w:pPr>
              <w:widowControl/>
              <w:jc w:val="center"/>
              <w:rPr>
                <w:rFonts w:hint="eastAsia" w:eastAsia="仿宋_GB2312"/>
                <w:color w:val="auto"/>
                <w:kern w:val="0"/>
                <w:lang w:eastAsia="zh-CN"/>
              </w:rPr>
            </w:pPr>
            <w:r>
              <w:rPr>
                <w:rFonts w:eastAsia="仿宋_GB2312"/>
                <w:color w:val="auto"/>
                <w:kern w:val="0"/>
              </w:rPr>
              <w:t>算申请</w:t>
            </w:r>
          </w:p>
          <w:p>
            <w:pPr>
              <w:widowControl/>
              <w:jc w:val="center"/>
              <w:rPr>
                <w:rFonts w:eastAsia="仿宋_GB2312"/>
                <w:color w:val="auto"/>
                <w:kern w:val="0"/>
              </w:rPr>
            </w:pPr>
            <w:r>
              <w:rPr>
                <w:rFonts w:eastAsia="仿宋_GB2312"/>
                <w:color w:val="auto"/>
                <w:kern w:val="0"/>
              </w:rPr>
              <w:t>（万元）</w:t>
            </w:r>
          </w:p>
        </w:tc>
        <w:tc>
          <w:tcPr>
            <w:tcW w:w="3021" w:type="dxa"/>
            <w:gridSpan w:val="2"/>
            <w:tcBorders>
              <w:tl2br w:val="nil"/>
              <w:tr2bl w:val="nil"/>
            </w:tcBorders>
            <w:noWrap w:val="0"/>
            <w:vAlign w:val="center"/>
          </w:tcPr>
          <w:p>
            <w:pPr>
              <w:jc w:val="center"/>
              <w:rPr>
                <w:rFonts w:eastAsia="仿宋_GB2312"/>
                <w:color w:val="auto"/>
              </w:rPr>
            </w:pPr>
          </w:p>
        </w:tc>
        <w:tc>
          <w:tcPr>
            <w:tcW w:w="1163" w:type="dxa"/>
            <w:tcBorders>
              <w:tl2br w:val="nil"/>
              <w:tr2bl w:val="nil"/>
            </w:tcBorders>
            <w:noWrap w:val="0"/>
            <w:vAlign w:val="center"/>
          </w:tcPr>
          <w:p>
            <w:pPr>
              <w:jc w:val="center"/>
              <w:rPr>
                <w:rFonts w:eastAsia="仿宋_GB2312"/>
                <w:color w:val="auto"/>
              </w:rPr>
            </w:pPr>
            <w:r>
              <w:rPr>
                <w:rFonts w:eastAsia="仿宋_GB2312"/>
                <w:color w:val="auto"/>
              </w:rPr>
              <w:t>年初预算数</w:t>
            </w:r>
          </w:p>
        </w:tc>
        <w:tc>
          <w:tcPr>
            <w:tcW w:w="1360" w:type="dxa"/>
            <w:gridSpan w:val="2"/>
            <w:tcBorders>
              <w:tl2br w:val="nil"/>
              <w:tr2bl w:val="nil"/>
            </w:tcBorders>
            <w:noWrap w:val="0"/>
            <w:vAlign w:val="center"/>
          </w:tcPr>
          <w:p>
            <w:pPr>
              <w:jc w:val="center"/>
              <w:rPr>
                <w:rFonts w:eastAsia="仿宋_GB2312"/>
                <w:color w:val="auto"/>
              </w:rPr>
            </w:pPr>
            <w:r>
              <w:rPr>
                <w:rFonts w:eastAsia="仿宋_GB2312"/>
                <w:color w:val="auto"/>
              </w:rPr>
              <w:t>全年预算数</w:t>
            </w:r>
          </w:p>
        </w:tc>
        <w:tc>
          <w:tcPr>
            <w:tcW w:w="1361" w:type="dxa"/>
            <w:gridSpan w:val="2"/>
            <w:tcBorders>
              <w:tl2br w:val="nil"/>
              <w:tr2bl w:val="nil"/>
            </w:tcBorders>
            <w:noWrap w:val="0"/>
            <w:vAlign w:val="center"/>
          </w:tcPr>
          <w:p>
            <w:pPr>
              <w:jc w:val="center"/>
              <w:rPr>
                <w:rFonts w:eastAsia="仿宋_GB2312"/>
                <w:color w:val="auto"/>
              </w:rPr>
            </w:pPr>
            <w:r>
              <w:rPr>
                <w:rFonts w:eastAsia="仿宋_GB2312"/>
                <w:color w:val="auto"/>
              </w:rPr>
              <w:t>全年执行数</w:t>
            </w:r>
          </w:p>
        </w:tc>
        <w:tc>
          <w:tcPr>
            <w:tcW w:w="1067" w:type="dxa"/>
            <w:gridSpan w:val="3"/>
            <w:tcBorders>
              <w:tl2br w:val="nil"/>
              <w:tr2bl w:val="nil"/>
            </w:tcBorders>
            <w:noWrap w:val="0"/>
            <w:vAlign w:val="center"/>
          </w:tcPr>
          <w:p>
            <w:pPr>
              <w:jc w:val="center"/>
              <w:rPr>
                <w:rFonts w:eastAsia="仿宋_GB2312"/>
                <w:color w:val="auto"/>
              </w:rPr>
            </w:pPr>
            <w:r>
              <w:rPr>
                <w:rFonts w:eastAsia="仿宋_GB2312"/>
                <w:color w:val="auto"/>
              </w:rPr>
              <w:t>分值</w:t>
            </w:r>
          </w:p>
        </w:tc>
        <w:tc>
          <w:tcPr>
            <w:tcW w:w="967" w:type="dxa"/>
            <w:gridSpan w:val="2"/>
            <w:tcBorders>
              <w:tl2br w:val="nil"/>
              <w:tr2bl w:val="nil"/>
            </w:tcBorders>
            <w:noWrap w:val="0"/>
            <w:vAlign w:val="center"/>
          </w:tcPr>
          <w:p>
            <w:pPr>
              <w:jc w:val="center"/>
              <w:rPr>
                <w:rFonts w:eastAsia="仿宋_GB2312"/>
                <w:color w:val="auto"/>
              </w:rPr>
            </w:pPr>
            <w:r>
              <w:rPr>
                <w:rFonts w:eastAsia="仿宋_GB2312"/>
                <w:color w:val="auto"/>
              </w:rPr>
              <w:t>执行率</w:t>
            </w:r>
          </w:p>
        </w:tc>
        <w:tc>
          <w:tcPr>
            <w:tcW w:w="1168" w:type="dxa"/>
            <w:tcBorders>
              <w:tl2br w:val="nil"/>
              <w:tr2bl w:val="nil"/>
            </w:tcBorders>
            <w:noWrap w:val="0"/>
            <w:vAlign w:val="center"/>
          </w:tcPr>
          <w:p>
            <w:pPr>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3021" w:type="dxa"/>
            <w:gridSpan w:val="2"/>
            <w:tcBorders>
              <w:tl2br w:val="nil"/>
              <w:tr2bl w:val="nil"/>
            </w:tcBorders>
            <w:noWrap w:val="0"/>
            <w:vAlign w:val="center"/>
          </w:tcPr>
          <w:p>
            <w:pPr>
              <w:jc w:val="center"/>
              <w:rPr>
                <w:rFonts w:eastAsia="仿宋_GB2312"/>
                <w:color w:val="auto"/>
              </w:rPr>
            </w:pPr>
            <w:r>
              <w:rPr>
                <w:rFonts w:eastAsia="仿宋_GB2312"/>
                <w:color w:val="auto"/>
                <w:kern w:val="0"/>
              </w:rPr>
              <w:t>年度资金总额</w:t>
            </w:r>
          </w:p>
        </w:tc>
        <w:tc>
          <w:tcPr>
            <w:tcW w:w="1163" w:type="dxa"/>
            <w:tcBorders>
              <w:tl2br w:val="nil"/>
              <w:tr2bl w:val="nil"/>
            </w:tcBorders>
            <w:noWrap w:val="0"/>
            <w:vAlign w:val="center"/>
          </w:tcPr>
          <w:p>
            <w:pPr>
              <w:keepNext w:val="0"/>
              <w:keepLines w:val="0"/>
              <w:widowControl/>
              <w:suppressLineNumbers w:val="0"/>
              <w:jc w:val="center"/>
              <w:textAlignment w:val="center"/>
              <w:rPr>
                <w:rFonts w:eastAsia="仿宋_GB2312"/>
                <w:color w:val="auto"/>
              </w:rPr>
            </w:pPr>
            <w:r>
              <w:rPr>
                <w:rFonts w:hint="default" w:ascii="Times New Roman" w:hAnsi="Times New Roman" w:eastAsia="宋体" w:cs="Times New Roman"/>
                <w:i w:val="0"/>
                <w:iCs w:val="0"/>
                <w:color w:val="000000"/>
                <w:kern w:val="0"/>
                <w:sz w:val="20"/>
                <w:szCs w:val="20"/>
                <w:u w:val="none"/>
                <w:lang w:val="en-US" w:eastAsia="zh-CN" w:bidi="ar"/>
              </w:rPr>
              <w:t>141.67</w:t>
            </w:r>
          </w:p>
        </w:tc>
        <w:tc>
          <w:tcPr>
            <w:tcW w:w="1360"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171.53</w:t>
            </w:r>
          </w:p>
        </w:tc>
        <w:tc>
          <w:tcPr>
            <w:tcW w:w="1361" w:type="dxa"/>
            <w:gridSpan w:val="2"/>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kern w:val="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162.66</w:t>
            </w:r>
          </w:p>
        </w:tc>
        <w:tc>
          <w:tcPr>
            <w:tcW w:w="1067" w:type="dxa"/>
            <w:gridSpan w:val="3"/>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67" w:type="dxa"/>
            <w:gridSpan w:val="2"/>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94.00%</w:t>
            </w:r>
          </w:p>
        </w:tc>
        <w:tc>
          <w:tcPr>
            <w:tcW w:w="1168" w:type="dxa"/>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按收入性质分：</w:t>
            </w:r>
            <w:r>
              <w:rPr>
                <w:rFonts w:hint="default" w:ascii="Times New Roman" w:hAnsi="Times New Roman" w:eastAsia="宋体" w:cs="Times New Roman"/>
                <w:i w:val="0"/>
                <w:iCs w:val="0"/>
                <w:color w:val="000000"/>
                <w:kern w:val="0"/>
                <w:sz w:val="20"/>
                <w:szCs w:val="20"/>
                <w:u w:val="none"/>
                <w:lang w:val="en-US" w:eastAsia="zh-CN" w:bidi="ar"/>
              </w:rPr>
              <w:t>171.53</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r>
              <w:rPr>
                <w:rFonts w:eastAsia="仿宋_GB2312"/>
                <w:color w:val="auto"/>
                <w:kern w:val="0"/>
              </w:rPr>
              <w:t>按支出性质分：</w:t>
            </w:r>
            <w:r>
              <w:rPr>
                <w:rFonts w:hint="default" w:ascii="Times New Roman" w:hAnsi="Times New Roman" w:eastAsia="宋体" w:cs="Times New Roman"/>
                <w:i w:val="0"/>
                <w:iCs w:val="0"/>
                <w:color w:val="000000"/>
                <w:kern w:val="0"/>
                <w:sz w:val="20"/>
                <w:szCs w:val="20"/>
                <w:u w:val="none"/>
                <w:lang w:val="en-US" w:eastAsia="zh-CN" w:bidi="ar"/>
              </w:rPr>
              <w:t>162.66</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 xml:space="preserve">  其中：  一般公共预算：</w:t>
            </w:r>
            <w:r>
              <w:rPr>
                <w:rFonts w:hint="eastAsia" w:eastAsia="仿宋_GB2312"/>
                <w:color w:val="auto"/>
                <w:kern w:val="0"/>
                <w:lang w:val="en-US" w:eastAsia="zh-CN"/>
              </w:rPr>
              <w:t>167.65</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hint="default" w:eastAsia="仿宋_GB2312"/>
                <w:color w:val="auto"/>
                <w:kern w:val="0"/>
                <w:lang w:val="en-US" w:eastAsia="zh-CN"/>
              </w:rPr>
            </w:pPr>
            <w:r>
              <w:rPr>
                <w:rFonts w:eastAsia="仿宋_GB2312"/>
                <w:color w:val="auto"/>
                <w:kern w:val="0"/>
              </w:rPr>
              <w:t>其中：基本支出：</w:t>
            </w:r>
            <w:r>
              <w:rPr>
                <w:rFonts w:hint="eastAsia" w:eastAsia="仿宋_GB2312"/>
                <w:color w:val="auto"/>
                <w:kern w:val="0"/>
                <w:lang w:val="en-US" w:eastAsia="zh-CN"/>
              </w:rPr>
              <w:t>140.39</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ind w:firstLine="840" w:firstLineChars="400"/>
              <w:jc w:val="left"/>
              <w:rPr>
                <w:rFonts w:eastAsia="仿宋_GB2312"/>
                <w:color w:val="auto"/>
                <w:kern w:val="0"/>
              </w:rPr>
            </w:pPr>
            <w:r>
              <w:rPr>
                <w:rFonts w:eastAsia="仿宋_GB2312"/>
                <w:color w:val="auto"/>
                <w:kern w:val="0"/>
              </w:rPr>
              <w:t>政府性基金拨款：</w:t>
            </w:r>
            <w:r>
              <w:rPr>
                <w:rFonts w:hint="eastAsia" w:eastAsia="仿宋_GB2312"/>
                <w:color w:val="auto"/>
                <w:kern w:val="0"/>
                <w:lang w:val="en-US" w:eastAsia="zh-CN"/>
              </w:rPr>
              <w:t>0</w:t>
            </w:r>
            <w:r>
              <w:rPr>
                <w:rFonts w:eastAsia="仿宋_GB2312"/>
                <w:color w:val="auto"/>
                <w:kern w:val="0"/>
              </w:rPr>
              <w:t>万元</w:t>
            </w:r>
          </w:p>
        </w:tc>
        <w:tc>
          <w:tcPr>
            <w:tcW w:w="4041" w:type="dxa"/>
            <w:gridSpan w:val="7"/>
            <w:tcBorders>
              <w:tl2br w:val="nil"/>
              <w:tr2bl w:val="nil"/>
            </w:tcBorders>
            <w:noWrap w:val="0"/>
            <w:vAlign w:val="center"/>
          </w:tcPr>
          <w:p>
            <w:pPr>
              <w:widowControl/>
              <w:ind w:firstLine="630" w:firstLineChars="300"/>
              <w:jc w:val="left"/>
              <w:rPr>
                <w:rFonts w:eastAsia="仿宋_GB2312"/>
                <w:color w:val="auto"/>
                <w:kern w:val="0"/>
              </w:rPr>
            </w:pPr>
            <w:r>
              <w:rPr>
                <w:rFonts w:eastAsia="仿宋_GB2312"/>
                <w:color w:val="auto"/>
                <w:kern w:val="0"/>
              </w:rPr>
              <w:t>项目支出：</w:t>
            </w:r>
            <w:r>
              <w:rPr>
                <w:rFonts w:hint="default" w:eastAsia="仿宋_GB2312"/>
                <w:color w:val="auto"/>
                <w:kern w:val="0"/>
                <w:lang w:val="en-US" w:eastAsia="zh-CN"/>
              </w:rPr>
              <w:t>22.27</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纳入专户管理的非税收入拨款：</w:t>
            </w:r>
            <w:r>
              <w:rPr>
                <w:rFonts w:hint="eastAsia" w:eastAsia="仿宋_GB2312"/>
                <w:color w:val="auto"/>
                <w:kern w:val="0"/>
                <w:lang w:val="en-US" w:eastAsia="zh-CN"/>
              </w:rPr>
              <w:t>0</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ind w:firstLine="1470" w:firstLineChars="700"/>
              <w:jc w:val="left"/>
              <w:rPr>
                <w:rFonts w:eastAsia="仿宋_GB2312"/>
                <w:color w:val="auto"/>
                <w:kern w:val="0"/>
              </w:rPr>
            </w:pPr>
            <w:r>
              <w:rPr>
                <w:rFonts w:eastAsia="仿宋_GB2312"/>
                <w:color w:val="auto"/>
                <w:kern w:val="0"/>
              </w:rPr>
              <w:t>其他资金：</w:t>
            </w:r>
            <w:r>
              <w:rPr>
                <w:rFonts w:hint="eastAsia" w:eastAsia="仿宋_GB2312"/>
                <w:color w:val="auto"/>
                <w:kern w:val="0"/>
                <w:lang w:val="en-US" w:eastAsia="zh-CN"/>
              </w:rPr>
              <w:t>3.87</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年度总体目标</w:t>
            </w:r>
          </w:p>
        </w:tc>
        <w:tc>
          <w:tcPr>
            <w:tcW w:w="6066" w:type="dxa"/>
            <w:gridSpan w:val="6"/>
            <w:tcBorders>
              <w:tl2br w:val="nil"/>
              <w:tr2bl w:val="nil"/>
            </w:tcBorders>
            <w:noWrap w:val="0"/>
            <w:vAlign w:val="center"/>
          </w:tcPr>
          <w:p>
            <w:pPr>
              <w:widowControl/>
              <w:jc w:val="center"/>
              <w:rPr>
                <w:rFonts w:eastAsia="仿宋_GB2312"/>
                <w:color w:val="auto"/>
                <w:kern w:val="0"/>
              </w:rPr>
            </w:pPr>
            <w:r>
              <w:rPr>
                <w:rFonts w:eastAsia="仿宋_GB2312"/>
                <w:color w:val="auto"/>
                <w:kern w:val="0"/>
              </w:rPr>
              <w:t>预期目标</w:t>
            </w:r>
          </w:p>
        </w:tc>
        <w:tc>
          <w:tcPr>
            <w:tcW w:w="4041" w:type="dxa"/>
            <w:gridSpan w:val="7"/>
            <w:tcBorders>
              <w:tl2br w:val="nil"/>
              <w:tr2bl w:val="nil"/>
            </w:tcBorders>
            <w:noWrap w:val="0"/>
            <w:vAlign w:val="center"/>
          </w:tcPr>
          <w:p>
            <w:pPr>
              <w:widowControl/>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041" w:type="dxa"/>
            <w:gridSpan w:val="7"/>
            <w:tcBorders>
              <w:tl2br w:val="nil"/>
              <w:tr2bl w:val="nil"/>
            </w:tcBorders>
            <w:noWrap w:val="0"/>
            <w:vAlign w:val="center"/>
          </w:tcPr>
          <w:p>
            <w:pPr>
              <w:widowControl/>
              <w:jc w:val="left"/>
              <w:rPr>
                <w:rFonts w:eastAsia="仿宋_GB2312"/>
                <w:color w:val="auto"/>
                <w:kern w:val="0"/>
              </w:rPr>
            </w:pPr>
            <w:r>
              <w:rPr>
                <w:rFonts w:hint="eastAsia" w:eastAsia="仿宋_GB2312"/>
                <w:color w:val="auto"/>
                <w:kern w:val="0"/>
                <w:szCs w:val="21"/>
                <w:lang w:eastAsia="zh-CN"/>
              </w:rPr>
              <w:t>较好地完成了年度总体目标任务，预算成本把控严格，各项指标达标。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绩</w:t>
            </w:r>
          </w:p>
          <w:p>
            <w:pPr>
              <w:widowControl/>
              <w:jc w:val="center"/>
              <w:rPr>
                <w:rFonts w:eastAsia="仿宋_GB2312"/>
                <w:color w:val="auto"/>
                <w:kern w:val="0"/>
              </w:rPr>
            </w:pPr>
            <w:r>
              <w:rPr>
                <w:rFonts w:eastAsia="仿宋_GB2312"/>
                <w:color w:val="auto"/>
                <w:kern w:val="0"/>
              </w:rPr>
              <w:t>效</w:t>
            </w:r>
          </w:p>
          <w:p>
            <w:pPr>
              <w:widowControl/>
              <w:jc w:val="center"/>
              <w:rPr>
                <w:rFonts w:eastAsia="仿宋_GB2312"/>
                <w:color w:val="auto"/>
                <w:kern w:val="0"/>
              </w:rPr>
            </w:pPr>
            <w:r>
              <w:rPr>
                <w:rFonts w:eastAsia="仿宋_GB2312"/>
                <w:color w:val="auto"/>
                <w:kern w:val="0"/>
              </w:rPr>
              <w:t>指</w:t>
            </w:r>
          </w:p>
          <w:p>
            <w:pPr>
              <w:widowControl/>
              <w:jc w:val="center"/>
              <w:rPr>
                <w:rFonts w:eastAsia="仿宋_GB2312"/>
                <w:color w:val="auto"/>
                <w:kern w:val="0"/>
              </w:rPr>
            </w:pPr>
            <w:r>
              <w:rPr>
                <w:rFonts w:eastAsia="仿宋_GB2312"/>
                <w:color w:val="auto"/>
                <w:kern w:val="0"/>
              </w:rPr>
              <w:t>标</w:t>
            </w:r>
          </w:p>
        </w:tc>
        <w:tc>
          <w:tcPr>
            <w:tcW w:w="1326"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一级指标</w:t>
            </w:r>
          </w:p>
        </w:tc>
        <w:tc>
          <w:tcPr>
            <w:tcW w:w="1695"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二级指标</w:t>
            </w:r>
          </w:p>
        </w:tc>
        <w:tc>
          <w:tcPr>
            <w:tcW w:w="1950"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三级指标</w:t>
            </w:r>
          </w:p>
        </w:tc>
        <w:tc>
          <w:tcPr>
            <w:tcW w:w="1095" w:type="dxa"/>
            <w:gridSpan w:val="2"/>
            <w:tcBorders>
              <w:tl2br w:val="nil"/>
              <w:tr2bl w:val="nil"/>
            </w:tcBorders>
            <w:noWrap w:val="0"/>
            <w:vAlign w:val="center"/>
          </w:tcPr>
          <w:p>
            <w:pPr>
              <w:widowControl/>
              <w:spacing w:line="240" w:lineRule="exact"/>
              <w:jc w:val="center"/>
              <w:rPr>
                <w:rFonts w:ascii="仿宋_GB2312" w:hAnsi="仿宋_GB2312"/>
                <w:color w:val="auto"/>
                <w:kern w:val="0"/>
              </w:rPr>
            </w:pPr>
            <w:r>
              <w:rPr>
                <w:rFonts w:eastAsia="仿宋_GB2312"/>
                <w:color w:val="auto"/>
                <w:kern w:val="0"/>
              </w:rPr>
              <w:t>年度</w:t>
            </w:r>
          </w:p>
          <w:p>
            <w:pPr>
              <w:widowControl/>
              <w:spacing w:line="240" w:lineRule="exact"/>
              <w:jc w:val="center"/>
              <w:rPr>
                <w:rFonts w:eastAsia="仿宋_GB2312"/>
                <w:color w:val="auto"/>
                <w:kern w:val="0"/>
              </w:rPr>
            </w:pPr>
            <w:r>
              <w:rPr>
                <w:rFonts w:eastAsia="仿宋_GB2312"/>
                <w:color w:val="auto"/>
                <w:kern w:val="0"/>
              </w:rPr>
              <w:t>指标值</w:t>
            </w:r>
          </w:p>
        </w:tc>
        <w:tc>
          <w:tcPr>
            <w:tcW w:w="1050" w:type="dxa"/>
            <w:gridSpan w:val="2"/>
            <w:tcBorders>
              <w:tl2br w:val="nil"/>
              <w:tr2bl w:val="nil"/>
            </w:tcBorders>
            <w:noWrap w:val="0"/>
            <w:vAlign w:val="center"/>
          </w:tcPr>
          <w:p>
            <w:pPr>
              <w:widowControl/>
              <w:spacing w:line="240" w:lineRule="exact"/>
              <w:jc w:val="center"/>
              <w:rPr>
                <w:rFonts w:ascii="仿宋_GB2312" w:hAnsi="仿宋_GB2312"/>
                <w:color w:val="auto"/>
                <w:kern w:val="0"/>
              </w:rPr>
            </w:pPr>
            <w:r>
              <w:rPr>
                <w:rFonts w:eastAsia="仿宋_GB2312"/>
                <w:color w:val="auto"/>
                <w:kern w:val="0"/>
              </w:rPr>
              <w:t>实际</w:t>
            </w:r>
          </w:p>
          <w:p>
            <w:pPr>
              <w:widowControl/>
              <w:spacing w:line="240" w:lineRule="exact"/>
              <w:jc w:val="center"/>
              <w:rPr>
                <w:rFonts w:eastAsia="仿宋_GB2312"/>
                <w:color w:val="auto"/>
                <w:kern w:val="0"/>
              </w:rPr>
            </w:pPr>
            <w:r>
              <w:rPr>
                <w:rFonts w:eastAsia="仿宋_GB2312"/>
                <w:color w:val="auto"/>
                <w:kern w:val="0"/>
              </w:rPr>
              <w:t>完成值</w:t>
            </w:r>
          </w:p>
        </w:tc>
        <w:tc>
          <w:tcPr>
            <w:tcW w:w="659"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分值</w:t>
            </w:r>
          </w:p>
        </w:tc>
        <w:tc>
          <w:tcPr>
            <w:tcW w:w="750"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得分</w:t>
            </w:r>
          </w:p>
        </w:tc>
        <w:tc>
          <w:tcPr>
            <w:tcW w:w="1582"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产出指标</w:t>
            </w:r>
          </w:p>
          <w:p>
            <w:pPr>
              <w:widowControl/>
              <w:jc w:val="center"/>
              <w:rPr>
                <w:rFonts w:eastAsia="仿宋_GB2312"/>
                <w:color w:val="auto"/>
                <w:kern w:val="0"/>
              </w:rPr>
            </w:pPr>
            <w:r>
              <w:rPr>
                <w:rFonts w:eastAsia="仿宋_GB2312"/>
                <w:color w:val="auto"/>
                <w:kern w:val="0"/>
              </w:rPr>
              <w:t>(</w:t>
            </w:r>
            <w:r>
              <w:rPr>
                <w:rFonts w:hint="eastAsia" w:eastAsia="仿宋_GB2312"/>
                <w:color w:val="auto"/>
                <w:kern w:val="0"/>
                <w:lang w:val="en-US" w:eastAsia="zh-CN"/>
              </w:rPr>
              <w:t>40</w:t>
            </w:r>
            <w:r>
              <w:rPr>
                <w:rFonts w:ascii="仿宋_GB2312" w:hAnsi="仿宋_GB2312" w:eastAsia="仿宋_GB2312"/>
                <w:color w:val="auto"/>
                <w:kern w:val="0"/>
              </w:rPr>
              <w:t>分</w:t>
            </w:r>
            <w:r>
              <w:rPr>
                <w:rFonts w:eastAsia="仿宋_GB2312"/>
                <w:color w:val="auto"/>
                <w:kern w:val="0"/>
              </w:rPr>
              <w:t>)</w:t>
            </w:r>
          </w:p>
        </w:tc>
        <w:tc>
          <w:tcPr>
            <w:tcW w:w="1695" w:type="dxa"/>
            <w:tcBorders>
              <w:tl2br w:val="nil"/>
              <w:tr2bl w:val="nil"/>
            </w:tcBorders>
            <w:noWrap w:val="0"/>
            <w:vAlign w:val="center"/>
          </w:tcPr>
          <w:p>
            <w:pPr>
              <w:widowControl/>
              <w:jc w:val="center"/>
              <w:rPr>
                <w:rFonts w:eastAsia="仿宋_GB2312"/>
                <w:color w:val="auto"/>
                <w:kern w:val="0"/>
              </w:rPr>
            </w:pPr>
            <w:r>
              <w:rPr>
                <w:rFonts w:ascii="仿宋_GB2312" w:hAnsi="仿宋_GB2312"/>
                <w:color w:val="000000"/>
                <w:kern w:val="0"/>
              </w:rPr>
              <w:t>数量指标</w:t>
            </w:r>
          </w:p>
        </w:tc>
        <w:tc>
          <w:tcPr>
            <w:tcW w:w="1950" w:type="dxa"/>
            <w:gridSpan w:val="2"/>
            <w:tcBorders>
              <w:tl2br w:val="nil"/>
              <w:tr2bl w:val="nil"/>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文稿服务优质输出</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微软雅黑" w:hAnsi="微软雅黑" w:eastAsia="微软雅黑" w:cs="微软雅黑"/>
                <w:i w:val="0"/>
                <w:iCs w:val="0"/>
                <w:color w:val="000000"/>
                <w:kern w:val="0"/>
                <w:sz w:val="20"/>
                <w:szCs w:val="20"/>
                <w:u w:val="none"/>
                <w:lang w:val="en-US" w:eastAsia="zh-CN" w:bidi="ar"/>
              </w:rPr>
              <w:t>200</w:t>
            </w:r>
            <w:r>
              <w:rPr>
                <w:rFonts w:hint="eastAsia" w:ascii="仿宋_GB2312" w:hAnsi="宋体" w:eastAsia="仿宋_GB2312" w:cs="仿宋_GB2312"/>
                <w:i w:val="0"/>
                <w:iCs w:val="0"/>
                <w:color w:val="000000"/>
                <w:kern w:val="0"/>
                <w:sz w:val="20"/>
                <w:szCs w:val="20"/>
                <w:u w:val="none"/>
                <w:lang w:val="en-US" w:eastAsia="zh-CN" w:bidi="ar"/>
              </w:rPr>
              <w:t>篇</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微软雅黑" w:hAnsi="微软雅黑" w:eastAsia="微软雅黑" w:cs="微软雅黑"/>
                <w:i w:val="0"/>
                <w:iCs w:val="0"/>
                <w:color w:val="000000"/>
                <w:kern w:val="0"/>
                <w:sz w:val="20"/>
                <w:szCs w:val="20"/>
                <w:u w:val="none"/>
                <w:lang w:val="en-US" w:eastAsia="zh-CN" w:bidi="ar"/>
              </w:rPr>
              <w:t>≥300</w:t>
            </w:r>
            <w:r>
              <w:rPr>
                <w:rFonts w:hint="eastAsia" w:ascii="仿宋_GB2312" w:hAnsi="宋体" w:eastAsia="仿宋_GB2312" w:cs="仿宋_GB2312"/>
                <w:i w:val="0"/>
                <w:iCs w:val="0"/>
                <w:color w:val="000000"/>
                <w:kern w:val="0"/>
                <w:sz w:val="20"/>
                <w:szCs w:val="20"/>
                <w:u w:val="none"/>
                <w:lang w:val="en-US" w:eastAsia="zh-CN" w:bidi="ar"/>
              </w:rPr>
              <w:t>篇</w:t>
            </w:r>
          </w:p>
        </w:tc>
        <w:tc>
          <w:tcPr>
            <w:tcW w:w="659" w:type="dxa"/>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82" w:type="dxa"/>
            <w:gridSpan w:val="2"/>
            <w:tcBorders>
              <w:tl2br w:val="nil"/>
              <w:tr2bl w:val="nil"/>
            </w:tcBorders>
            <w:noWrap w:val="0"/>
            <w:vAlign w:val="center"/>
          </w:tcPr>
          <w:p>
            <w:pPr>
              <w:widowControl/>
              <w:jc w:val="both"/>
              <w:rPr>
                <w:rFonts w:hint="eastAsia"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8"/>
                <w:szCs w:val="18"/>
                <w:lang w:val="en-US" w:eastAsia="zh-CN"/>
              </w:rPr>
              <w:t>文稿服务质量有待继续提高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质量指标</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综合调研成果丰硕</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篇</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kern w:val="0"/>
                <w:sz w:val="21"/>
                <w:szCs w:val="21"/>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篇</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582" w:type="dxa"/>
            <w:gridSpan w:val="2"/>
            <w:tcBorders>
              <w:tl2br w:val="nil"/>
              <w:tr2bl w:val="nil"/>
            </w:tcBorders>
            <w:noWrap w:val="0"/>
            <w:vAlign w:val="center"/>
          </w:tcPr>
          <w:p>
            <w:pPr>
              <w:widowControl/>
              <w:jc w:val="both"/>
              <w:rPr>
                <w:rFonts w:hint="eastAsia" w:eastAsia="仿宋_GB2312"/>
                <w:color w:val="auto"/>
                <w:kern w:val="0"/>
                <w:lang w:val="en-US" w:eastAsia="zh-CN"/>
              </w:rPr>
            </w:pPr>
            <w:r>
              <w:rPr>
                <w:rFonts w:hint="eastAsia" w:ascii="宋体" w:cs="Times New Roman"/>
                <w:color w:val="auto"/>
                <w:kern w:val="0"/>
                <w:sz w:val="18"/>
                <w:szCs w:val="18"/>
                <w:lang w:val="en-US" w:eastAsia="zh-CN"/>
              </w:rPr>
              <w:t>外出调研不够，需深入开展调研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完成支出及时率</w:t>
            </w:r>
          </w:p>
        </w:tc>
        <w:tc>
          <w:tcPr>
            <w:tcW w:w="1095"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0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restart"/>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 xml:space="preserve">（30分） </w:t>
            </w:r>
          </w:p>
        </w:tc>
        <w:tc>
          <w:tcPr>
            <w:tcW w:w="1695" w:type="dxa"/>
            <w:noWrap w:val="0"/>
            <w:vAlign w:val="center"/>
          </w:tcPr>
          <w:p>
            <w:pPr>
              <w:widowControl/>
              <w:jc w:val="center"/>
              <w:rPr>
                <w:rFonts w:eastAsia="仿宋_GB2312"/>
                <w:color w:val="auto"/>
                <w:kern w:val="0"/>
              </w:rPr>
            </w:pPr>
            <w:r>
              <w:rPr>
                <w:rFonts w:eastAsia="仿宋_GB2312"/>
                <w:color w:val="auto"/>
                <w:kern w:val="0"/>
              </w:rPr>
              <w:t>经济效益指标</w:t>
            </w:r>
          </w:p>
        </w:tc>
        <w:tc>
          <w:tcPr>
            <w:tcW w:w="1950" w:type="dxa"/>
            <w:gridSpan w:val="2"/>
            <w:noWrap w:val="0"/>
            <w:vAlign w:val="center"/>
          </w:tcPr>
          <w:p>
            <w:pPr>
              <w:widowControl/>
              <w:jc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促进县域经济社会发展</w:t>
            </w:r>
          </w:p>
        </w:tc>
        <w:tc>
          <w:tcPr>
            <w:tcW w:w="1095" w:type="dxa"/>
            <w:gridSpan w:val="2"/>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82" w:type="dxa"/>
            <w:gridSpan w:val="2"/>
            <w:tcBorders>
              <w:tl2br w:val="nil"/>
              <w:tr2bl w:val="nil"/>
            </w:tcBorders>
            <w:noWrap w:val="0"/>
            <w:vAlign w:val="center"/>
          </w:tcPr>
          <w:p>
            <w:pPr>
              <w:widowControl/>
              <w:jc w:val="both"/>
              <w:rPr>
                <w:rFonts w:ascii="Times New Roman" w:hAnsi="Times New Roman"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社会效益指标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促进取得良好社会效益</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82" w:type="dxa"/>
            <w:gridSpan w:val="2"/>
            <w:tcBorders>
              <w:tl2br w:val="nil"/>
              <w:tr2bl w:val="nil"/>
            </w:tcBorders>
            <w:noWrap w:val="0"/>
            <w:vAlign w:val="center"/>
          </w:tcPr>
          <w:p>
            <w:pPr>
              <w:widowControl/>
              <w:jc w:val="both"/>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生态效益指标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绿色办公</w:t>
            </w:r>
          </w:p>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绿色采购</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节约水电、办公耗材</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节约水电、办公耗材</w:t>
            </w:r>
          </w:p>
        </w:tc>
        <w:tc>
          <w:tcPr>
            <w:tcW w:w="659" w:type="dxa"/>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可持续影响指标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干部培育长效机制健全性</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明显</w:t>
            </w:r>
          </w:p>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提高</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明显提高</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1582" w:type="dxa"/>
            <w:gridSpan w:val="2"/>
            <w:tcBorders>
              <w:tl2br w:val="nil"/>
              <w:tr2bl w:val="nil"/>
            </w:tcBorders>
            <w:noWrap w:val="0"/>
            <w:vAlign w:val="center"/>
          </w:tcPr>
          <w:p>
            <w:pPr>
              <w:widowControl/>
              <w:jc w:val="both"/>
              <w:rPr>
                <w:rFonts w:hint="eastAsia"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6"/>
                <w:szCs w:val="16"/>
                <w:lang w:val="en-US" w:eastAsia="zh-CN"/>
              </w:rPr>
              <w:t>传帮带机制待完善助力提升干部成长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服务对象满意度</w:t>
            </w:r>
          </w:p>
        </w:tc>
        <w:tc>
          <w:tcPr>
            <w:tcW w:w="1095"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0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96%</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 w:type="dxa"/>
            <w:vMerge w:val="continue"/>
            <w:tcBorders>
              <w:tl2br w:val="nil"/>
              <w:tr2bl w:val="nil"/>
            </w:tcBorders>
            <w:noWrap w:val="0"/>
            <w:vAlign w:val="center"/>
          </w:tcPr>
          <w:p>
            <w:pPr>
              <w:jc w:val="center"/>
              <w:rPr>
                <w:color w:val="auto"/>
              </w:rPr>
            </w:pPr>
          </w:p>
        </w:tc>
        <w:tc>
          <w:tcPr>
            <w:tcW w:w="1326" w:type="dxa"/>
            <w:tcBorders>
              <w:tl2br w:val="nil"/>
              <w:tr2bl w:val="nil"/>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color w:val="auto"/>
              </w:rPr>
            </w:pPr>
            <w:r>
              <w:rPr>
                <w:rFonts w:eastAsia="仿宋_GB2312"/>
                <w:color w:val="auto"/>
                <w:kern w:val="0"/>
              </w:rPr>
              <w:t>（10</w:t>
            </w:r>
            <w:r>
              <w:rPr>
                <w:rFonts w:ascii="仿宋_GB2312" w:hAnsi="仿宋_GB2312" w:eastAsia="仿宋_GB2312"/>
                <w:color w:val="auto"/>
                <w:kern w:val="0"/>
              </w:rPr>
              <w:t>分）</w:t>
            </w:r>
          </w:p>
        </w:tc>
        <w:tc>
          <w:tcPr>
            <w:tcW w:w="1695" w:type="dxa"/>
            <w:tcBorders>
              <w:tl2br w:val="nil"/>
              <w:tr2bl w:val="nil"/>
            </w:tcBorders>
            <w:noWrap w:val="0"/>
            <w:vAlign w:val="center"/>
          </w:tcPr>
          <w:p>
            <w:pPr>
              <w:jc w:val="center"/>
              <w:rPr>
                <w:color w:val="auto"/>
              </w:rPr>
            </w:pPr>
            <w:r>
              <w:rPr>
                <w:rFonts w:hint="eastAsia" w:ascii="Times New Roman" w:hAnsi="Times New Roman" w:eastAsia="仿宋_GB2312" w:cs="Times New Roman"/>
                <w:color w:val="auto"/>
                <w:kern w:val="0"/>
              </w:rPr>
              <w:t>经济成本指标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调研经费控制率</w:t>
            </w:r>
          </w:p>
        </w:tc>
        <w:tc>
          <w:tcPr>
            <w:tcW w:w="1095"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0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jc w:val="center"/>
              <w:rPr>
                <w:rFonts w:hint="eastAsia" w:ascii="仿宋_GB2312" w:hAnsi="仿宋_GB2312" w:eastAsia="宋体" w:cs="Times New Roman"/>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1" w:type="dxa"/>
            <w:gridSpan w:val="9"/>
            <w:tcBorders>
              <w:tl2br w:val="nil"/>
              <w:tr2bl w:val="nil"/>
            </w:tcBorders>
            <w:noWrap w:val="0"/>
            <w:vAlign w:val="center"/>
          </w:tcPr>
          <w:p>
            <w:pPr>
              <w:widowControl/>
              <w:jc w:val="center"/>
              <w:rPr>
                <w:rFonts w:eastAsia="仿宋_GB2312"/>
                <w:color w:val="auto"/>
                <w:kern w:val="0"/>
              </w:rPr>
            </w:pPr>
            <w:r>
              <w:rPr>
                <w:rFonts w:eastAsia="仿宋_GB2312"/>
                <w:color w:val="auto"/>
                <w:kern w:val="0"/>
              </w:rPr>
              <w:t>总分</w:t>
            </w:r>
          </w:p>
        </w:tc>
        <w:tc>
          <w:tcPr>
            <w:tcW w:w="659"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100</w:t>
            </w:r>
          </w:p>
        </w:tc>
        <w:tc>
          <w:tcPr>
            <w:tcW w:w="75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96.4</w:t>
            </w:r>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附件3</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改革发展研究专项费用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rPr>
              <w:t>14.5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14.5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13.57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93%</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rPr>
              <w:t>14.5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14.5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13.57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产出指标</w:t>
            </w:r>
          </w:p>
          <w:p>
            <w:pPr>
              <w:widowControl/>
              <w:jc w:val="center"/>
              <w:rPr>
                <w:rFonts w:eastAsia="仿宋_GB2312"/>
                <w:color w:val="auto"/>
                <w:kern w:val="0"/>
              </w:rPr>
            </w:pPr>
            <w:r>
              <w:rPr>
                <w:rFonts w:eastAsia="仿宋_GB2312"/>
                <w:color w:val="auto"/>
                <w:kern w:val="0"/>
              </w:rPr>
              <w:t>(</w:t>
            </w:r>
            <w:r>
              <w:rPr>
                <w:rFonts w:hint="eastAsia" w:eastAsia="仿宋_GB2312"/>
                <w:color w:val="auto"/>
                <w:kern w:val="0"/>
                <w:lang w:val="en-US" w:eastAsia="zh-CN"/>
              </w:rPr>
              <w:t>40</w:t>
            </w:r>
            <w:r>
              <w:rPr>
                <w:rFonts w:ascii="仿宋_GB2312" w:hAnsi="仿宋_GB2312" w:eastAsia="仿宋_GB2312"/>
                <w:color w:val="auto"/>
                <w:kern w:val="0"/>
              </w:rPr>
              <w:t>分</w:t>
            </w:r>
            <w:r>
              <w:rPr>
                <w:rFonts w:eastAsia="仿宋_GB2312"/>
                <w:color w:val="auto"/>
                <w:kern w:val="0"/>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ascii="仿宋_GB2312" w:hAnsi="仿宋_GB2312"/>
                <w:color w:val="000000"/>
                <w:kern w:val="0"/>
              </w:rPr>
              <w:t>数量指标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发表调研理论文章</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5</w:t>
            </w:r>
            <w:r>
              <w:rPr>
                <w:rFonts w:hint="default" w:ascii="Times New Roman" w:hAnsi="Times New Roman" w:eastAsia="仿宋_GB2312" w:cs="Times New Roman"/>
                <w:color w:val="auto"/>
                <w:kern w:val="0"/>
                <w:lang w:val="en-US" w:eastAsia="zh-CN"/>
              </w:rPr>
              <w:t>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4</w:t>
            </w:r>
            <w:r>
              <w:rPr>
                <w:rFonts w:hint="default" w:ascii="Times New Roman" w:hAnsi="Times New Roman" w:eastAsia="仿宋_GB2312" w:cs="Times New Roman"/>
                <w:color w:val="auto"/>
                <w:kern w:val="0"/>
                <w:lang w:val="en-US" w:eastAsia="zh-CN"/>
              </w:rPr>
              <w:t>篇</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right w:val="single" w:color="auto" w:sz="4" w:space="0"/>
            </w:tcBorders>
            <w:noWrap w:val="0"/>
            <w:vAlign w:val="center"/>
          </w:tcPr>
          <w:p>
            <w:pPr>
              <w:keepNext w:val="0"/>
              <w:keepLines w:val="0"/>
              <w:widowControl/>
              <w:suppressLineNumbers w:val="0"/>
              <w:jc w:val="left"/>
              <w:textAlignment w:val="center"/>
              <w:rPr>
                <w:rFonts w:hint="eastAsia" w:ascii="宋体" w:hAnsi="Times New Roman" w:eastAsia="宋体" w:cs="Times New Roman"/>
                <w:color w:val="auto"/>
                <w:kern w:val="0"/>
                <w:sz w:val="16"/>
                <w:szCs w:val="16"/>
                <w:lang w:val="en-US" w:eastAsia="zh-CN"/>
              </w:rPr>
            </w:pPr>
            <w:r>
              <w:rPr>
                <w:rFonts w:hint="default" w:ascii="宋体" w:hAnsi="Times New Roman" w:eastAsia="宋体" w:cs="Times New Roman"/>
                <w:color w:val="auto"/>
                <w:kern w:val="0"/>
                <w:sz w:val="16"/>
                <w:szCs w:val="16"/>
                <w:lang w:val="en-US" w:eastAsia="zh-CN"/>
              </w:rPr>
              <w:t>文章</w:t>
            </w:r>
            <w:r>
              <w:rPr>
                <w:rFonts w:hint="eastAsia" w:ascii="宋体" w:hAnsi="Times New Roman" w:eastAsia="宋体" w:cs="Times New Roman"/>
                <w:color w:val="auto"/>
                <w:kern w:val="0"/>
                <w:sz w:val="16"/>
                <w:szCs w:val="16"/>
                <w:lang w:val="en-US" w:eastAsia="zh-CN"/>
              </w:rPr>
              <w:t>数量</w:t>
            </w:r>
            <w:r>
              <w:rPr>
                <w:rFonts w:hint="default" w:ascii="宋体" w:hAnsi="Times New Roman" w:eastAsia="宋体" w:cs="Times New Roman"/>
                <w:color w:val="auto"/>
                <w:kern w:val="0"/>
                <w:sz w:val="16"/>
                <w:szCs w:val="16"/>
                <w:lang w:val="en-US" w:eastAsia="zh-CN"/>
              </w:rPr>
              <w:t>有待提高，加强写作培训。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质量指标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总结推介特色亮点工作的成效</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20</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19.00</w:t>
            </w:r>
          </w:p>
        </w:tc>
        <w:tc>
          <w:tcPr>
            <w:tcW w:w="1623" w:type="dxa"/>
            <w:tcBorders>
              <w:top w:val="single" w:color="auto" w:sz="4" w:space="0"/>
              <w:left w:val="nil"/>
              <w:right w:val="single" w:color="auto" w:sz="4" w:space="0"/>
            </w:tcBorders>
            <w:noWrap w:val="0"/>
            <w:vAlign w:val="center"/>
          </w:tcPr>
          <w:p>
            <w:pPr>
              <w:keepNext w:val="0"/>
              <w:keepLines w:val="0"/>
              <w:widowControl/>
              <w:suppressLineNumbers w:val="0"/>
              <w:jc w:val="left"/>
              <w:textAlignment w:val="center"/>
              <w:rPr>
                <w:rFonts w:hint="eastAsia" w:ascii="宋体" w:hAnsi="Times New Roman" w:eastAsia="宋体" w:cs="Times New Roman"/>
                <w:color w:val="auto"/>
                <w:kern w:val="0"/>
                <w:sz w:val="16"/>
                <w:szCs w:val="16"/>
                <w:lang w:val="en-US" w:eastAsia="zh-CN"/>
              </w:rPr>
            </w:pPr>
            <w:r>
              <w:rPr>
                <w:rFonts w:hint="default" w:ascii="宋体" w:hAnsi="Times New Roman" w:eastAsia="宋体" w:cs="Times New Roman"/>
                <w:color w:val="auto"/>
                <w:kern w:val="0"/>
                <w:sz w:val="16"/>
                <w:szCs w:val="16"/>
                <w:lang w:val="en-US" w:eastAsia="zh-CN"/>
              </w:rPr>
              <w:t>推介经验效果需增强，加强学习交流。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经济效益指标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助推全县经济发展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社会效益指标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助推社会民生事业发展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生态效益指标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绿色办公、绿色采购</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96%</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完成目标支出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14.5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13.57</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9.36</w:t>
            </w:r>
          </w:p>
        </w:tc>
        <w:tc>
          <w:tcPr>
            <w:tcW w:w="1623" w:type="dxa"/>
            <w:tcBorders>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auto"/>
                <w:kern w:val="0"/>
              </w:rPr>
            </w:pPr>
            <w:r>
              <w:rPr>
                <w:rFonts w:hint="default" w:ascii="宋体" w:hAnsi="Times New Roman" w:eastAsia="宋体" w:cs="Times New Roman"/>
                <w:color w:val="auto"/>
                <w:kern w:val="0"/>
                <w:sz w:val="16"/>
                <w:szCs w:val="16"/>
                <w:lang w:val="en-US" w:eastAsia="zh-CN"/>
              </w:rPr>
              <w:t>项目支出进度较慢，加强预算数据编制。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96.66</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双牌县文稿写作培训班工作经费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rPr>
              <w:t>6.5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6.5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87%</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rPr>
              <w:t>6.5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6.5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eastAsia="zh-CN"/>
              </w:rPr>
              <w:t>产出</w:t>
            </w:r>
            <w:r>
              <w:rPr>
                <w:rFonts w:ascii="Times New Roman" w:hAnsi="Times New Roman" w:eastAsia="仿宋_GB2312" w:cs="Times New Roman"/>
                <w:color w:val="auto"/>
                <w:kern w:val="0"/>
              </w:rPr>
              <w:t>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w:t>
            </w:r>
            <w:r>
              <w:rPr>
                <w:rFonts w:hint="eastAsia" w:ascii="Times New Roman" w:hAnsi="Times New Roman" w:eastAsia="仿宋_GB2312" w:cs="Times New Roman"/>
                <w:color w:val="auto"/>
                <w:kern w:val="0"/>
                <w:lang w:val="en-US" w:eastAsia="zh-CN"/>
              </w:rPr>
              <w:t>40</w:t>
            </w:r>
            <w:r>
              <w:rPr>
                <w:rFonts w:ascii="Times New Roman" w:hAnsi="Times New Roman" w:eastAsia="仿宋_GB2312" w:cs="Times New Roman"/>
                <w:color w:val="auto"/>
                <w:kern w:val="0"/>
              </w:rPr>
              <w:t xml:space="preserve">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r>
              <w:rPr>
                <w:rFonts w:hint="default" w:ascii="微软雅黑" w:hAnsi="微软雅黑" w:eastAsia="微软雅黑" w:cs="微软雅黑"/>
                <w:i w:val="0"/>
                <w:iCs w:val="0"/>
                <w:color w:val="000000"/>
                <w:kern w:val="0"/>
                <w:sz w:val="20"/>
                <w:szCs w:val="20"/>
                <w:u w:val="none"/>
                <w:lang w:val="en-US" w:eastAsia="zh-CN" w:bidi="ar"/>
              </w:rPr>
              <w:t>.00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提升干部的公文</w:t>
            </w:r>
          </w:p>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写作水平</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提高</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提高</w:t>
            </w:r>
          </w:p>
        </w:tc>
        <w:tc>
          <w:tcPr>
            <w:tcW w:w="71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30</w:t>
            </w:r>
          </w:p>
        </w:tc>
        <w:tc>
          <w:tcPr>
            <w:tcW w:w="734"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28.00</w:t>
            </w:r>
          </w:p>
        </w:tc>
        <w:tc>
          <w:tcPr>
            <w:tcW w:w="1623" w:type="dxa"/>
            <w:vMerge w:val="restart"/>
            <w:tcBorders>
              <w:left w:val="nil"/>
              <w:right w:val="single" w:color="auto" w:sz="4" w:space="0"/>
            </w:tcBorders>
            <w:noWrap w:val="0"/>
            <w:vAlign w:val="center"/>
          </w:tcPr>
          <w:p>
            <w:pPr>
              <w:keepNext w:val="0"/>
              <w:keepLines w:val="0"/>
              <w:widowControl/>
              <w:suppressLineNumbers w:val="0"/>
              <w:jc w:val="left"/>
              <w:textAlignment w:val="center"/>
              <w:rPr>
                <w:rFonts w:hint="default"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8"/>
                <w:szCs w:val="18"/>
                <w:lang w:val="en-US" w:eastAsia="zh-CN"/>
              </w:rPr>
              <w:t>写作水平有待提高，加强学习培训。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vMerge w:val="continue"/>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98%</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专班工作经费支出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6.5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5.7</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9.50</w:t>
            </w:r>
          </w:p>
        </w:tc>
        <w:tc>
          <w:tcPr>
            <w:tcW w:w="1623" w:type="dxa"/>
            <w:tcBorders>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auto"/>
                <w:kern w:val="0"/>
                <w:sz w:val="22"/>
                <w:szCs w:val="22"/>
              </w:rPr>
            </w:pPr>
            <w:r>
              <w:rPr>
                <w:rFonts w:hint="default" w:ascii="宋体" w:hAnsi="Times New Roman" w:eastAsia="宋体" w:cs="Times New Roman"/>
                <w:color w:val="auto"/>
                <w:kern w:val="0"/>
                <w:sz w:val="18"/>
                <w:szCs w:val="18"/>
                <w:lang w:val="en-US" w:eastAsia="zh-CN"/>
              </w:rPr>
              <w:t>支出进度缓慢，加强预算编制。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96.20</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重大事项报告工作经费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3</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olor w:val="auto"/>
                <w:kern w:val="0"/>
                <w:lang w:val="en-US" w:eastAsia="zh-CN"/>
              </w:rPr>
              <w:t>3</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olor w:val="auto"/>
                <w:kern w:val="0"/>
                <w:lang w:val="en-US" w:eastAsia="zh-CN"/>
              </w:rPr>
              <w:t>3</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100%</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eastAsia="仿宋_GB2312"/>
                <w:color w:val="auto"/>
                <w:kern w:val="0"/>
                <w:lang w:val="en-US" w:eastAsia="zh-CN"/>
              </w:rPr>
              <w:t>3</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olor w:val="auto"/>
                <w:kern w:val="0"/>
                <w:lang w:val="en-US" w:eastAsia="zh-CN"/>
              </w:rPr>
              <w:t>3</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olor w:val="auto"/>
                <w:kern w:val="0"/>
                <w:lang w:val="en-US" w:eastAsia="zh-CN"/>
              </w:rPr>
              <w:t>3</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default" w:ascii="Times New Roman" w:hAnsi="Times New Roman" w:eastAsia="仿宋_GB2312" w:cs="Times New Roman"/>
                <w:color w:val="auto"/>
                <w:kern w:val="0"/>
                <w:lang w:val="en-US" w:eastAsia="zh-CN"/>
              </w:rPr>
              <w:t>为确保重大事项报告工作顺利推进，争取在今年的考核中再创佳绩。</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default" w:ascii="Times New Roman" w:hAnsi="Times New Roman" w:eastAsia="仿宋_GB2312" w:cs="Times New Roman"/>
                <w:color w:val="auto"/>
                <w:kern w:val="0"/>
                <w:lang w:val="en-US" w:eastAsia="zh-CN"/>
              </w:rPr>
              <w:t>加强与市相关部门的工作对接，顺利推进重大事项报告工作。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eastAsia="zh-CN"/>
              </w:rPr>
              <w:t>产出</w:t>
            </w:r>
            <w:r>
              <w:rPr>
                <w:rFonts w:ascii="Times New Roman" w:hAnsi="Times New Roman" w:eastAsia="仿宋_GB2312" w:cs="Times New Roman"/>
                <w:color w:val="auto"/>
                <w:kern w:val="0"/>
              </w:rPr>
              <w:t>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w:t>
            </w:r>
            <w:r>
              <w:rPr>
                <w:rFonts w:hint="eastAsia" w:ascii="Times New Roman" w:hAnsi="Times New Roman" w:eastAsia="仿宋_GB2312" w:cs="Times New Roman"/>
                <w:color w:val="auto"/>
                <w:kern w:val="0"/>
                <w:lang w:val="en-US" w:eastAsia="zh-CN"/>
              </w:rPr>
              <w:t>40</w:t>
            </w:r>
            <w:r>
              <w:rPr>
                <w:rFonts w:ascii="Times New Roman" w:hAnsi="Times New Roman" w:eastAsia="仿宋_GB2312" w:cs="Times New Roman"/>
                <w:color w:val="auto"/>
                <w:kern w:val="0"/>
              </w:rPr>
              <w:t xml:space="preserve">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r>
              <w:rPr>
                <w:rFonts w:hint="default" w:ascii="微软雅黑" w:hAnsi="微软雅黑" w:eastAsia="微软雅黑" w:cs="微软雅黑"/>
                <w:i w:val="0"/>
                <w:iCs w:val="0"/>
                <w:color w:val="000000"/>
                <w:kern w:val="0"/>
                <w:sz w:val="20"/>
                <w:szCs w:val="20"/>
                <w:u w:val="none"/>
                <w:lang w:val="en-US" w:eastAsia="zh-CN" w:bidi="ar"/>
              </w:rPr>
              <w:t>.00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全县重大事项报告工作规范化水平</w:t>
            </w:r>
          </w:p>
        </w:tc>
        <w:tc>
          <w:tcPr>
            <w:tcW w:w="8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提高</w:t>
            </w:r>
          </w:p>
        </w:tc>
        <w:tc>
          <w:tcPr>
            <w:tcW w:w="11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提高</w:t>
            </w:r>
          </w:p>
        </w:tc>
        <w:tc>
          <w:tcPr>
            <w:tcW w:w="71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30</w:t>
            </w:r>
          </w:p>
        </w:tc>
        <w:tc>
          <w:tcPr>
            <w:tcW w:w="734"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28.00</w:t>
            </w:r>
          </w:p>
        </w:tc>
        <w:tc>
          <w:tcPr>
            <w:tcW w:w="1623" w:type="dxa"/>
            <w:vMerge w:val="restart"/>
            <w:tcBorders>
              <w:left w:val="nil"/>
              <w:right w:val="single" w:color="auto" w:sz="4" w:space="0"/>
            </w:tcBorders>
            <w:noWrap w:val="0"/>
            <w:vAlign w:val="center"/>
          </w:tcPr>
          <w:p>
            <w:pPr>
              <w:keepNext w:val="0"/>
              <w:keepLines w:val="0"/>
              <w:widowControl/>
              <w:suppressLineNumbers w:val="0"/>
              <w:jc w:val="left"/>
              <w:textAlignment w:val="center"/>
              <w:rPr>
                <w:rFonts w:hint="default" w:ascii="宋体" w:hAnsi="Times New Roman" w:eastAsia="宋体" w:cs="Times New Roman"/>
                <w:color w:val="auto"/>
                <w:kern w:val="0"/>
                <w:sz w:val="18"/>
                <w:szCs w:val="18"/>
                <w:lang w:val="en-US" w:eastAsia="zh-CN"/>
              </w:rPr>
            </w:pPr>
            <w:r>
              <w:rPr>
                <w:rFonts w:hint="default" w:ascii="宋体" w:hAnsi="Times New Roman" w:eastAsia="宋体" w:cs="Times New Roman"/>
                <w:color w:val="auto"/>
                <w:kern w:val="0"/>
                <w:sz w:val="18"/>
                <w:szCs w:val="18"/>
                <w:lang w:val="en-US" w:eastAsia="zh-CN"/>
              </w:rPr>
              <w:t>规范化水平有待提高，加强培训。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vMerge w:val="continue"/>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重大事项报告工作经费支出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3</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3</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default" w:ascii="微软雅黑" w:hAnsi="微软雅黑" w:eastAsia="微软雅黑" w:cs="微软雅黑"/>
                <w:i w:val="0"/>
                <w:iCs w:val="0"/>
                <w:color w:val="000000"/>
                <w:kern w:val="0"/>
                <w:sz w:val="20"/>
                <w:szCs w:val="20"/>
                <w:u w:val="none"/>
                <w:lang w:val="en-US" w:eastAsia="zh-CN" w:bidi="ar"/>
              </w:rPr>
              <w:t>10</w:t>
            </w:r>
          </w:p>
        </w:tc>
        <w:tc>
          <w:tcPr>
            <w:tcW w:w="1623" w:type="dxa"/>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98</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widowControl/>
        <w:jc w:val="left"/>
        <w:rPr>
          <w:rFonts w:hint="eastAsia"/>
          <w:lang w:eastAsia="zh-CN"/>
        </w:rPr>
      </w:pPr>
    </w:p>
    <w:sectPr>
      <w:headerReference r:id="rId4" w:type="first"/>
      <w:footerReference r:id="rId7" w:type="first"/>
      <w:footerReference r:id="rId5" w:type="default"/>
      <w:headerReference r:id="rId3" w:type="even"/>
      <w:footerReference r:id="rId6" w:type="even"/>
      <w:pgSz w:w="11906" w:h="16838"/>
      <w:pgMar w:top="1440" w:right="1701" w:bottom="1292" w:left="170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Batang">
    <w:altName w:val="Noto Serif CJK JP SemiBold"/>
    <w:panose1 w:val="02030600000101010101"/>
    <w:charset w:val="00"/>
    <w:family w:val="roman"/>
    <w:pitch w:val="default"/>
    <w:sig w:usb0="00000000" w:usb1="00000000" w:usb2="00000030" w:usb3="00000000" w:csb0="4008009F" w:csb1="DFD70000"/>
  </w:font>
  <w:font w:name="Noto Serif CJK JP SemiBold">
    <w:panose1 w:val="02020600000000000000"/>
    <w:charset w:val="86"/>
    <w:family w:val="auto"/>
    <w:pitch w:val="default"/>
    <w:sig w:usb0="3000008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YzE2YzljMWQzYjY3MmZlOWE3ZDMxOWUwODk1Y2Q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F0100"/>
    <w:rsid w:val="001F31D0"/>
    <w:rsid w:val="0020660E"/>
    <w:rsid w:val="00212C29"/>
    <w:rsid w:val="002325E9"/>
    <w:rsid w:val="002476C5"/>
    <w:rsid w:val="00253CCB"/>
    <w:rsid w:val="00267CAD"/>
    <w:rsid w:val="00280B52"/>
    <w:rsid w:val="00280F7B"/>
    <w:rsid w:val="002832F5"/>
    <w:rsid w:val="00297DEC"/>
    <w:rsid w:val="002A1F09"/>
    <w:rsid w:val="002B6CB4"/>
    <w:rsid w:val="002C1828"/>
    <w:rsid w:val="002D3094"/>
    <w:rsid w:val="002E69D4"/>
    <w:rsid w:val="00303CC5"/>
    <w:rsid w:val="00331F3F"/>
    <w:rsid w:val="003346B2"/>
    <w:rsid w:val="00334E3C"/>
    <w:rsid w:val="00340006"/>
    <w:rsid w:val="00351956"/>
    <w:rsid w:val="00351F39"/>
    <w:rsid w:val="00354F1A"/>
    <w:rsid w:val="0038639A"/>
    <w:rsid w:val="0039578E"/>
    <w:rsid w:val="003A20A6"/>
    <w:rsid w:val="003B1ADB"/>
    <w:rsid w:val="003D6E1B"/>
    <w:rsid w:val="003E539D"/>
    <w:rsid w:val="003E6B85"/>
    <w:rsid w:val="003F6980"/>
    <w:rsid w:val="004074F1"/>
    <w:rsid w:val="0041042A"/>
    <w:rsid w:val="00416A19"/>
    <w:rsid w:val="00461B0F"/>
    <w:rsid w:val="00464E9A"/>
    <w:rsid w:val="004660A2"/>
    <w:rsid w:val="0046639F"/>
    <w:rsid w:val="00476B6F"/>
    <w:rsid w:val="004821BF"/>
    <w:rsid w:val="00483BD6"/>
    <w:rsid w:val="00485C8A"/>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4DC6"/>
    <w:rsid w:val="008F10ED"/>
    <w:rsid w:val="008F3EDA"/>
    <w:rsid w:val="00900DF9"/>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51E5"/>
    <w:rsid w:val="00D708E3"/>
    <w:rsid w:val="00D74DA1"/>
    <w:rsid w:val="00D75A43"/>
    <w:rsid w:val="00D82106"/>
    <w:rsid w:val="00D8584D"/>
    <w:rsid w:val="00D96E43"/>
    <w:rsid w:val="00DA477E"/>
    <w:rsid w:val="00DA618B"/>
    <w:rsid w:val="00DB2452"/>
    <w:rsid w:val="00DB4193"/>
    <w:rsid w:val="00DB7476"/>
    <w:rsid w:val="00DC121E"/>
    <w:rsid w:val="00DC22C4"/>
    <w:rsid w:val="00DF09CF"/>
    <w:rsid w:val="00DF124F"/>
    <w:rsid w:val="00DF27AE"/>
    <w:rsid w:val="00E12F68"/>
    <w:rsid w:val="00E17DD4"/>
    <w:rsid w:val="00E20E7C"/>
    <w:rsid w:val="00E27B0F"/>
    <w:rsid w:val="00E43AA1"/>
    <w:rsid w:val="00E47DFC"/>
    <w:rsid w:val="00E51937"/>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7FCE01E"/>
    <w:rsid w:val="0B3D39AE"/>
    <w:rsid w:val="10921CFF"/>
    <w:rsid w:val="133F7FD4"/>
    <w:rsid w:val="13B762D9"/>
    <w:rsid w:val="17CE3138"/>
    <w:rsid w:val="1D574949"/>
    <w:rsid w:val="1ED5304F"/>
    <w:rsid w:val="1FFF1CD4"/>
    <w:rsid w:val="226F758D"/>
    <w:rsid w:val="25DD0A65"/>
    <w:rsid w:val="28824CC0"/>
    <w:rsid w:val="2A310517"/>
    <w:rsid w:val="2DEFED42"/>
    <w:rsid w:val="2E293030"/>
    <w:rsid w:val="2E6708BD"/>
    <w:rsid w:val="2FA9E901"/>
    <w:rsid w:val="31CB7699"/>
    <w:rsid w:val="3A1F6490"/>
    <w:rsid w:val="3FB22576"/>
    <w:rsid w:val="3FFFE5D2"/>
    <w:rsid w:val="45596441"/>
    <w:rsid w:val="47731186"/>
    <w:rsid w:val="4DC4528E"/>
    <w:rsid w:val="50ED627E"/>
    <w:rsid w:val="546F7990"/>
    <w:rsid w:val="57D66790"/>
    <w:rsid w:val="59FF1428"/>
    <w:rsid w:val="5E7FE284"/>
    <w:rsid w:val="616B106E"/>
    <w:rsid w:val="664F3294"/>
    <w:rsid w:val="6BF9948E"/>
    <w:rsid w:val="6E4E423B"/>
    <w:rsid w:val="6FD3130F"/>
    <w:rsid w:val="6FDCCFE5"/>
    <w:rsid w:val="712D4EBF"/>
    <w:rsid w:val="741D2E4E"/>
    <w:rsid w:val="767F3226"/>
    <w:rsid w:val="77F38935"/>
    <w:rsid w:val="7A8A9F82"/>
    <w:rsid w:val="7BFFA391"/>
    <w:rsid w:val="7C6F1414"/>
    <w:rsid w:val="7CE2E69D"/>
    <w:rsid w:val="7DBF7F34"/>
    <w:rsid w:val="7E0F5845"/>
    <w:rsid w:val="7E7FEB2C"/>
    <w:rsid w:val="7EDB43A7"/>
    <w:rsid w:val="7EE78EEE"/>
    <w:rsid w:val="7FACA245"/>
    <w:rsid w:val="967B94E0"/>
    <w:rsid w:val="A4DB2FF1"/>
    <w:rsid w:val="B9D2E2FC"/>
    <w:rsid w:val="BFB11012"/>
    <w:rsid w:val="BFF5F09C"/>
    <w:rsid w:val="BFF703E4"/>
    <w:rsid w:val="C6E78A13"/>
    <w:rsid w:val="CE6E978D"/>
    <w:rsid w:val="D34F108F"/>
    <w:rsid w:val="D66FE7ED"/>
    <w:rsid w:val="DC59E78F"/>
    <w:rsid w:val="DD3EA0B0"/>
    <w:rsid w:val="DD672802"/>
    <w:rsid w:val="DDBFEEF8"/>
    <w:rsid w:val="DDF2AC46"/>
    <w:rsid w:val="DDFB1AD6"/>
    <w:rsid w:val="DF7F496A"/>
    <w:rsid w:val="E0FF91B5"/>
    <w:rsid w:val="EFDF65C2"/>
    <w:rsid w:val="EFFF2EDB"/>
    <w:rsid w:val="F3DD1889"/>
    <w:rsid w:val="F7BD4DF1"/>
    <w:rsid w:val="F7DD14E0"/>
    <w:rsid w:val="F7E52515"/>
    <w:rsid w:val="FBDF1F99"/>
    <w:rsid w:val="FCA7A6DC"/>
    <w:rsid w:val="FCDF87CD"/>
    <w:rsid w:val="FDDD624C"/>
    <w:rsid w:val="FEFFF68C"/>
    <w:rsid w:val="FF9F99D4"/>
    <w:rsid w:val="FFBB5F6E"/>
    <w:rsid w:val="FFE2C4AB"/>
    <w:rsid w:val="FFF4E509"/>
    <w:rsid w:val="FFFF6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664"/>
    </w:pPr>
  </w:style>
  <w:style w:type="paragraph" w:styleId="11">
    <w:name w:val="Body Text First Indent 2"/>
    <w:basedOn w:val="5"/>
    <w:qFormat/>
    <w:uiPriority w:val="0"/>
    <w:pPr>
      <w:spacing w:before="100" w:beforeAutospacing="1"/>
      <w:ind w:left="0" w:firstLine="420" w:firstLineChars="200"/>
    </w:p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9</Pages>
  <Words>2908</Words>
  <Characters>3339</Characters>
  <Lines>33</Lines>
  <Paragraphs>9</Paragraphs>
  <TotalTime>2</TotalTime>
  <ScaleCrop>false</ScaleCrop>
  <LinksUpToDate>false</LinksUpToDate>
  <CharactersWithSpaces>3574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2021-05-17T22:14:00Z</dcterms:created>
  <dc:creator>Users</dc:creator>
  <cp:lastModifiedBy>kylin</cp:lastModifiedBy>
  <cp:lastPrinted>2022-06-12T17:27:00Z</cp:lastPrinted>
  <dcterms:modified xsi:type="dcterms:W3CDTF">2024-05-10T17:43:35Z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4A4E01C1BEDC4932B83F2F44885F978E</vt:lpwstr>
  </property>
</Properties>
</file>