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"/>
        </w:rPr>
        <w:t>2</w:t>
      </w:r>
      <w:r>
        <w:rPr>
          <w:rFonts w:hint="eastAsia" w:ascii="方正小标宋简体" w:eastAsia="方正小标宋简体"/>
          <w:sz w:val="52"/>
          <w:szCs w:val="24"/>
        </w:rPr>
        <w:t>年度双牌县总工会部门（单位）整体支出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双牌县总工会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（一）机构、人员构成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highlight w:val="none"/>
        </w:rPr>
      </w:pPr>
      <w:r>
        <w:rPr>
          <w:rFonts w:hint="eastAsia" w:ascii="仿宋_GB2312" w:eastAsia="仿宋_GB2312"/>
          <w:sz w:val="32"/>
          <w:szCs w:val="24"/>
          <w:highlight w:val="none"/>
        </w:rPr>
        <w:t>本单位属于群众团体，202</w:t>
      </w:r>
      <w:r>
        <w:rPr>
          <w:rFonts w:hint="eastAsia" w:ascii="仿宋_GB2312" w:eastAsia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4"/>
          <w:highlight w:val="none"/>
        </w:rPr>
        <w:t>年年末，在职人员9人(含行政人员4人，事业编制人员2人，社会化工作者</w:t>
      </w:r>
      <w:r>
        <w:rPr>
          <w:rFonts w:hint="eastAsia" w:ascii="仿宋_GB2312" w:eastAsia="仿宋_GB2312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  <w:highlight w:val="none"/>
        </w:rPr>
        <w:t>人</w:t>
      </w:r>
      <w:r>
        <w:rPr>
          <w:rFonts w:hint="eastAsia" w:ascii="仿宋_GB2312" w:eastAsia="仿宋_GB2312"/>
          <w:sz w:val="32"/>
          <w:szCs w:val="24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24"/>
          <w:highlight w:val="none"/>
        </w:rPr>
        <w:t>离退休3人。本单位内设办公室、经审委、女职委、财务室、困难职工帮扶中心。</w:t>
      </w:r>
    </w:p>
    <w:p>
      <w:pPr>
        <w:shd w:val="clear" w:color="auto" w:fill="FFFFFF"/>
        <w:spacing w:beforeLines="0" w:afterLines="0" w:line="570" w:lineRule="exact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 单位主要职责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（1）、认真贯彻执行党的路线、方针、政策。围绕县委和市总工会工作部署，确定全县工会工作的指导思想和工作任务，指导全县工会工作。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2）、依照《工会法》、《劳动法》及《中国工会章程》的规定，组织、指导全县各级工会组织，以维护职工合法权益为基本职责，全面履行工会的各项社会职能。认真贯彻执行县工会代表大会的决议，积极开展工会的各项业务工作。根据有关规定，与县政府建立联席会议制度，参与涉及职工切身利益的有关政策、措施和办法的制定，代表和反映职工群众的愿望和要求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（3）、围绕全县的中心工作，组织、动员、指导基层工会广泛开展社会主义劳动竞赛、合理化建议和经济技术创新等活动。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4）、贯彻执行党的全心全意依靠工人阶级的根本指导方针，积极参与和支持企业改革，并在改革中切实当好职工利益的代表者和维护者，指导基层工会搞好民主管理和民主监督，加强职代会及平等协商签订集体合同制度建设，建立健全协调劳动关系的有效机制。认真履行帮扶特困职工“第一责任人”职责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5）、进一步加强工会组织的自身建设和改革。协助各乡（镇）、县直机关、企事业单位党组织调整配备好同级工会领导班子，指导全县基层工会换届选举，突出抓好新建企业工会组建工作。研究制定、建立适合我县工会情况的工会组织制度和管理办法；指导和帮助各级工会领导班子搞好思想作风建设。制定工会干部的管理制度和培训规划，负责工会干部的培训工作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（6）、进一步做好工会劳动保护工作，切实维护职工的劳动安全和健康，建立和完善全县工会劳动保护监督检查组织，强化群众性安全监督检查措施。参与安全事故的调查处理工作。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（7）、负责工会经费的管理、审查、审计工作及工会资产的管理、作用的发挥，制定财务收支管理办法和措施，负责企事业单位工会经费的审查审计工作。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（8）、积极做好与县外工会组织的经济、技术、文化交流与合作，建立友好关系。完成县委县政府交办的其它各项工作任务。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包括但不限于部门整体支出情况、部门预算收支决算情况及“三公经费”支出使用和管理情况。二、部门整体支出规模及使用方向、内容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　　（一）2021年预算规模情况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　　1．预算资金情况</w:t>
      </w:r>
    </w:p>
    <w:p>
      <w:pPr>
        <w:spacing w:beforeLines="0" w:afterLines="0" w:line="570" w:lineRule="exact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我会202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24"/>
        </w:rPr>
        <w:t>年预算收支情况如下：</w:t>
      </w:r>
    </w:p>
    <w:tbl>
      <w:tblPr>
        <w:tblStyle w:val="6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spacing w:beforeLines="0" w:afterLines="0" w:line="570" w:lineRule="exact"/>
              <w:ind w:firstLine="640" w:firstLineChars="200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4"/>
              </w:rPr>
              <w:t>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预算项目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合计（单位：万元）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财政拨款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收入预算合计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基本支出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项目支出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其中：财政拨款支出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支出预算合计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140.48</w:t>
            </w:r>
          </w:p>
        </w:tc>
      </w:tr>
    </w:tbl>
    <w:p>
      <w:pPr>
        <w:spacing w:beforeLines="0" w:afterLines="0" w:line="570" w:lineRule="exact"/>
        <w:outlineLvl w:val="1"/>
        <w:rPr>
          <w:rFonts w:hint="eastAsia" w:eastAsia="仿宋_GB2312"/>
          <w:color w:val="000000"/>
          <w:sz w:val="32"/>
          <w:szCs w:val="24"/>
        </w:rPr>
      </w:pPr>
    </w:p>
    <w:p>
      <w:pPr>
        <w:spacing w:beforeLines="0" w:afterLines="0" w:line="570" w:lineRule="exact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财政拨款资金具体使用方向如下：　　</w:t>
      </w:r>
    </w:p>
    <w:tbl>
      <w:tblPr>
        <w:tblStyle w:val="6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246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支出项目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基本支出（万元）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基本支出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70.48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项目支出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合计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140.48</w:t>
            </w:r>
          </w:p>
        </w:tc>
      </w:tr>
    </w:tbl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tbl>
      <w:tblPr>
        <w:tblStyle w:val="6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665"/>
        <w:gridCol w:w="147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比较项目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支出项目</w:t>
            </w:r>
          </w:p>
        </w:tc>
        <w:tc>
          <w:tcPr>
            <w:tcW w:w="465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机关本级（万元）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其中：财政拨款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预算金额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基本支出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97.03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项目支出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决算金额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Times New Roman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基本支出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70.48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支出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</w:tr>
    </w:tbl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.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202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24"/>
        </w:rPr>
        <w:t>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24"/>
        </w:rPr>
        <w:t>年度部门整体支出状况的概述和分析，部门整体支出绩效情况如下：</w:t>
      </w:r>
    </w:p>
    <w:p>
      <w:pPr>
        <w:pStyle w:val="9"/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（一）经济效益评价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支出总额控制在预算总额以内，除专项预算的追加和政策性工资绩效预算的追加外，本年部门预算未进行预算相关事项的调整，资金使用投入进度正常；“三公”经费总体控制较好，未超本年预算和上年决算支出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预算管理方面，制度执行总体较为有效，仍需进一步强化；资金使用管理需进一步加强。</w:t>
      </w:r>
    </w:p>
    <w:p>
      <w:pPr>
        <w:pStyle w:val="9"/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（二）效率性评价和有效性评价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　我单位预算安排的基本支出保障了我单位正常的工作运转，体现了县委县政府对工会工作的关心和重视，预算安排的项目支出是非常必要的，我单位在执行上是严格遵守各项财经纪律的，在资金的管理和使用上，严守法律底线、纪律底线、道德底线。开展大病救助、金秋助学等困难职工帮扶工作，将帮扶专项资金用到实处。</w:t>
      </w:r>
    </w:p>
    <w:p>
      <w:pPr>
        <w:pStyle w:val="10"/>
        <w:numPr>
          <w:ilvl w:val="0"/>
          <w:numId w:val="2"/>
        </w:numPr>
        <w:spacing w:line="600" w:lineRule="exact"/>
        <w:ind w:firstLine="560"/>
        <w:jc w:val="left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存在的问题及原因分析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Calibri" w:hAnsi="Calibri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一</w:t>
      </w:r>
      <w:r>
        <w:rPr>
          <w:rFonts w:hint="eastAsia" w:ascii="Calibri" w:hAnsi="Calibri" w:eastAsia="仿宋_GB2312" w:cstheme="minorBidi"/>
          <w:color w:val="000000"/>
          <w:kern w:val="0"/>
          <w:sz w:val="32"/>
          <w:szCs w:val="24"/>
          <w:lang w:val="en-US" w:eastAsia="zh-CN" w:bidi="ar-SA"/>
        </w:rPr>
        <w:t>、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预</w:t>
      </w:r>
      <w:r>
        <w:rPr>
          <w:rFonts w:hint="eastAsia" w:ascii="Calibri" w:hAnsi="Calibri" w:eastAsia="仿宋_GB2312" w:cstheme="minorBidi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算编制前未精准预算各已知的费用，如1</w:t>
      </w:r>
      <w:r>
        <w:rPr>
          <w:rFonts w:hint="eastAsia" w:ascii="Calibri" w:hAnsi="Calibri" w:eastAsia="仿宋_GB2312" w:cstheme="minorBidi"/>
          <w:color w:val="000000"/>
          <w:kern w:val="0"/>
          <w:sz w:val="32"/>
          <w:szCs w:val="24"/>
          <w:lang w:val="en-US" w:eastAsia="zh-CN" w:bidi="ar-SA"/>
        </w:rPr>
        <w:t>、</w:t>
      </w:r>
      <w:r>
        <w:rPr>
          <w:rFonts w:hint="eastAsia" w:ascii="Calibri" w:hAnsi="Calibri" w:eastAsia="仿宋_GB2312" w:cstheme="minorBidi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社会保障和就业支出（类）行政事业单位养老支出（款）机关事业单位基本养老保险缴费支出（项）：</w:t>
      </w:r>
      <w:r>
        <w:rPr>
          <w:rFonts w:hint="eastAsia" w:ascii="Calibri" w:hAnsi="Calibri" w:eastAsia="仿宋_GB2312" w:cstheme="minorBidi"/>
          <w:color w:val="000000"/>
          <w:kern w:val="0"/>
          <w:sz w:val="32"/>
          <w:szCs w:val="24"/>
          <w:lang w:val="en-US" w:eastAsia="zh-CN" w:bidi="ar-SA"/>
        </w:rPr>
        <w:t>年初预算为8.05万元，支出决算为6.35万元，完成年初预算的78.88%。决算数小于年初预算数。2、卫生健康支出（类）行政事业单位医疗（款）行政单位医疗（项）：年初预算为4.38万元，支出决算为3.46万元，完成年初预算的79%。决算数小于年初预算数。3、住房保障支出（类）住房改革支出（款）住房公积金（项）：年初预算为6.04万元，支出决算为4.77万元，完成年初预算的78.97%。决算数小于年初预算数等。这些都是可预算精准些的。</w:t>
      </w:r>
    </w:p>
    <w:p>
      <w:pPr>
        <w:pStyle w:val="10"/>
        <w:numPr>
          <w:numId w:val="0"/>
        </w:numPr>
        <w:spacing w:line="600" w:lineRule="exact"/>
        <w:ind w:firstLine="96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二</w:t>
      </w:r>
      <w:r>
        <w:rPr>
          <w:rFonts w:hint="eastAsia" w:ascii="Calibri" w:hAnsi="Calibri" w:eastAsia="仿宋_GB2312" w:cstheme="minorBidi"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预算时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功能科目没细分.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如一般公共服务支出（类）人大事务（款）行政运行（项）年初预算为0万元，支出决算为0.88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numId w:val="0"/>
        </w:numPr>
        <w:spacing w:line="600" w:lineRule="exact"/>
        <w:ind w:firstLine="960" w:firstLineChars="3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三</w:t>
      </w:r>
      <w:r>
        <w:rPr>
          <w:rFonts w:hint="eastAsia" w:ascii="Calibri" w:hAnsi="Calibri" w:eastAsia="仿宋_GB2312" w:cstheme="minorBidi"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highlight w:val="none"/>
          <w:lang w:val="en-US" w:eastAsia="zh-CN" w:bidi="ar-SA"/>
        </w:rPr>
        <w:t>预算前根据年度内单位可预见的工作任务，还是确定了单位年度预算目标，细化了预算指标。但是在实际支付过程中，个别支付科目未严格按照预算指标执行。财务制度不够完善，资产管理不够严谨，业务素质有待提高。</w:t>
      </w:r>
    </w:p>
    <w:p>
      <w:pPr>
        <w:spacing w:beforeLines="0" w:afterLines="0" w:line="570" w:lineRule="exact"/>
        <w:jc w:val="left"/>
        <w:rPr>
          <w:rFonts w:hint="default" w:eastAsia="仿宋_GB2312"/>
          <w:sz w:val="32"/>
          <w:szCs w:val="24"/>
          <w:highlight w:val="none"/>
        </w:rPr>
      </w:pP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下一步改进措施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1、加强学习，提高思想认识。组织单位财务人员认真学习《预算法》等相关法规、制度，提高单位领导对全面预算管理的重视程度，增强财务人员的预算意识。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2、严格管理，控制“三公”经费和公用经费支出。认真贯彻落实中央八项规定，切实加强“三公”经费和会议费、培训费管理，严格按照开支有关经费。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3、规范财务运行，加强预算支出管理。严格遵循“先有预算、后有支出”的原则，建立健全并认真执行各项资金使用管理制度，建立内部控制机制，资金使用严格履行审批程序，确保资金支出合法、真实。严格落实会计核算、报销审批制度，加强对资金使用环节的监督。</w:t>
      </w:r>
    </w:p>
    <w:p>
      <w:pPr>
        <w:pStyle w:val="2"/>
        <w:numPr>
          <w:numId w:val="0"/>
        </w:numPr>
        <w:ind w:leftChars="200"/>
        <w:rPr>
          <w:rFonts w:hint="default"/>
        </w:rPr>
      </w:pP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部门整体支出绩效自评结果拟应用和公开情况</w:t>
      </w:r>
    </w:p>
    <w:p>
      <w:pPr>
        <w:spacing w:line="600" w:lineRule="exact"/>
        <w:ind w:firstLine="640" w:firstLineChars="200"/>
        <w:jc w:val="left"/>
        <w:rPr>
          <w:rFonts w:hint="default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下一步我单位将按照绩效管理工作要求，加强绩效自评结果应用，按照预决算公开的要求，将单位部门整体支出自评情况进行公开。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其他需要说明的情况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无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108.44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97.03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3.96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86.04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1.工会经费及业务经费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86.04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盘国花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2023.4.25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 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双牌县总工会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187.03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187.03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140.48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140.48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70.48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70.00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187.03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187.03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实际完成各项工作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实际完成各项工作的质量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完成各项工作支出费用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70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70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万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实际完成各项工作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实际完成各项工作的质量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完成各项工作支出费用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70</w:t>
            </w:r>
            <w:r>
              <w:rPr>
                <w:rFonts w:hint="default" w:eastAsia="仿宋_GB2312"/>
                <w:color w:val="000000"/>
                <w:kern w:val="0"/>
                <w:lang w:eastAsia="zh-CN"/>
              </w:rPr>
              <w:t>.48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70</w:t>
            </w:r>
            <w:r>
              <w:rPr>
                <w:rFonts w:hint="default" w:eastAsia="仿宋_GB2312"/>
                <w:color w:val="000000"/>
                <w:kern w:val="0"/>
                <w:lang w:eastAsia="zh-CN"/>
              </w:rPr>
              <w:t>.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万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发放、救助人数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保障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进一步提升帮扶中心影响力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盘国花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    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2023.4.25</w:t>
      </w:r>
      <w:r>
        <w:rPr>
          <w:rFonts w:hint="eastAsia" w:eastAsia="仿宋_GB2312"/>
          <w:sz w:val="22"/>
          <w:szCs w:val="24"/>
        </w:rPr>
        <w:t xml:space="preserve">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工会经费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年财政拨工会经费70万，确保按时全部发放 保证单位正常运转和业务工作，实现全年总体目标。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年财政拨工会经费70万，确保按时全部发放保证单位正常运转和业务工作，实现全年总体目标。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86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工会经费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双牌县总工会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年财政拨工会经费70万，确保按时全部发放 保证单位正常运转和业务工作，实现全年总体目标。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完成到位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完成各项工作支出费用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实际完成各项工作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实际完成各项工作的质量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大于95%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年底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发放、救助人数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进一步提升帮扶中心影响力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　大于98%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　大于98%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</w:rPr>
              <w:t>大于98%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盘国花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2023.4.25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18244733291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XX单位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7"/>
        <w:gridCol w:w="1347"/>
        <w:gridCol w:w="1349"/>
        <w:gridCol w:w="134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A84475-AE49-4744-BFE9-39BEAE241D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2F6F6F-29AC-43DD-96FC-A91D25FD0A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945D74-9818-4EA1-B276-119C6FF9B4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27F259F-319D-48ED-AF4A-8E31B9A993E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1A218F8-2E11-4FB3-A527-7F9DB290CD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F34480BF-F485-4343-A8BE-6F4899B508FF}"/>
  </w:font>
  <w:font w:name="font-size:10.5pt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04C48"/>
    <w:multiLevelType w:val="singleLevel"/>
    <w:tmpl w:val="8CB04C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jdjOGFiNTFmNmYxNWYxYzE2YTM2YjZiMTlhMDYifQ=="/>
  </w:docVars>
  <w:rsids>
    <w:rsidRoot w:val="6FBF05C4"/>
    <w:rsid w:val="14AA20B4"/>
    <w:rsid w:val="1D683B3D"/>
    <w:rsid w:val="20915ED7"/>
    <w:rsid w:val="28895448"/>
    <w:rsid w:val="30BD7935"/>
    <w:rsid w:val="3E54112B"/>
    <w:rsid w:val="42C15790"/>
    <w:rsid w:val="46896345"/>
    <w:rsid w:val="5B1E1C73"/>
    <w:rsid w:val="62D5456F"/>
    <w:rsid w:val="69B217B9"/>
    <w:rsid w:val="69C830AB"/>
    <w:rsid w:val="79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4130</Words>
  <Characters>4544</Characters>
  <Lines>0</Lines>
  <Paragraphs>0</Paragraphs>
  <TotalTime>12</TotalTime>
  <ScaleCrop>false</ScaleCrop>
  <LinksUpToDate>false</LinksUpToDate>
  <CharactersWithSpaces>4941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2023-09-20T07:41:00Z</dcterms:created>
  <dc:creator>tree杨</dc:creator>
  <cp:lastModifiedBy>s</cp:lastModifiedBy>
  <dcterms:modified xsi:type="dcterms:W3CDTF">2023-09-22T09:55:19Z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5B125B2578544E94B8B4190297E2E8A6_11</vt:lpwstr>
  </property>
</Properties>
</file>