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
        </w:rPr>
        <w:t>2</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双牌县信访事务中心</w:t>
      </w:r>
      <w:r>
        <w:rPr>
          <w:rFonts w:hint="eastAsia" w:ascii="方正小标宋简体" w:eastAsia="方正小标宋简体"/>
          <w:sz w:val="52"/>
          <w:szCs w:val="24"/>
        </w:rPr>
        <w:t>部门</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eastAsia="zh-CN"/>
        </w:rPr>
        <w:t>双牌县信访事务中心</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 xml:space="preserve">年 </w:t>
      </w:r>
      <w:r>
        <w:rPr>
          <w:rFonts w:hint="eastAsia" w:eastAsia="楷体_GB2312"/>
          <w:sz w:val="32"/>
          <w:szCs w:val="24"/>
          <w:lang w:val="en-US" w:eastAsia="zh-CN"/>
        </w:rPr>
        <w:t>5</w:t>
      </w:r>
      <w:r>
        <w:rPr>
          <w:rFonts w:hint="eastAsia" w:eastAsia="楷体_GB2312"/>
          <w:sz w:val="32"/>
          <w:szCs w:val="24"/>
        </w:rPr>
        <w:t xml:space="preserve"> 月 </w:t>
      </w:r>
      <w:r>
        <w:rPr>
          <w:rFonts w:hint="eastAsia" w:eastAsia="楷体_GB2312"/>
          <w:sz w:val="32"/>
          <w:szCs w:val="24"/>
          <w:lang w:val="en-US" w:eastAsia="zh-CN"/>
        </w:rPr>
        <w:t>15</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部门基本情况</w:t>
      </w:r>
    </w:p>
    <w:p>
      <w:pPr>
        <w:numPr>
          <w:ilvl w:val="0"/>
          <w:numId w:val="2"/>
        </w:numPr>
        <w:shd w:val="clear" w:color="auto" w:fill="FFFFFF"/>
        <w:spacing w:beforeLines="0" w:afterLines="0" w:line="570" w:lineRule="exact"/>
        <w:ind w:left="-220" w:leftChars="0" w:firstLine="640" w:firstLineChars="0"/>
        <w:outlineLvl w:val="1"/>
        <w:rPr>
          <w:rFonts w:hint="eastAsia" w:ascii="仿宋" w:hAnsi="仿宋" w:eastAsia="仿宋"/>
          <w:sz w:val="32"/>
          <w:lang w:eastAsia="zh-CN"/>
        </w:rPr>
      </w:pPr>
      <w:r>
        <w:rPr>
          <w:rFonts w:hint="eastAsia" w:ascii="仿宋_GB2312" w:eastAsia="仿宋_GB2312"/>
          <w:b/>
          <w:bCs/>
          <w:sz w:val="32"/>
          <w:szCs w:val="24"/>
        </w:rPr>
        <w:t>部门</w:t>
      </w:r>
      <w:r>
        <w:rPr>
          <w:rFonts w:hint="eastAsia" w:ascii="仿宋" w:hAnsi="仿宋" w:eastAsia="仿宋"/>
          <w:b/>
          <w:bCs/>
          <w:sz w:val="32"/>
        </w:rPr>
        <w:t>主要职能</w:t>
      </w:r>
      <w:r>
        <w:rPr>
          <w:rFonts w:hint="eastAsia" w:ascii="仿宋_GB2312" w:eastAsia="仿宋_GB2312"/>
          <w:b/>
          <w:bCs/>
          <w:sz w:val="32"/>
          <w:szCs w:val="24"/>
        </w:rPr>
        <w:t>职责</w:t>
      </w:r>
      <w:r>
        <w:rPr>
          <w:rFonts w:hint="eastAsia" w:ascii="仿宋" w:hAnsi="仿宋" w:eastAsia="仿宋"/>
          <w:b/>
          <w:bCs/>
          <w:sz w:val="32"/>
          <w:lang w:eastAsia="zh-CN"/>
        </w:rPr>
        <w:t>：</w:t>
      </w: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调处全县各类矛盾纠纷，维护社会稳定</w:t>
      </w:r>
      <w:r>
        <w:rPr>
          <w:rFonts w:hint="eastAsia" w:ascii="仿宋" w:hAnsi="仿宋" w:eastAsia="仿宋"/>
          <w:sz w:val="32"/>
          <w:lang w:eastAsia="zh-CN"/>
        </w:rPr>
        <w:t>。</w:t>
      </w:r>
      <w:r>
        <w:rPr>
          <w:rFonts w:hint="eastAsia" w:ascii="仿宋" w:hAnsi="仿宋" w:eastAsia="仿宋"/>
          <w:sz w:val="32"/>
        </w:rPr>
        <w:t>（2）全力做好信访、维稳、联席、调纠各项工作，及时化解和调处全县各类矛盾纠纷</w:t>
      </w:r>
      <w:r>
        <w:rPr>
          <w:rFonts w:hint="eastAsia" w:ascii="仿宋" w:hAnsi="仿宋" w:eastAsia="仿宋"/>
          <w:sz w:val="32"/>
          <w:lang w:eastAsia="zh-CN"/>
        </w:rPr>
        <w:t>。</w:t>
      </w:r>
      <w:r>
        <w:rPr>
          <w:rFonts w:hint="eastAsia" w:ascii="仿宋" w:hAnsi="仿宋" w:eastAsia="仿宋"/>
          <w:sz w:val="32"/>
        </w:rPr>
        <w:t>（3）承办县委、县人民政府交办的其它事宜</w:t>
      </w:r>
      <w:r>
        <w:rPr>
          <w:rFonts w:hint="eastAsia" w:ascii="仿宋" w:hAnsi="仿宋" w:eastAsia="仿宋"/>
          <w:sz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sz w:val="32"/>
          <w:lang w:eastAsia="zh-CN"/>
        </w:rPr>
      </w:pPr>
      <w:r>
        <w:rPr>
          <w:rFonts w:hint="eastAsia" w:ascii="仿宋_GB2312" w:eastAsia="仿宋_GB2312"/>
          <w:b/>
          <w:bCs/>
          <w:sz w:val="32"/>
          <w:szCs w:val="24"/>
        </w:rPr>
        <w:t>部门</w:t>
      </w:r>
      <w:r>
        <w:rPr>
          <w:rFonts w:hint="eastAsia" w:ascii="仿宋" w:hAnsi="仿宋" w:eastAsia="仿宋"/>
          <w:b/>
          <w:bCs/>
          <w:sz w:val="32"/>
        </w:rPr>
        <w:t>机构</w:t>
      </w:r>
      <w:r>
        <w:rPr>
          <w:rFonts w:hint="eastAsia" w:ascii="仿宋" w:hAnsi="仿宋" w:eastAsia="仿宋"/>
          <w:b/>
          <w:bCs/>
          <w:sz w:val="32"/>
          <w:lang w:eastAsia="zh-CN"/>
        </w:rPr>
        <w:t>编制</w:t>
      </w:r>
      <w:r>
        <w:rPr>
          <w:rFonts w:hint="eastAsia" w:ascii="仿宋" w:hAnsi="仿宋" w:eastAsia="仿宋"/>
          <w:b/>
          <w:bCs/>
          <w:sz w:val="32"/>
        </w:rPr>
        <w:t>情况</w:t>
      </w:r>
      <w:r>
        <w:rPr>
          <w:rFonts w:hint="eastAsia" w:ascii="仿宋" w:hAnsi="仿宋" w:eastAsia="仿宋"/>
          <w:b/>
          <w:bCs/>
          <w:sz w:val="32"/>
          <w:lang w:eastAsia="zh-CN"/>
        </w:rPr>
        <w:t>：</w:t>
      </w:r>
      <w:r>
        <w:rPr>
          <w:rFonts w:hint="eastAsia" w:ascii="仿宋" w:hAnsi="仿宋" w:eastAsia="仿宋"/>
          <w:sz w:val="32"/>
          <w:lang w:eastAsia="zh-CN"/>
        </w:rPr>
        <w:t>双牌县信访事务中心</w:t>
      </w:r>
      <w:r>
        <w:rPr>
          <w:rFonts w:hint="eastAsia" w:ascii="仿宋" w:hAnsi="仿宋" w:eastAsia="仿宋"/>
          <w:sz w:val="32"/>
        </w:rPr>
        <w:t>只有本级，没有其他二级预算单位，因此，纳入</w:t>
      </w:r>
      <w:r>
        <w:rPr>
          <w:rFonts w:hint="eastAsia" w:ascii="仿宋" w:hAnsi="仿宋" w:eastAsia="仿宋"/>
          <w:sz w:val="32"/>
          <w:lang w:val="en-US" w:eastAsia="zh-CN"/>
        </w:rPr>
        <w:t>2022</w:t>
      </w:r>
      <w:r>
        <w:rPr>
          <w:rFonts w:hint="eastAsia" w:ascii="仿宋" w:hAnsi="仿宋" w:eastAsia="仿宋"/>
          <w:sz w:val="32"/>
        </w:rPr>
        <w:t>年部门预算编制范围的只有</w:t>
      </w:r>
      <w:r>
        <w:rPr>
          <w:rFonts w:hint="eastAsia" w:ascii="仿宋" w:hAnsi="仿宋" w:eastAsia="仿宋"/>
          <w:sz w:val="32"/>
          <w:lang w:eastAsia="zh-CN"/>
        </w:rPr>
        <w:t>双牌县信访事务中心本级。 202</w:t>
      </w:r>
      <w:r>
        <w:rPr>
          <w:rFonts w:hint="eastAsia" w:ascii="仿宋" w:hAnsi="仿宋" w:eastAsia="仿宋"/>
          <w:sz w:val="32"/>
          <w:lang w:val="en-US" w:eastAsia="zh-CN"/>
        </w:rPr>
        <w:t>2</w:t>
      </w:r>
      <w:r>
        <w:rPr>
          <w:rFonts w:hint="eastAsia" w:ascii="仿宋" w:hAnsi="仿宋" w:eastAsia="仿宋"/>
          <w:sz w:val="32"/>
          <w:lang w:eastAsia="zh-CN"/>
        </w:rPr>
        <w:t>年本单位设股室</w:t>
      </w:r>
      <w:r>
        <w:rPr>
          <w:rFonts w:hint="eastAsia" w:ascii="仿宋" w:hAnsi="仿宋" w:eastAsia="仿宋"/>
          <w:sz w:val="32"/>
          <w:lang w:val="en-US" w:eastAsia="zh-CN"/>
        </w:rPr>
        <w:t>4</w:t>
      </w:r>
      <w:r>
        <w:rPr>
          <w:rFonts w:hint="eastAsia" w:ascii="仿宋" w:hAnsi="仿宋" w:eastAsia="仿宋"/>
          <w:sz w:val="32"/>
          <w:lang w:eastAsia="zh-CN"/>
        </w:rPr>
        <w:t>个，分别是办公室、导访接访室、网信室、办信室。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sz w:val="32"/>
          <w:lang w:eastAsia="zh-CN"/>
        </w:rPr>
      </w:pPr>
      <w:r>
        <w:rPr>
          <w:rFonts w:hint="eastAsia" w:ascii="仿宋" w:hAnsi="仿宋" w:eastAsia="仿宋"/>
          <w:b/>
          <w:bCs/>
          <w:sz w:val="32"/>
          <w:lang w:eastAsia="zh-CN"/>
        </w:rPr>
        <w:t>部门人员构成情况：</w:t>
      </w:r>
      <w:r>
        <w:rPr>
          <w:rFonts w:hint="eastAsia" w:ascii="仿宋" w:hAnsi="仿宋" w:eastAsia="仿宋"/>
          <w:sz w:val="32"/>
          <w:lang w:eastAsia="zh-CN"/>
        </w:rPr>
        <w:t>202</w:t>
      </w:r>
      <w:r>
        <w:rPr>
          <w:rFonts w:hint="eastAsia" w:ascii="仿宋" w:hAnsi="仿宋" w:eastAsia="仿宋"/>
          <w:sz w:val="32"/>
          <w:lang w:val="en-US" w:eastAsia="zh-CN"/>
        </w:rPr>
        <w:t>2</w:t>
      </w:r>
      <w:r>
        <w:rPr>
          <w:rFonts w:hint="eastAsia" w:ascii="仿宋" w:hAnsi="仿宋" w:eastAsia="仿宋"/>
          <w:sz w:val="32"/>
          <w:lang w:eastAsia="zh-CN"/>
        </w:rPr>
        <w:t>年本单位年末实有人数1</w:t>
      </w:r>
      <w:r>
        <w:rPr>
          <w:rFonts w:hint="eastAsia" w:ascii="仿宋" w:hAnsi="仿宋" w:eastAsia="仿宋"/>
          <w:sz w:val="32"/>
          <w:lang w:val="en-US" w:eastAsia="zh-CN"/>
        </w:rPr>
        <w:t>1</w:t>
      </w:r>
      <w:r>
        <w:rPr>
          <w:rFonts w:hint="eastAsia" w:ascii="仿宋" w:hAnsi="仿宋" w:eastAsia="仿宋"/>
          <w:sz w:val="32"/>
          <w:lang w:eastAsia="zh-CN"/>
        </w:rPr>
        <w:t>人（在编在岗</w:t>
      </w:r>
      <w:r>
        <w:rPr>
          <w:rFonts w:hint="eastAsia" w:ascii="仿宋" w:hAnsi="仿宋" w:eastAsia="仿宋"/>
          <w:sz w:val="32"/>
          <w:lang w:val="en-US" w:eastAsia="zh-CN"/>
        </w:rPr>
        <w:t>10</w:t>
      </w:r>
      <w:r>
        <w:rPr>
          <w:rFonts w:hint="eastAsia" w:ascii="仿宋" w:hAnsi="仿宋" w:eastAsia="仿宋"/>
          <w:sz w:val="32"/>
          <w:lang w:eastAsia="zh-CN"/>
        </w:rPr>
        <w:t>人，抽调1人），新增正科级人员一名，</w:t>
      </w:r>
      <w:r>
        <w:rPr>
          <w:rFonts w:hint="eastAsia" w:ascii="仿宋" w:hAnsi="仿宋" w:eastAsia="仿宋"/>
          <w:sz w:val="32"/>
          <w:lang w:val="en-US" w:eastAsia="zh-CN"/>
        </w:rPr>
        <w:t>2022年7月从阳明山管理局调入</w:t>
      </w:r>
      <w:r>
        <w:rPr>
          <w:rFonts w:hint="eastAsia" w:ascii="仿宋" w:hAnsi="仿宋" w:eastAsia="仿宋"/>
          <w:sz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b/>
          <w:bCs/>
          <w:sz w:val="32"/>
          <w:lang w:eastAsia="zh-CN"/>
        </w:rPr>
      </w:pPr>
      <w:r>
        <w:rPr>
          <w:rFonts w:hint="eastAsia" w:ascii="仿宋" w:hAnsi="仿宋" w:eastAsia="仿宋"/>
          <w:b/>
          <w:bCs/>
          <w:sz w:val="32"/>
          <w:lang w:eastAsia="zh-CN"/>
        </w:rPr>
        <w:t>（二）部门整体支出经费预决算概况</w:t>
      </w:r>
    </w:p>
    <w:p>
      <w:pPr>
        <w:numPr>
          <w:ilvl w:val="0"/>
          <w:numId w:val="0"/>
        </w:numPr>
        <w:shd w:val="clear" w:color="auto" w:fill="FFFFFF"/>
        <w:spacing w:beforeLines="0" w:afterLines="0" w:line="570" w:lineRule="exact"/>
        <w:ind w:firstLine="640" w:firstLineChars="200"/>
        <w:outlineLvl w:val="1"/>
        <w:rPr>
          <w:rFonts w:hint="eastAsia" w:ascii="仿宋" w:hAnsi="仿宋" w:eastAsia="仿宋"/>
          <w:sz w:val="32"/>
        </w:rPr>
      </w:pPr>
      <w:r>
        <w:rPr>
          <w:rFonts w:hint="eastAsia" w:ascii="仿宋" w:hAnsi="仿宋" w:eastAsia="仿宋"/>
          <w:sz w:val="32"/>
        </w:rPr>
        <w:t>我</w:t>
      </w:r>
      <w:r>
        <w:rPr>
          <w:rFonts w:hint="eastAsia" w:ascii="仿宋" w:hAnsi="仿宋" w:eastAsia="仿宋"/>
          <w:sz w:val="32"/>
          <w:lang w:eastAsia="zh-CN"/>
        </w:rPr>
        <w:t>中心</w:t>
      </w:r>
      <w:r>
        <w:rPr>
          <w:rFonts w:hint="eastAsia" w:ascii="仿宋" w:hAnsi="仿宋" w:eastAsia="仿宋"/>
          <w:sz w:val="32"/>
        </w:rPr>
        <w:t>整体支出预算资金均为一般公共预算资金，无政府性基金预算资金、国有资本经营预算资金、社会保险基金预算资金。</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3" w:firstLineChars="200"/>
        <w:jc w:val="both"/>
        <w:outlineLvl w:val="1"/>
        <w:rPr>
          <w:rFonts w:hint="eastAsia" w:ascii="仿宋" w:hAnsi="仿宋" w:eastAsia="仿宋" w:cstheme="minorBidi"/>
          <w:b/>
          <w:bCs/>
          <w:kern w:val="2"/>
          <w:sz w:val="32"/>
          <w:szCs w:val="24"/>
          <w:lang w:val="en-US" w:eastAsia="zh-CN" w:bidi="ar-SA"/>
        </w:rPr>
      </w:pPr>
      <w:r>
        <w:rPr>
          <w:rFonts w:hint="eastAsia" w:ascii="仿宋" w:hAnsi="仿宋" w:eastAsia="仿宋" w:cstheme="minorBidi"/>
          <w:b/>
          <w:bCs/>
          <w:kern w:val="2"/>
          <w:sz w:val="32"/>
          <w:szCs w:val="24"/>
          <w:lang w:val="en-US" w:eastAsia="zh-CN" w:bidi="ar-SA"/>
        </w:rPr>
        <w:t>部门整体经费收入预决算执行情况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both"/>
        <w:outlineLvl w:val="1"/>
        <w:rPr>
          <w:rFonts w:hint="eastAsia" w:ascii="仿宋" w:hAnsi="仿宋" w:eastAsia="仿宋" w:cstheme="minorBidi"/>
          <w:b w:val="0"/>
          <w:bCs w:val="0"/>
          <w:kern w:val="2"/>
          <w:sz w:val="32"/>
          <w:szCs w:val="24"/>
          <w:lang w:val="en-US" w:eastAsia="zh-CN" w:bidi="ar-SA"/>
        </w:rPr>
      </w:pPr>
      <w:r>
        <w:rPr>
          <w:rFonts w:hint="eastAsia" w:ascii="仿宋" w:hAnsi="仿宋" w:eastAsia="仿宋" w:cstheme="minorBidi"/>
          <w:b w:val="0"/>
          <w:bCs w:val="0"/>
          <w:kern w:val="2"/>
          <w:sz w:val="32"/>
          <w:szCs w:val="24"/>
          <w:lang w:val="en-US" w:eastAsia="zh-CN" w:bidi="ar-SA"/>
        </w:rPr>
        <w:t>经批复，我中心2022年度整体支出年初预算207.19万元，收入来源为经费拨款，其中基本支出95.69 万元，项目支出   111.50万元。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楷体_GB2312" w:hAnsi="楷体_GB2312" w:eastAsia="楷体_GB2312"/>
          <w:sz w:val="32"/>
          <w:szCs w:val="32"/>
        </w:rPr>
      </w:pPr>
      <w:r>
        <w:rPr>
          <w:rFonts w:hint="eastAsia" w:ascii="仿宋" w:hAnsi="仿宋" w:eastAsia="仿宋" w:cstheme="minorBidi"/>
          <w:b w:val="0"/>
          <w:bCs w:val="0"/>
          <w:kern w:val="2"/>
          <w:sz w:val="32"/>
          <w:szCs w:val="24"/>
          <w:lang w:val="en-US" w:eastAsia="zh-CN" w:bidi="ar-SA"/>
        </w:rPr>
        <w:t>本年决算收入310.47万元，其中基本支出103.41万元，项目支出207.06万元。本年决算收入较预算收入增加103.27万元，为本年追加财政资金，其中追加各类人员经费7.75万元，信访疑难问题救助资金经费及2022年</w:t>
      </w:r>
      <w:r>
        <w:rPr>
          <w:rFonts w:hint="eastAsia" w:ascii="仿宋" w:hAnsi="仿宋" w:eastAsia="仿宋" w:cs="仿宋"/>
          <w:sz w:val="32"/>
          <w:szCs w:val="32"/>
          <w:lang w:val="en-US" w:eastAsia="zh-CN"/>
        </w:rPr>
        <w:t>各类特防期信访维稳值班县批资金95.52万元。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both"/>
        <w:outlineLvl w:val="1"/>
        <w:rPr>
          <w:rFonts w:hint="eastAsia" w:ascii="仿宋" w:hAnsi="仿宋" w:eastAsia="仿宋" w:cstheme="minorBidi"/>
          <w:b w:val="0"/>
          <w:bCs w:val="0"/>
          <w:kern w:val="2"/>
          <w:sz w:val="32"/>
          <w:szCs w:val="24"/>
          <w:lang w:val="en-US" w:eastAsia="zh-CN" w:bidi="ar-SA"/>
        </w:rPr>
      </w:pPr>
      <w:r>
        <w:rPr>
          <w:rFonts w:hint="eastAsia" w:ascii="仿宋" w:hAnsi="仿宋" w:eastAsia="仿宋" w:cstheme="minorBidi"/>
          <w:b w:val="0"/>
          <w:bCs w:val="0"/>
          <w:kern w:val="2"/>
          <w:sz w:val="32"/>
          <w:szCs w:val="24"/>
          <w:lang w:val="en-US" w:eastAsia="zh-CN" w:bidi="ar-SA"/>
        </w:rPr>
        <w:t>本年支出决算金额310.47万元，预算执行率100％。其中：基本支出决算总额103.41万元，基本支出预算执行率100％；项目支出决算总额207.06万元，项目支出预算执行率100％。</w:t>
      </w:r>
    </w:p>
    <w:p>
      <w:pPr>
        <w:pStyle w:val="11"/>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1"/>
        <w:spacing w:beforeLines="0" w:afterLines="0" w:line="570" w:lineRule="exact"/>
        <w:ind w:firstLine="640"/>
        <w:outlineLvl w:val="1"/>
        <w:rPr>
          <w:rFonts w:hint="eastAsia" w:ascii="Times New Roman" w:hAnsi="Times New Roman" w:eastAsia="仿宋_GB2312"/>
          <w:b/>
          <w:bCs/>
          <w:sz w:val="32"/>
          <w:szCs w:val="24"/>
        </w:rPr>
      </w:pPr>
      <w:r>
        <w:rPr>
          <w:rFonts w:hint="eastAsia" w:ascii="Times New Roman" w:hAnsi="Times New Roman" w:eastAsia="仿宋_GB2312"/>
          <w:b/>
          <w:bCs/>
          <w:sz w:val="32"/>
          <w:szCs w:val="24"/>
        </w:rPr>
        <w:t>（一）基本支出情况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1．基本支出收入总额预决算情况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2022年基本支出上年结余结转0万元，年初预算收入</w:t>
      </w:r>
      <w:r>
        <w:rPr>
          <w:rFonts w:hint="eastAsia" w:ascii="仿宋" w:hAnsi="仿宋" w:eastAsia="仿宋" w:cstheme="minorBidi"/>
          <w:b w:val="0"/>
          <w:bCs w:val="0"/>
          <w:kern w:val="2"/>
          <w:sz w:val="32"/>
          <w:szCs w:val="24"/>
          <w:lang w:val="en-US" w:eastAsia="zh-CN" w:bidi="ar-SA"/>
        </w:rPr>
        <w:t>207.19</w:t>
      </w:r>
      <w:r>
        <w:rPr>
          <w:rFonts w:hint="eastAsia" w:ascii="仿宋" w:hAnsi="仿宋" w:eastAsia="仿宋" w:cs="仿宋"/>
          <w:kern w:val="2"/>
          <w:sz w:val="32"/>
          <w:szCs w:val="32"/>
          <w:lang w:val="en-US" w:eastAsia="zh-CN" w:bidi="ar-SA"/>
        </w:rPr>
        <w:t>万元，本年追加</w:t>
      </w:r>
      <w:r>
        <w:rPr>
          <w:rFonts w:hint="eastAsia" w:ascii="仿宋" w:hAnsi="仿宋" w:eastAsia="仿宋" w:cstheme="minorBidi"/>
          <w:b w:val="0"/>
          <w:bCs w:val="0"/>
          <w:kern w:val="2"/>
          <w:sz w:val="32"/>
          <w:szCs w:val="24"/>
          <w:lang w:val="en-US" w:eastAsia="zh-CN" w:bidi="ar-SA"/>
        </w:rPr>
        <w:t>103.28</w:t>
      </w:r>
      <w:r>
        <w:rPr>
          <w:rFonts w:hint="eastAsia" w:ascii="仿宋" w:hAnsi="仿宋" w:eastAsia="仿宋" w:cs="仿宋"/>
          <w:kern w:val="2"/>
          <w:sz w:val="32"/>
          <w:szCs w:val="32"/>
          <w:lang w:val="en-US" w:eastAsia="zh-CN" w:bidi="ar-SA"/>
        </w:rPr>
        <w:t>万元，合计可用预算资金</w:t>
      </w:r>
      <w:r>
        <w:rPr>
          <w:rFonts w:hint="eastAsia" w:ascii="仿宋" w:hAnsi="仿宋" w:eastAsia="仿宋" w:cstheme="minorBidi"/>
          <w:b w:val="0"/>
          <w:bCs w:val="0"/>
          <w:kern w:val="2"/>
          <w:sz w:val="32"/>
          <w:szCs w:val="24"/>
          <w:lang w:val="en-US" w:eastAsia="zh-CN" w:bidi="ar-SA"/>
        </w:rPr>
        <w:t>310.47</w:t>
      </w:r>
      <w:r>
        <w:rPr>
          <w:rFonts w:hint="eastAsia" w:ascii="仿宋" w:hAnsi="仿宋" w:eastAsia="仿宋" w:cs="仿宋"/>
          <w:kern w:val="2"/>
          <w:sz w:val="32"/>
          <w:szCs w:val="32"/>
          <w:lang w:val="en-US" w:eastAsia="zh-CN" w:bidi="ar-SA"/>
        </w:rPr>
        <w:t>万元。基本支出本年决算收入310.46万元，与预算收入一致。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2．基本支出经费及预算执行情况</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43434"/>
          <w:spacing w:val="0"/>
          <w:sz w:val="24"/>
          <w:szCs w:val="24"/>
        </w:rPr>
      </w:pP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43434"/>
          <w:spacing w:val="0"/>
          <w:sz w:val="24"/>
          <w:szCs w:val="24"/>
          <w:lang w:eastAsia="zh-CN"/>
        </w:rPr>
      </w:pPr>
      <w:r>
        <w:rPr>
          <w:rFonts w:hint="eastAsia" w:ascii="微软雅黑" w:hAnsi="微软雅黑" w:eastAsia="微软雅黑" w:cs="微软雅黑"/>
          <w:i w:val="0"/>
          <w:iCs w:val="0"/>
          <w:caps w:val="0"/>
          <w:color w:val="343434"/>
          <w:spacing w:val="0"/>
          <w:sz w:val="24"/>
          <w:szCs w:val="24"/>
          <w:lang w:eastAsia="zh-CN"/>
        </w:rPr>
        <w:drawing>
          <wp:inline distT="0" distB="0" distL="114300" distR="114300">
            <wp:extent cx="5394325" cy="1384935"/>
            <wp:effectExtent l="0" t="0" r="15875" b="5715"/>
            <wp:docPr id="4" name="图片 4" descr="微信图片_2023090816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908161731"/>
                    <pic:cNvPicPr>
                      <a:picLocks noChangeAspect="1"/>
                    </pic:cNvPicPr>
                  </pic:nvPicPr>
                  <pic:blipFill>
                    <a:blip r:embed="rId7"/>
                    <a:stretch>
                      <a:fillRect/>
                    </a:stretch>
                  </pic:blipFill>
                  <pic:spPr>
                    <a:xfrm>
                      <a:off x="0" y="0"/>
                      <a:ext cx="5394325" cy="1384935"/>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0" w:type="dxa"/>
            <w:shd w:val="clear" w:color="auto" w:fill="auto"/>
            <w:vAlign w:val="center"/>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基本支出本年支出决算103.41万元，预算指标执行率101.08%。其中人员经费预算执行率101.09％，公用经费预算执行率99.63％。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（1）工资福利支出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本年可用预算82.82万元，决算支出92.34万元，预算执行率111.49％。决算支出超出预算指标支付总金额9.52万元。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（2）商品和服务支出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本年可用预算11.1万元，决算支出11.06万元，预算执行率99.63％。经自查，决算支出均控制在预算指标之内，指标结转结余0.04万元。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（3）对个人和家庭的补助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对个人和家庭的补助本年可用预算1.77万元，决算支出0万元，预算执行率0％。经自查，此项为遗补资金，由县财政每月统一直接支付给遗补对象。</w:t>
      </w:r>
    </w:p>
    <w:p>
      <w:pPr>
        <w:pStyle w:val="11"/>
        <w:numPr>
          <w:ilvl w:val="0"/>
          <w:numId w:val="2"/>
        </w:numPr>
        <w:spacing w:beforeLines="0" w:afterLines="0" w:line="570" w:lineRule="exact"/>
        <w:ind w:left="-220" w:leftChars="0" w:firstLine="640" w:firstLineChars="0"/>
        <w:outlineLvl w:val="1"/>
        <w:rPr>
          <w:rFonts w:hint="eastAsia" w:ascii="Times New Roman" w:hAnsi="Times New Roman" w:eastAsia="仿宋_GB2312"/>
          <w:b/>
          <w:bCs/>
          <w:sz w:val="32"/>
          <w:szCs w:val="24"/>
        </w:rPr>
      </w:pPr>
      <w:r>
        <w:rPr>
          <w:rFonts w:hint="eastAsia" w:ascii="Times New Roman" w:hAnsi="Times New Roman" w:eastAsia="仿宋_GB2312"/>
          <w:b/>
          <w:bCs/>
          <w:sz w:val="32"/>
          <w:szCs w:val="24"/>
        </w:rPr>
        <w:t>项目支出情况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1．项目支出总体情况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（1）项目资金预算安排情况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2022年度我中心项目支出中业务工作经费207.06万元，信访维稳应急处置经费196.76万元。经统计，我中心本年预算安排专项8个，年初预算111.5万元，本年追加85.26万元，本年合计预算收入207.06万元。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964" w:firstLineChars="3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（2）本年预算执行及结转结余情况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960" w:firstLineChars="3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本年决算支出207.06万元，预算执行率117.6%。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964" w:firstLineChars="3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2.项目支出按经济分类预算执行情况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132715</wp:posOffset>
            </wp:positionV>
            <wp:extent cx="5396230" cy="1343660"/>
            <wp:effectExtent l="0" t="0" r="13970" b="8890"/>
            <wp:wrapTopAndBottom/>
            <wp:docPr id="1" name="图片 1" descr="5800bafb160b3c5b2a829cefe5ef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00bafb160b3c5b2a829cefe5ef384"/>
                    <pic:cNvPicPr>
                      <a:picLocks noChangeAspect="1"/>
                    </pic:cNvPicPr>
                  </pic:nvPicPr>
                  <pic:blipFill>
                    <a:blip r:embed="rId8"/>
                    <a:stretch>
                      <a:fillRect/>
                    </a:stretch>
                  </pic:blipFill>
                  <pic:spPr>
                    <a:xfrm>
                      <a:off x="0" y="0"/>
                      <a:ext cx="5396230" cy="1343660"/>
                    </a:xfrm>
                    <a:prstGeom prst="rect">
                      <a:avLst/>
                    </a:prstGeom>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（1）根据预算安排，我中心项目资金全年预算111.50万元，用于工资福利支出的预算金额0万元，占0％；商品和服务支出的预算金额111.50万元，占100％；对个人和家庭的补助0万元，占0％。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（2）项目支出决算支出207.06万元，预算执行率117.6％。其中：商品和服务支出预算执行率117.60％。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（3）项目支出主要包括两类经费：一是业务工作经费主要是为保障信访业务工作开展设立的专项经费，包括 “枫桥经验”办公经费、北京冬奥会、冬残奥会和全国“两会”信访维稳经费、日常应急处置费、省市“两会”信访维稳经费、 信访工作“三无”县区创建工作经费、驻长信访值班经费、驻京维稳劝返办工作经费等共计196.76万元。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二是信访疑难问题救助资金经费7.6万元，残疾人保障金缴费及其他工作经费2.7万元。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（三）三公经费自评情况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drawing>
          <wp:anchor distT="0" distB="0" distL="114300" distR="114300" simplePos="0" relativeHeight="251660288" behindDoc="0" locked="0" layoutInCell="1" allowOverlap="1">
            <wp:simplePos x="0" y="0"/>
            <wp:positionH relativeFrom="column">
              <wp:posOffset>244475</wp:posOffset>
            </wp:positionH>
            <wp:positionV relativeFrom="paragraph">
              <wp:posOffset>81915</wp:posOffset>
            </wp:positionV>
            <wp:extent cx="5399405" cy="2713990"/>
            <wp:effectExtent l="0" t="0" r="10795" b="10160"/>
            <wp:wrapTopAndBottom/>
            <wp:docPr id="5" name="图片 5" descr="6325ae74fdc46cc2dff0b107d2b0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325ae74fdc46cc2dff0b107d2b06dc"/>
                    <pic:cNvPicPr>
                      <a:picLocks noChangeAspect="1"/>
                    </pic:cNvPicPr>
                  </pic:nvPicPr>
                  <pic:blipFill>
                    <a:blip r:embed="rId9"/>
                    <a:stretch>
                      <a:fillRect/>
                    </a:stretch>
                  </pic:blipFill>
                  <pic:spPr>
                    <a:xfrm>
                      <a:off x="0" y="0"/>
                      <a:ext cx="5399405" cy="2713990"/>
                    </a:xfrm>
                    <a:prstGeom prst="rect">
                      <a:avLst/>
                    </a:prstGeom>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我中心2022年</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三公</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经费完成4.99万元，比上年增0.0614万元，增加1.24%，增减变化的主要原因是：本年度单位接待兄弟县区业务交流增加</w:t>
      </w:r>
      <w:r>
        <w:rPr>
          <w:rFonts w:hint="eastAsia" w:ascii="仿宋" w:hAnsi="仿宋" w:eastAsia="仿宋" w:cs="仿宋"/>
          <w:b w:val="0"/>
          <w:bCs w:val="0"/>
          <w:kern w:val="2"/>
          <w:sz w:val="32"/>
          <w:szCs w:val="32"/>
          <w:lang w:val="zh-CN" w:eastAsia="zh-CN" w:bidi="ar-SA"/>
        </w:rPr>
        <w:t>。其中：因公出国（境）费</w:t>
      </w:r>
      <w:r>
        <w:rPr>
          <w:rFonts w:hint="eastAsia" w:ascii="仿宋" w:hAnsi="仿宋" w:eastAsia="仿宋" w:cs="仿宋"/>
          <w:b w:val="0"/>
          <w:bCs w:val="0"/>
          <w:kern w:val="2"/>
          <w:sz w:val="32"/>
          <w:szCs w:val="32"/>
          <w:lang w:val="en-US" w:eastAsia="zh-CN" w:bidi="ar-SA"/>
        </w:rPr>
        <w:t>完成</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元，与上年持平</w:t>
      </w:r>
      <w:r>
        <w:rPr>
          <w:rFonts w:hint="eastAsia" w:ascii="仿宋" w:hAnsi="仿宋" w:eastAsia="仿宋" w:cs="仿宋"/>
          <w:b w:val="0"/>
          <w:bCs w:val="0"/>
          <w:kern w:val="2"/>
          <w:sz w:val="32"/>
          <w:szCs w:val="32"/>
          <w:lang w:val="zh-CN" w:eastAsia="zh-CN" w:bidi="ar-SA"/>
        </w:rPr>
        <w:t>；公务接待费</w:t>
      </w:r>
      <w:r>
        <w:rPr>
          <w:rFonts w:hint="eastAsia" w:ascii="仿宋" w:hAnsi="仿宋" w:eastAsia="仿宋" w:cs="仿宋"/>
          <w:b w:val="0"/>
          <w:bCs w:val="0"/>
          <w:kern w:val="2"/>
          <w:sz w:val="32"/>
          <w:szCs w:val="32"/>
          <w:lang w:val="en-US" w:eastAsia="zh-CN" w:bidi="ar-SA"/>
        </w:rPr>
        <w:t>完成4.99万元，比上年增0.0614万元，增加1.24%，公务接待57批289人，增加的主要原因是：本年度单位接待兄弟县区业务交流增加</w:t>
      </w:r>
      <w:r>
        <w:rPr>
          <w:rFonts w:hint="eastAsia" w:ascii="仿宋" w:hAnsi="仿宋" w:eastAsia="仿宋" w:cs="仿宋"/>
          <w:b w:val="0"/>
          <w:bCs w:val="0"/>
          <w:kern w:val="2"/>
          <w:sz w:val="32"/>
          <w:szCs w:val="32"/>
          <w:lang w:val="zh-CN" w:eastAsia="zh-CN" w:bidi="ar-SA"/>
        </w:rPr>
        <w:t>；公务用车购置及运行维护费</w:t>
      </w:r>
      <w:r>
        <w:rPr>
          <w:rFonts w:hint="eastAsia" w:ascii="仿宋" w:hAnsi="仿宋" w:eastAsia="仿宋" w:cs="仿宋"/>
          <w:b w:val="0"/>
          <w:bCs w:val="0"/>
          <w:kern w:val="2"/>
          <w:sz w:val="32"/>
          <w:szCs w:val="32"/>
          <w:lang w:val="en-US" w:eastAsia="zh-CN" w:bidi="ar-SA"/>
        </w:rPr>
        <w:t>完成</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元，与上年持平</w:t>
      </w:r>
      <w:r>
        <w:rPr>
          <w:rFonts w:hint="eastAsia" w:ascii="仿宋" w:hAnsi="仿宋" w:eastAsia="仿宋" w:cs="仿宋"/>
          <w:b w:val="0"/>
          <w:bCs w:val="0"/>
          <w:kern w:val="2"/>
          <w:sz w:val="32"/>
          <w:szCs w:val="32"/>
          <w:lang w:val="zh-CN"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本年三公经费支出总额4.99万元，预算执行率76.76％。公务接待费决算支出4.99万元，预算执行率76.76％。</w:t>
      </w:r>
    </w:p>
    <w:p>
      <w:pPr>
        <w:pStyle w:val="11"/>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1"/>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1"/>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1"/>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1"/>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1"/>
        <w:numPr>
          <w:ilvl w:val="0"/>
          <w:numId w:val="0"/>
        </w:numPr>
        <w:spacing w:beforeLines="0" w:afterLines="0" w:line="570" w:lineRule="exact"/>
        <w:ind w:leftChars="200" w:firstLine="320" w:firstLineChars="1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（一）及时制定了自评实施方案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双牌县财政局关于开展2022年度预算部门绩效自评工作的通知》（双财绩[2023]2号）文件精神，我中心及时制定了2022年度部门整体支出绩效自评工作的实施方案，成立了绩效评价工作小组，我中心成立了预算绩效评价工作领导小组，党支部书记、信访事务中心主任高才生为组长，信访事务中心副主任、分管财务领导李光胜为副组长，网信室主任卢毅、办公室主任赵萍、财务人员陈华英等三名同志为成员，切实加强对绩效工作的组织领导，保证各项工作有序高效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（二）加强制度建设，强化绩效管理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大力推行预算绩效管理工作，探索建立绩效评价体系，着重对基本支出、三公经费和项目支出情况进行评价。逐步把预算支出管理工作重心转移到提高效率上来。中心党支部对超过5万元的项目预算都认真研究，集体讨论项目的可行性、实效性及合法性等问题，把绩效理念贯穿到预算支出管理全过程，构建注重绩效、结构优化、分配科学、管理规范的业务专项经费管理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（三）认真开展绩效自评工作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通知要求，中心办公室向有关业务股室下发了项目支出绩效自评表，有关业务股室均完成了本股室的项目资金的绩效自评工作，向办公室提交了绩效自评表。中心绩效自评工作小组对单位预算资金管理情况进行了全面自查、自评，对有关业务股室填报、提交的自评材料进行了审核和综合评价，汇总形成了本绩效自评报告，并呈送主要领导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（四）2022年我中心取得的主要工作成绩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来，在县委、政府的正确领导和市信访局的精心指导下，深入学习贯彻习近平总书记关于加强和改进人民信访工作的重要思想，以“示范县”创建为目标，以保障党的二十大期间社会平安稳定为主线，坚持和发展新时代“枫桥经验”，及时就地解决信访问题、化解突出矛盾，全县信访形势总体持续平稳向好，有效维护社会大局和谐稳定。完成了北京冬奥会和全国“两会”、党的二十大等各类特防期期间信访安保任务，实现了“五个不发生、一个确保”的目标。连续三年获全省信访工作“示范县”殊荣并获省政府真抓实干督查激励表扬，连续四年荣获市信访工作目标管理考核“先进单位”。</w:t>
      </w:r>
    </w:p>
    <w:p>
      <w:pPr>
        <w:pStyle w:val="11"/>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预算精细化水平还有待提升，特别是进一步提高人员经费预算编制科学化、精细化程度。存在部分项目决算支出与预算支出有差距。因“过紧日子”要求，我中心全年经费预算缺口较多，追加预算多，占全年总收入的33.2%，收入预、决算有一定差异。</w:t>
      </w:r>
    </w:p>
    <w:p>
      <w:pPr>
        <w:numPr>
          <w:ilvl w:val="0"/>
          <w:numId w:val="4"/>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下一步改进措施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p>
      <w:pPr>
        <w:numPr>
          <w:ilvl w:val="0"/>
          <w:numId w:val="4"/>
        </w:numPr>
        <w:spacing w:beforeLines="0" w:afterLines="0" w:line="570" w:lineRule="exact"/>
        <w:ind w:left="0" w:leftChars="0" w:firstLine="640" w:firstLineChars="200"/>
        <w:jc w:val="left"/>
        <w:outlineLvl w:val="0"/>
        <w:rPr>
          <w:rFonts w:hint="eastAsia" w:eastAsia="黑体"/>
          <w:sz w:val="32"/>
          <w:szCs w:val="24"/>
        </w:rPr>
      </w:pPr>
      <w:r>
        <w:rPr>
          <w:rFonts w:hint="eastAsia" w:eastAsia="黑体"/>
          <w:sz w:val="32"/>
          <w:szCs w:val="24"/>
        </w:rPr>
        <w:t>部门整体支出绩效自评结果拟应用和公开情况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Times New Roman"/>
          <w:b w:val="0"/>
          <w:bCs w:val="0"/>
          <w:kern w:val="2"/>
          <w:sz w:val="32"/>
          <w:szCs w:val="21"/>
          <w:lang w:val="en-US" w:eastAsia="zh-CN" w:bidi="ar-SA"/>
        </w:rPr>
      </w:pPr>
      <w:r>
        <w:rPr>
          <w:rFonts w:hint="eastAsia" w:ascii="仿宋" w:hAnsi="仿宋" w:eastAsia="仿宋" w:cs="Times New Roman"/>
          <w:b w:val="0"/>
          <w:bCs w:val="0"/>
          <w:kern w:val="2"/>
          <w:sz w:val="32"/>
          <w:szCs w:val="21"/>
          <w:lang w:val="en-US" w:eastAsia="zh-CN" w:bidi="ar-SA"/>
        </w:rPr>
        <w:t>对绩效自评结果，我中心拟应用和公开情况如下：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Times New Roman"/>
          <w:b w:val="0"/>
          <w:bCs w:val="0"/>
          <w:kern w:val="2"/>
          <w:sz w:val="32"/>
          <w:szCs w:val="21"/>
          <w:lang w:val="en-US" w:eastAsia="zh-CN" w:bidi="ar-SA"/>
        </w:rPr>
      </w:pPr>
      <w:r>
        <w:rPr>
          <w:rFonts w:hint="eastAsia" w:ascii="仿宋" w:hAnsi="仿宋" w:eastAsia="仿宋" w:cs="Times New Roman"/>
          <w:b w:val="0"/>
          <w:bCs w:val="0"/>
          <w:kern w:val="2"/>
          <w:sz w:val="32"/>
          <w:szCs w:val="21"/>
          <w:lang w:val="en-US" w:eastAsia="zh-CN" w:bidi="ar-SA"/>
        </w:rPr>
        <w:t>（一）全面公开绩效自评报告。我中心将按照省财政厅统一要求，在2023年6月30日前将部门整体支出绩效自评报告在门户网站公开，接受社会监督。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rPr>
      </w:pPr>
      <w:r>
        <w:rPr>
          <w:rFonts w:hint="eastAsia" w:ascii="仿宋" w:hAnsi="仿宋" w:eastAsia="仿宋" w:cs="Times New Roman"/>
          <w:b w:val="0"/>
          <w:bCs w:val="0"/>
          <w:kern w:val="2"/>
          <w:sz w:val="32"/>
          <w:szCs w:val="21"/>
          <w:lang w:val="en-US" w:eastAsia="zh-CN" w:bidi="ar-SA"/>
        </w:rPr>
        <w:t>（二）及时整改。就绩效自评中发现的问题切实整改并落实到位。</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pStyle w:val="2"/>
        <w:ind w:left="0" w:leftChars="0" w:firstLine="0" w:firstLineChars="0"/>
        <w:rPr>
          <w:rFonts w:hint="default" w:eastAsia="黑体"/>
          <w:lang w:val="en-US" w:eastAsia="zh-CN"/>
        </w:rPr>
      </w:pPr>
      <w:r>
        <w:rPr>
          <w:rFonts w:hint="eastAsia" w:eastAsia="黑体"/>
          <w:sz w:val="32"/>
          <w:szCs w:val="24"/>
          <w:lang w:val="en-US" w:eastAsia="zh-CN"/>
        </w:rPr>
        <w:t xml:space="preserve">    无。</w:t>
      </w:r>
    </w:p>
    <w:p>
      <w:pPr>
        <w:spacing w:beforeLines="0" w:after="120" w:afterLines="50" w:line="600" w:lineRule="exact"/>
        <w:rPr>
          <w:rFonts w:hint="default" w:eastAsia="黑体"/>
          <w:sz w:val="32"/>
          <w:szCs w:val="24"/>
        </w:rPr>
      </w:pPr>
    </w:p>
    <w:p>
      <w:bookmarkStart w:id="0" w:name="_GoBack"/>
      <w:bookmarkEnd w:id="0"/>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3E9E"/>
    <w:multiLevelType w:val="singleLevel"/>
    <w:tmpl w:val="81C23E9E"/>
    <w:lvl w:ilvl="0" w:tentative="0">
      <w:start w:val="1"/>
      <w:numFmt w:val="chineseCounting"/>
      <w:suff w:val="nothing"/>
      <w:lvlText w:val="（%1）"/>
      <w:lvlJc w:val="left"/>
      <w:pPr>
        <w:ind w:left="-220"/>
      </w:pPr>
      <w:rPr>
        <w:rFonts w:hint="eastAsia"/>
        <w:b/>
        <w:bCs/>
      </w:rPr>
    </w:lvl>
  </w:abstractNum>
  <w:abstractNum w:abstractNumId="1">
    <w:nsid w:val="A31C3622"/>
    <w:multiLevelType w:val="singleLevel"/>
    <w:tmpl w:val="A31C3622"/>
    <w:lvl w:ilvl="0" w:tentative="0">
      <w:start w:val="4"/>
      <w:numFmt w:val="chineseCounting"/>
      <w:suff w:val="nothing"/>
      <w:lvlText w:val="%1、"/>
      <w:lvlJc w:val="left"/>
      <w:rPr>
        <w:rFonts w:hint="eastAsia"/>
      </w:rPr>
    </w:lvl>
  </w:abstractNum>
  <w:abstractNum w:abstractNumId="2">
    <w:nsid w:val="1C55FD5F"/>
    <w:multiLevelType w:val="singleLevel"/>
    <w:tmpl w:val="1C55FD5F"/>
    <w:lvl w:ilvl="0" w:tentative="0">
      <w:start w:val="8"/>
      <w:numFmt w:val="chineseCounting"/>
      <w:suff w:val="nothing"/>
      <w:lvlText w:val="%1、"/>
      <w:lvlJc w:val="left"/>
      <w:rPr>
        <w:rFonts w:hint="eastAsia"/>
      </w:rPr>
    </w:lvl>
  </w:abstractNum>
  <w:abstractNum w:abstractNumId="3">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hmZDNhZjc5MTEwMTBmNDNmNzE4MDQ3YWI0ZTEifQ=="/>
  </w:docVars>
  <w:rsids>
    <w:rsidRoot w:val="00172A27"/>
    <w:rsid w:val="003E1DD3"/>
    <w:rsid w:val="0CCE5073"/>
    <w:rsid w:val="101F3C57"/>
    <w:rsid w:val="105E064F"/>
    <w:rsid w:val="14924FE2"/>
    <w:rsid w:val="154B3473"/>
    <w:rsid w:val="15B02F86"/>
    <w:rsid w:val="16CF1EC6"/>
    <w:rsid w:val="1A7B4FFE"/>
    <w:rsid w:val="1BCE59A7"/>
    <w:rsid w:val="1D5E5630"/>
    <w:rsid w:val="1F9C1D8C"/>
    <w:rsid w:val="20BA3D5C"/>
    <w:rsid w:val="20FE29CD"/>
    <w:rsid w:val="213827F6"/>
    <w:rsid w:val="24756501"/>
    <w:rsid w:val="2512357C"/>
    <w:rsid w:val="2AF82401"/>
    <w:rsid w:val="2F242CF8"/>
    <w:rsid w:val="31EF3498"/>
    <w:rsid w:val="33457B5A"/>
    <w:rsid w:val="33EA0D37"/>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74FA7161"/>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5">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character" w:styleId="9">
    <w:name w:val="Strong"/>
    <w:basedOn w:val="8"/>
    <w:unhideWhenUsed/>
    <w:qFormat/>
    <w:uiPriority w:val="22"/>
    <w:rPr>
      <w:rFonts w:hint="default" w:cs="Times New Roman"/>
      <w:b/>
      <w:sz w:val="24"/>
      <w:szCs w:val="24"/>
    </w:rPr>
  </w:style>
  <w:style w:type="paragraph" w:customStyle="1" w:styleId="10">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1">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5159</Words>
  <Characters>5852</Characters>
  <Lines>0</Lines>
  <Paragraphs>0</Paragraphs>
  <TotalTime>47</TotalTime>
  <ScaleCrop>false</ScaleCrop>
  <LinksUpToDate>false</LinksUpToDate>
  <CharactersWithSpaces>6063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2023-09-20T02:05:36Z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C05C0A58C1B94E6DA3F69BCC80938D65_11</vt:lpwstr>
  </property>
</Properties>
</file>