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8"/>
          <w:szCs w:val="48"/>
        </w:rPr>
      </w:pPr>
    </w:p>
    <w:p>
      <w:pPr>
        <w:jc w:val="center"/>
        <w:rPr>
          <w:rFonts w:ascii="方正小标宋_GBK" w:hAnsi="方正小标宋_GBK" w:eastAsia="方正小标宋_GBK"/>
          <w:b/>
          <w:sz w:val="48"/>
          <w:szCs w:val="48"/>
        </w:rPr>
      </w:pPr>
      <w:r>
        <w:rPr>
          <w:rFonts w:hint="eastAsia"/>
          <w:b/>
          <w:sz w:val="48"/>
          <w:szCs w:val="48"/>
        </w:rPr>
        <w:t>2021</w:t>
      </w:r>
      <w:r>
        <w:rPr>
          <w:rFonts w:ascii="方正小标宋_GBK" w:hAnsi="方正小标宋_GBK" w:eastAsia="方正小标宋_GBK"/>
          <w:b/>
          <w:sz w:val="48"/>
          <w:szCs w:val="48"/>
        </w:rPr>
        <w:t>年度</w:t>
      </w:r>
      <w:r>
        <w:rPr>
          <w:rFonts w:hint="eastAsia" w:ascii="方正小标宋_GBK" w:hAnsi="方正小标宋_GBK" w:eastAsia="方正小标宋_GBK"/>
          <w:b/>
          <w:sz w:val="48"/>
          <w:szCs w:val="48"/>
        </w:rPr>
        <w:t>理家坪乡人民政府</w:t>
      </w:r>
      <w:r>
        <w:rPr>
          <w:rFonts w:ascii="方正小标宋_GBK" w:hAnsi="方正小标宋_GBK" w:eastAsia="方正小标宋_GBK"/>
          <w:b/>
          <w:sz w:val="48"/>
          <w:szCs w:val="48"/>
        </w:rPr>
        <w:t>部门</w:t>
      </w:r>
    </w:p>
    <w:p>
      <w:pPr>
        <w:jc w:val="center"/>
        <w:rPr>
          <w:rFonts w:eastAsia="方正小标宋_GBK"/>
          <w:b/>
          <w:sz w:val="48"/>
          <w:szCs w:val="48"/>
        </w:rPr>
      </w:pPr>
      <w:r>
        <w:rPr>
          <w:rFonts w:ascii="方正小标宋_GBK" w:hAnsi="方正小标宋_GBK" w:eastAsia="方正小标宋_GBK"/>
          <w:b/>
          <w:sz w:val="48"/>
          <w:szCs w:val="48"/>
        </w:rPr>
        <w:t>整体支出绩效自评报告</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720" w:firstLineChars="200"/>
        <w:jc w:val="center"/>
        <w:rPr>
          <w:rFonts w:eastAsia="黑体"/>
          <w:sz w:val="36"/>
          <w:szCs w:val="36"/>
        </w:rPr>
      </w:pPr>
      <w:r>
        <w:rPr>
          <w:rFonts w:ascii="黑体" w:hAnsi="黑体" w:eastAsia="黑体"/>
          <w:sz w:val="36"/>
          <w:szCs w:val="36"/>
        </w:rPr>
        <w:t>单位名称（盖章）：</w:t>
      </w:r>
      <w:r>
        <w:rPr>
          <w:rFonts w:hint="eastAsia" w:ascii="黑体" w:hAnsi="黑体" w:eastAsia="黑体"/>
          <w:sz w:val="36"/>
          <w:szCs w:val="36"/>
        </w:rPr>
        <w:t>双牌县理家坪乡人民政府</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rPr>
          <w:rFonts w:eastAsia="黑体"/>
          <w:sz w:val="32"/>
          <w:szCs w:val="32"/>
        </w:rPr>
      </w:pPr>
    </w:p>
    <w:p>
      <w:pPr>
        <w:rPr>
          <w:rFonts w:hint="eastAsia" w:eastAsia="黑体"/>
          <w:sz w:val="32"/>
          <w:szCs w:val="32"/>
        </w:rPr>
      </w:pPr>
    </w:p>
    <w:p>
      <w:pPr>
        <w:rPr>
          <w:rFonts w:eastAsia="黑体"/>
          <w:sz w:val="32"/>
          <w:szCs w:val="32"/>
        </w:rPr>
      </w:pPr>
    </w:p>
    <w:p>
      <w:pPr>
        <w:spacing w:line="600" w:lineRule="exact"/>
        <w:ind w:firstLine="640" w:firstLineChars="200"/>
        <w:rPr>
          <w:rFonts w:eastAsia="黑体"/>
          <w:sz w:val="32"/>
          <w:szCs w:val="32"/>
        </w:rPr>
      </w:pPr>
      <w:r>
        <w:rPr>
          <w:rFonts w:ascii="黑体" w:hAnsi="黑体" w:eastAsia="黑体"/>
          <w:sz w:val="32"/>
          <w:szCs w:val="32"/>
        </w:rPr>
        <w:t>一、基本情况</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（一）单位基本情况</w:t>
      </w:r>
    </w:p>
    <w:p>
      <w:pPr>
        <w:pStyle w:val="4"/>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1、职能职责</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（1）执行国家行政机关的决定、命令和国家制定的法令、法规，执行本级人民代表大会的各项决议，并报告执行决议、决定和命令的情况。</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（2）制定并落实本行政区域的经济计划和措施，全面提高人民群众的生活水平和生活质量。</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（3）承担国有资产、集体资产管理、监督及增值保值责任。</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（4） 开展社会主义民主和法制的宣传教育，保障公民的权利，打击违法犯罪，维护社会稳定。</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（5）制定社会各项事业发展计划，发展教育、卫生、科技、民政、广播电视、文化、体育事业；加强计划生育工作；推进社会保障、社会福利事业和养老保险等工作。</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（6） 加强乡级财政的监督和管理。</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（7）指导村民委员会的组织制度建设和业务建设，促进村民委员会民主自治。</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（8）制定和组织实施乡村建设规划，保护和改善生活环境和生态环境。</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（9）协助和支持设置在本行政区域内不隶属于乡的国家机关和企事业单位工作，监督其遵守和执行国家的法律、法规和政策。</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（10）承办本级党委、人大和上级交办的其它事项。</w:t>
      </w:r>
    </w:p>
    <w:p>
      <w:pPr>
        <w:pStyle w:val="4"/>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2、机构设置</w:t>
      </w:r>
    </w:p>
    <w:p>
      <w:pPr>
        <w:pStyle w:val="4"/>
        <w:shd w:val="clear" w:color="auto" w:fill="FFFFFF"/>
        <w:spacing w:beforeAutospacing="0" w:afterAutospacing="0" w:line="30" w:lineRule="atLeast"/>
        <w:ind w:firstLine="600" w:firstLineChars="200"/>
        <w:jc w:val="both"/>
        <w:rPr>
          <w:color w:val="000000"/>
          <w:sz w:val="30"/>
          <w:szCs w:val="30"/>
        </w:rPr>
      </w:pPr>
      <w:r>
        <w:rPr>
          <w:rFonts w:hint="eastAsia"/>
          <w:color w:val="000000"/>
          <w:sz w:val="30"/>
          <w:szCs w:val="30"/>
        </w:rPr>
        <w:t>本单位为双牌县理家坪乡人民政府，所属一级预算单位，单位性质为行政单位，理家坪乡设7个内设机构：1、党政综合办公室；2、综合执法办公室；3、农业农村办公室；4、重点项目办公室；5、纪委办公室；6、党建办公室；7、扶贫办公室。</w:t>
      </w:r>
    </w:p>
    <w:p>
      <w:pPr>
        <w:pStyle w:val="4"/>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理家坪乡公益性事业机构规范设置为5个：1、农业技术服务站；2、安全生产监督管理站；3、便民社会服务站；4、退役军人事务管理站；5、文教体广电事务中心。乡财政所人员编制及管理体制暂维持现状。</w:t>
      </w:r>
    </w:p>
    <w:p>
      <w:pPr>
        <w:spacing w:line="600" w:lineRule="exact"/>
        <w:ind w:firstLine="600" w:firstLineChars="200"/>
        <w:rPr>
          <w:rFonts w:eastAsia="楷体_GB2312"/>
          <w:sz w:val="32"/>
          <w:szCs w:val="32"/>
        </w:rPr>
      </w:pPr>
      <w:r>
        <w:rPr>
          <w:rFonts w:hint="eastAsia"/>
          <w:color w:val="000000"/>
          <w:sz w:val="30"/>
          <w:szCs w:val="30"/>
        </w:rPr>
        <w:t>本年度年末实有机构人员总数为38人，行政编制16人，参公事业人员1人，非参公事业人员21人，较上年度增加1人，主要原因是因为人员变动，调入非参公事业人员1人。</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（二）单位年度整体支出绩效目标，项目支出绩效目标</w:t>
      </w:r>
    </w:p>
    <w:p>
      <w:pPr>
        <w:spacing w:line="600" w:lineRule="exact"/>
        <w:ind w:firstLine="600" w:firstLineChars="200"/>
        <w:rPr>
          <w:color w:val="000000"/>
          <w:sz w:val="30"/>
          <w:szCs w:val="30"/>
        </w:rPr>
      </w:pPr>
      <w:r>
        <w:rPr>
          <w:color w:val="000000"/>
          <w:sz w:val="30"/>
          <w:szCs w:val="30"/>
        </w:rPr>
        <w:t>目标1：</w:t>
      </w:r>
      <w:r>
        <w:rPr>
          <w:rFonts w:hint="eastAsia"/>
          <w:color w:val="000000"/>
          <w:sz w:val="30"/>
          <w:szCs w:val="30"/>
        </w:rPr>
        <w:t>乡镇经济发展。大力发展乡村农业、旅游业，促进乡村社会经济、农业、旅游业、环境等方面统筹发展；保证各项税收的征收，保障国家财政收入。</w:t>
      </w:r>
    </w:p>
    <w:p>
      <w:pPr>
        <w:spacing w:line="600" w:lineRule="exact"/>
        <w:ind w:firstLine="600" w:firstLineChars="200"/>
        <w:rPr>
          <w:color w:val="000000"/>
          <w:sz w:val="30"/>
          <w:szCs w:val="30"/>
        </w:rPr>
      </w:pPr>
      <w:r>
        <w:rPr>
          <w:color w:val="000000"/>
          <w:sz w:val="30"/>
          <w:szCs w:val="30"/>
        </w:rPr>
        <w:t>目标2：</w:t>
      </w:r>
      <w:r>
        <w:rPr>
          <w:rFonts w:hint="eastAsia"/>
          <w:color w:val="000000"/>
          <w:sz w:val="30"/>
          <w:szCs w:val="30"/>
        </w:rPr>
        <w:t>改善基础设施。农村道路建设，环境卫生整治。</w:t>
      </w:r>
    </w:p>
    <w:p>
      <w:pPr>
        <w:spacing w:line="600" w:lineRule="exact"/>
        <w:ind w:firstLine="600" w:firstLineChars="200"/>
        <w:rPr>
          <w:color w:val="000000"/>
          <w:sz w:val="30"/>
          <w:szCs w:val="30"/>
        </w:rPr>
      </w:pPr>
      <w:r>
        <w:rPr>
          <w:rFonts w:hint="eastAsia"/>
          <w:color w:val="000000"/>
          <w:sz w:val="30"/>
          <w:szCs w:val="30"/>
        </w:rPr>
        <w:t>目标3：改善民生。各类政策落实，为民办实事，做好民政救助工作。</w:t>
      </w:r>
    </w:p>
    <w:p>
      <w:pPr>
        <w:pStyle w:val="8"/>
        <w:spacing w:line="600" w:lineRule="exact"/>
        <w:ind w:firstLine="640"/>
        <w:rPr>
          <w:rFonts w:ascii="黑体" w:hAnsi="黑体" w:eastAsia="黑体"/>
          <w:sz w:val="32"/>
          <w:szCs w:val="32"/>
        </w:rPr>
      </w:pPr>
      <w:r>
        <w:rPr>
          <w:rFonts w:ascii="黑体" w:hAnsi="黑体" w:eastAsia="黑体"/>
          <w:sz w:val="32"/>
          <w:szCs w:val="32"/>
        </w:rPr>
        <w:t>二、一般公共预算支出情况</w:t>
      </w:r>
    </w:p>
    <w:p>
      <w:pPr>
        <w:widowControl/>
        <w:spacing w:line="600" w:lineRule="atLeast"/>
        <w:ind w:firstLine="600"/>
        <w:jc w:val="left"/>
        <w:rPr>
          <w:rFonts w:ascii="宋体" w:hAnsi="宋体" w:cs="宋体"/>
          <w:kern w:val="0"/>
          <w:sz w:val="30"/>
          <w:szCs w:val="30"/>
        </w:rPr>
      </w:pPr>
      <w:r>
        <w:rPr>
          <w:rFonts w:hint="eastAsia" w:ascii="宋体" w:hAnsi="宋体" w:cs="宋体"/>
          <w:kern w:val="0"/>
          <w:sz w:val="30"/>
          <w:szCs w:val="30"/>
        </w:rPr>
        <w:t>2021年部门支出决算数880.68万元，支出决算较上年增加29.99万元，主要是因为本年决算控制数相对上年有所增加。</w:t>
      </w:r>
    </w:p>
    <w:p>
      <w:pPr>
        <w:pStyle w:val="8"/>
        <w:spacing w:line="600" w:lineRule="exact"/>
        <w:ind w:firstLineChars="140"/>
        <w:rPr>
          <w:rFonts w:ascii="宋体" w:hAnsi="宋体" w:cs="宋体"/>
          <w:kern w:val="0"/>
          <w:sz w:val="30"/>
          <w:szCs w:val="30"/>
        </w:rPr>
      </w:pPr>
      <w:r>
        <w:rPr>
          <w:rFonts w:hint="eastAsia" w:ascii="宋体" w:hAnsi="宋体" w:cs="宋体"/>
          <w:kern w:val="0"/>
          <w:sz w:val="30"/>
          <w:szCs w:val="30"/>
        </w:rPr>
        <w:t>其中：</w:t>
      </w:r>
    </w:p>
    <w:p>
      <w:pPr>
        <w:pStyle w:val="8"/>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8"/>
        <w:spacing w:line="600" w:lineRule="exact"/>
        <w:ind w:firstLine="600"/>
        <w:rPr>
          <w:rFonts w:ascii="Times New Roman" w:hAnsi="Times New Roman" w:eastAsia="楷体_GB2312"/>
          <w:sz w:val="32"/>
          <w:szCs w:val="32"/>
        </w:rPr>
      </w:pPr>
      <w:r>
        <w:rPr>
          <w:rFonts w:hint="eastAsia" w:ascii="宋体" w:hAnsi="宋体" w:cs="宋体"/>
          <w:color w:val="000000"/>
          <w:kern w:val="0"/>
          <w:sz w:val="30"/>
          <w:szCs w:val="30"/>
        </w:rPr>
        <w:t>1、基本支</w:t>
      </w:r>
      <w:r>
        <w:rPr>
          <w:rFonts w:hint="eastAsia" w:ascii="宋体" w:hAnsi="宋体" w:cs="宋体"/>
          <w:kern w:val="0"/>
          <w:sz w:val="30"/>
          <w:szCs w:val="30"/>
        </w:rPr>
        <w:t>出：483.72万元，占总支出的比重为55%。一般公共预算财政拨款315.08万元，主要包括：基本工资122.08万元、津贴补贴101.68万元、奖金45.88万元、伙食补助费10.36万元、绩效工资13.98万元、社会保障缴费58.52万元、其他工资福利支出6万元、住房公积金23.52万元；政府性基金预算财政拨款基本支出中人员经费2.88万元，主要包括：伙食补助费0.84万元。一般公共预算财政拨款基本支出中公用经费97.88万元，主要包括：办公费8.87万元、印刷费2.49万元、水费0.92万元、电费3万元、邮电费2.21万元、差旅费13万元、维修（护）费</w:t>
      </w:r>
      <w:r>
        <w:rPr>
          <w:rFonts w:hint="eastAsia" w:ascii="宋体" w:hAnsi="宋体" w:cs="宋体"/>
          <w:color w:val="000000"/>
          <w:kern w:val="0"/>
          <w:sz w:val="30"/>
          <w:szCs w:val="30"/>
        </w:rPr>
        <w:t>2.73万元、会议费2.09万元、培训费0万元、公务接待费8万元、专用材料费0万元、劳务费3万元、工会经费5.4</w:t>
      </w:r>
      <w:r>
        <w:rPr>
          <w:rFonts w:hint="eastAsia" w:ascii="宋体" w:hAnsi="宋体" w:cs="宋体"/>
          <w:kern w:val="0"/>
          <w:sz w:val="30"/>
          <w:szCs w:val="30"/>
        </w:rPr>
        <w:t>万元、福利费0万元、公务用车运行维护费0.95万元、其他交通费用2.35万元、其他商品和服务支出10.18万元、办公设备购置0万元；政府性基金预算财政拨款基本支出中公用经费27.98万元，主要包括办公费0.04万元、印刷费8.1万元、水费0万元、电费0万元、差旅费16.32万元、劳务费1.33万元、福利费0万元、其他交通费用3.46万元、其他商品和服务支出2.37万元。</w:t>
      </w:r>
    </w:p>
    <w:p>
      <w:pPr>
        <w:pStyle w:val="8"/>
        <w:spacing w:line="600" w:lineRule="exact"/>
        <w:ind w:firstLine="640"/>
        <w:rPr>
          <w:rFonts w:ascii="楷体_GB2312" w:hAnsi="楷体_GB2312" w:eastAsia="楷体_GB2312"/>
          <w:sz w:val="32"/>
          <w:szCs w:val="32"/>
        </w:rPr>
      </w:pPr>
      <w:r>
        <w:rPr>
          <w:rFonts w:ascii="楷体_GB2312" w:hAnsi="楷体_GB2312" w:eastAsia="楷体_GB2312"/>
          <w:sz w:val="32"/>
          <w:szCs w:val="32"/>
        </w:rPr>
        <w:t>（二）项目支出情况</w:t>
      </w:r>
    </w:p>
    <w:p>
      <w:pPr>
        <w:jc w:val="left"/>
        <w:rPr>
          <w:rFonts w:ascii="宋体" w:hAnsi="宋体" w:cs="Arial"/>
          <w:color w:val="000000"/>
          <w:kern w:val="0"/>
          <w:sz w:val="22"/>
          <w:szCs w:val="22"/>
        </w:rPr>
      </w:pPr>
      <w:r>
        <w:rPr>
          <w:rFonts w:hint="eastAsia" w:ascii="宋体" w:hAnsi="宋体" w:cs="宋体"/>
          <w:kern w:val="0"/>
          <w:sz w:val="30"/>
          <w:szCs w:val="30"/>
        </w:rPr>
        <w:t>2、项目支出：396.96万元，占总支出的比重为45 %，是</w:t>
      </w:r>
      <w:r>
        <w:rPr>
          <w:rFonts w:hint="eastAsia" w:ascii="宋体" w:hAnsi="宋体" w:cs="宋体"/>
          <w:color w:val="000000"/>
          <w:kern w:val="0"/>
          <w:sz w:val="30"/>
          <w:szCs w:val="30"/>
        </w:rPr>
        <w:t>指单位为完成特定行政工作任务或事业发展目标而发生的支出，其中：</w:t>
      </w:r>
      <w:r>
        <w:rPr>
          <w:rFonts w:hint="eastAsia" w:ascii="宋体" w:hAnsi="宋体" w:cs="宋体"/>
          <w:kern w:val="0"/>
          <w:sz w:val="30"/>
          <w:szCs w:val="30"/>
        </w:rPr>
        <w:t>1、朱里源水库维修12.12万元,  2、村级转移支付72.18万元,  3、环境整治资金3.2万元，4、就业扶持资金0.8万元，5、单位业务专项开支57.68万元，6、疫情防控工作8万元，7、村级转移支付70.43万元，8、院内改造工程1.14万元，9、道路硬化1.14万元，10、空心房拆除17.21万元，11、朱里源水库粮食补助12.09万元，12、马路市场整治1.78万元，13、临时救助资金0.8万元，14、特困人员救助供养3.2万元，15、农村特困群众救助3.2万元，16、村级养老保险省级补助0.9万元，17、土地增减挂钩54.22万元，18、三调耕地开发31万元，19、走访慰问金0.003万元，20乡村振兴项目114.27万元，21、公益性岗位0.96万元，22、供水工程5万元，</w:t>
      </w:r>
      <w:r>
        <w:rPr>
          <w:rFonts w:ascii="宋体" w:hAnsi="宋体" w:cs="Arial"/>
          <w:color w:val="000000"/>
          <w:kern w:val="0"/>
          <w:sz w:val="22"/>
          <w:szCs w:val="22"/>
        </w:rPr>
        <w:t xml:space="preserve"> </w:t>
      </w:r>
    </w:p>
    <w:p>
      <w:pPr>
        <w:pStyle w:val="8"/>
        <w:spacing w:line="600" w:lineRule="exact"/>
        <w:ind w:firstLine="640"/>
        <w:rPr>
          <w:rFonts w:ascii="黑体" w:hAnsi="黑体" w:eastAsia="黑体"/>
          <w:sz w:val="32"/>
          <w:szCs w:val="32"/>
        </w:rPr>
      </w:pPr>
      <w:r>
        <w:rPr>
          <w:rFonts w:ascii="黑体" w:hAnsi="黑体" w:eastAsia="黑体"/>
          <w:sz w:val="32"/>
          <w:szCs w:val="32"/>
        </w:rPr>
        <w:t>三、政府性基金预算支出情况</w:t>
      </w:r>
    </w:p>
    <w:p>
      <w:pPr>
        <w:widowControl/>
        <w:spacing w:line="600" w:lineRule="atLeast"/>
        <w:ind w:firstLine="600"/>
        <w:jc w:val="left"/>
        <w:rPr>
          <w:rFonts w:ascii="宋体" w:hAnsi="宋体" w:cs="宋体"/>
          <w:color w:val="000000"/>
          <w:kern w:val="0"/>
          <w:sz w:val="30"/>
          <w:szCs w:val="30"/>
        </w:rPr>
      </w:pPr>
      <w:r>
        <w:rPr>
          <w:rFonts w:hint="eastAsia" w:ascii="宋体" w:hAnsi="宋体" w:cs="宋体"/>
          <w:color w:val="000000"/>
          <w:kern w:val="0"/>
          <w:sz w:val="30"/>
          <w:szCs w:val="30"/>
        </w:rPr>
        <w:t>政府性基金收入112.18万元，主要包括：土地开发支出70.66万元、其他国有土地使用权出让收入安排的支出41.51。政府性基金支出28.82万元，其他国有土地使用权出让收入安排的支出91.63万元。</w:t>
      </w:r>
    </w:p>
    <w:p>
      <w:pPr>
        <w:pStyle w:val="8"/>
        <w:spacing w:line="600" w:lineRule="exact"/>
        <w:ind w:firstLine="640"/>
        <w:rPr>
          <w:rFonts w:ascii="黑体" w:hAnsi="黑体" w:eastAsia="黑体"/>
          <w:sz w:val="32"/>
          <w:szCs w:val="32"/>
        </w:rPr>
      </w:pPr>
      <w:r>
        <w:rPr>
          <w:rFonts w:ascii="黑体" w:hAnsi="黑体" w:eastAsia="黑体"/>
          <w:sz w:val="32"/>
          <w:szCs w:val="32"/>
        </w:rPr>
        <w:t>四、国有资本经营预算支出情况</w:t>
      </w:r>
    </w:p>
    <w:p>
      <w:pPr>
        <w:pStyle w:val="8"/>
        <w:spacing w:line="600" w:lineRule="exact"/>
        <w:ind w:firstLine="600"/>
        <w:rPr>
          <w:rFonts w:ascii="宋体" w:hAnsi="宋体" w:cs="宋体"/>
          <w:color w:val="000000"/>
          <w:kern w:val="0"/>
          <w:sz w:val="30"/>
          <w:szCs w:val="30"/>
        </w:rPr>
      </w:pPr>
      <w:r>
        <w:rPr>
          <w:rFonts w:hint="eastAsia" w:ascii="宋体" w:hAnsi="宋体" w:cs="宋体"/>
          <w:color w:val="000000"/>
          <w:kern w:val="0"/>
          <w:sz w:val="30"/>
          <w:szCs w:val="30"/>
        </w:rPr>
        <w:t>无。</w:t>
      </w:r>
    </w:p>
    <w:p>
      <w:pPr>
        <w:pStyle w:val="8"/>
        <w:spacing w:line="600" w:lineRule="exact"/>
        <w:ind w:firstLine="640"/>
        <w:rPr>
          <w:rFonts w:ascii="黑体" w:hAnsi="黑体" w:eastAsia="黑体"/>
          <w:sz w:val="32"/>
          <w:szCs w:val="32"/>
        </w:rPr>
      </w:pPr>
      <w:r>
        <w:rPr>
          <w:rFonts w:ascii="黑体" w:hAnsi="黑体" w:eastAsia="黑体"/>
          <w:sz w:val="32"/>
          <w:szCs w:val="32"/>
        </w:rPr>
        <w:t>五、社会保险基金预算支出情况</w:t>
      </w:r>
    </w:p>
    <w:p>
      <w:pPr>
        <w:pStyle w:val="8"/>
        <w:spacing w:line="600" w:lineRule="exact"/>
        <w:ind w:firstLine="600"/>
        <w:rPr>
          <w:rFonts w:ascii="宋体" w:hAnsi="宋体" w:cs="宋体"/>
          <w:color w:val="000000"/>
          <w:kern w:val="0"/>
          <w:sz w:val="30"/>
          <w:szCs w:val="30"/>
        </w:rPr>
      </w:pPr>
      <w:r>
        <w:rPr>
          <w:rFonts w:hint="eastAsia" w:ascii="宋体" w:hAnsi="宋体" w:cs="宋体"/>
          <w:color w:val="000000"/>
          <w:kern w:val="0"/>
          <w:sz w:val="30"/>
          <w:szCs w:val="30"/>
        </w:rPr>
        <w:t>无。</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pStyle w:val="8"/>
        <w:spacing w:line="600" w:lineRule="exact"/>
        <w:ind w:firstLine="600"/>
        <w:rPr>
          <w:rFonts w:ascii="宋体" w:hAnsi="宋体" w:cs="宋体"/>
          <w:color w:val="000000"/>
          <w:kern w:val="0"/>
          <w:sz w:val="30"/>
          <w:szCs w:val="30"/>
        </w:rPr>
      </w:pPr>
      <w:r>
        <w:rPr>
          <w:rFonts w:hint="eastAsia" w:ascii="宋体" w:hAnsi="宋体" w:cs="宋体"/>
          <w:color w:val="000000"/>
          <w:kern w:val="0"/>
          <w:sz w:val="30"/>
          <w:szCs w:val="30"/>
        </w:rPr>
        <w:t>2021</w:t>
      </w:r>
      <w:r>
        <w:rPr>
          <w:rFonts w:ascii="宋体" w:hAnsi="宋体" w:cs="宋体"/>
          <w:color w:val="000000"/>
          <w:kern w:val="0"/>
          <w:sz w:val="30"/>
          <w:szCs w:val="30"/>
        </w:rPr>
        <w:t>年，根据</w:t>
      </w:r>
      <w:r>
        <w:rPr>
          <w:rFonts w:hint="eastAsia" w:ascii="宋体" w:hAnsi="宋体" w:cs="宋体"/>
          <w:color w:val="000000"/>
          <w:kern w:val="0"/>
          <w:sz w:val="30"/>
          <w:szCs w:val="30"/>
        </w:rPr>
        <w:t>单位</w:t>
      </w:r>
      <w:r>
        <w:rPr>
          <w:rFonts w:ascii="宋体" w:hAnsi="宋体" w:cs="宋体"/>
          <w:color w:val="000000"/>
          <w:kern w:val="0"/>
          <w:sz w:val="30"/>
          <w:szCs w:val="30"/>
        </w:rPr>
        <w:t>年初工作规划和重点性工作，围绕</w:t>
      </w:r>
      <w:r>
        <w:rPr>
          <w:rFonts w:hint="eastAsia" w:ascii="宋体" w:hAnsi="宋体" w:cs="宋体"/>
          <w:color w:val="000000"/>
          <w:kern w:val="0"/>
          <w:sz w:val="30"/>
          <w:szCs w:val="30"/>
        </w:rPr>
        <w:t>县</w:t>
      </w:r>
      <w:r>
        <w:rPr>
          <w:rFonts w:ascii="宋体" w:hAnsi="宋体" w:cs="宋体"/>
          <w:color w:val="000000"/>
          <w:kern w:val="0"/>
          <w:sz w:val="30"/>
          <w:szCs w:val="30"/>
        </w:rPr>
        <w:t xml:space="preserve">委、 </w:t>
      </w:r>
      <w:r>
        <w:rPr>
          <w:rFonts w:hint="eastAsia" w:ascii="宋体" w:hAnsi="宋体" w:cs="宋体"/>
          <w:color w:val="000000"/>
          <w:kern w:val="0"/>
          <w:sz w:val="30"/>
          <w:szCs w:val="30"/>
        </w:rPr>
        <w:t>县</w:t>
      </w:r>
      <w:r>
        <w:rPr>
          <w:rFonts w:ascii="宋体" w:hAnsi="宋体" w:cs="宋体"/>
          <w:color w:val="000000"/>
          <w:kern w:val="0"/>
          <w:sz w:val="30"/>
          <w:szCs w:val="30"/>
        </w:rPr>
        <w:t>政府的要求较好的完成了年度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三公”经费总体控制较好，</w:t>
      </w:r>
      <w:r>
        <w:rPr>
          <w:rFonts w:hint="eastAsia" w:ascii="宋体" w:hAnsi="宋体" w:cs="宋体"/>
          <w:color w:val="000000"/>
          <w:kern w:val="0"/>
          <w:sz w:val="30"/>
          <w:szCs w:val="30"/>
        </w:rPr>
        <w:t>未</w:t>
      </w:r>
      <w:r>
        <w:rPr>
          <w:rFonts w:ascii="宋体" w:hAnsi="宋体" w:cs="宋体"/>
          <w:color w:val="000000"/>
          <w:kern w:val="0"/>
          <w:sz w:val="30"/>
          <w:szCs w:val="30"/>
        </w:rPr>
        <w:t>超本年预算和上年决算支出。预算管理方面，制度执行总体较为有效，仍需进一步强化；资金使用管理需进一步加强。资产管理方面，建立了资产管理制度，定期进行了盘点和资产清理，总体执行较好。</w:t>
      </w:r>
    </w:p>
    <w:p>
      <w:pPr>
        <w:pStyle w:val="8"/>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spacing w:line="600" w:lineRule="exact"/>
        <w:ind w:firstLine="600" w:firstLineChars="200"/>
        <w:rPr>
          <w:rFonts w:ascii="宋体" w:hAnsi="宋体" w:cs="宋体"/>
          <w:color w:val="000000"/>
          <w:kern w:val="0"/>
          <w:sz w:val="30"/>
          <w:szCs w:val="30"/>
        </w:rPr>
      </w:pPr>
      <w:r>
        <w:rPr>
          <w:rFonts w:hint="eastAsia" w:ascii="宋体" w:hAnsi="宋体" w:cs="宋体"/>
          <w:color w:val="000000"/>
          <w:kern w:val="0"/>
          <w:sz w:val="30"/>
          <w:szCs w:val="30"/>
        </w:rPr>
        <w:t>一</w:t>
      </w:r>
      <w:r>
        <w:rPr>
          <w:rFonts w:ascii="宋体" w:hAnsi="宋体" w:cs="宋体"/>
          <w:color w:val="000000"/>
          <w:kern w:val="0"/>
          <w:sz w:val="30"/>
          <w:szCs w:val="30"/>
        </w:rPr>
        <w:t>年来，我们虽然做了大量工作，取得了一定成效，但还存在许多问题和不足，离县委县政府的要求还有一定距离。预算编制前根据年度内单位可预见的工作任务，确定了单位年度预算目标，细化了预算指标，但是在实际支付过程中，</w:t>
      </w:r>
      <w:r>
        <w:rPr>
          <w:rFonts w:hint="eastAsia" w:ascii="宋体" w:hAnsi="宋体" w:cs="宋体"/>
          <w:color w:val="000000"/>
          <w:kern w:val="0"/>
          <w:sz w:val="30"/>
          <w:szCs w:val="30"/>
        </w:rPr>
        <w:t>由于实际情况有变动无法准确预估，导致</w:t>
      </w:r>
      <w:r>
        <w:rPr>
          <w:rFonts w:ascii="宋体" w:hAnsi="宋体" w:cs="宋体"/>
          <w:color w:val="000000"/>
          <w:kern w:val="0"/>
          <w:sz w:val="30"/>
          <w:szCs w:val="30"/>
        </w:rPr>
        <w:t>个别</w:t>
      </w:r>
      <w:r>
        <w:rPr>
          <w:rFonts w:hint="eastAsia" w:ascii="宋体" w:hAnsi="宋体" w:cs="宋体"/>
          <w:color w:val="000000"/>
          <w:kern w:val="0"/>
          <w:sz w:val="30"/>
          <w:szCs w:val="30"/>
        </w:rPr>
        <w:t>情况</w:t>
      </w:r>
      <w:r>
        <w:rPr>
          <w:rFonts w:ascii="宋体" w:hAnsi="宋体" w:cs="宋体"/>
          <w:color w:val="000000"/>
          <w:kern w:val="0"/>
          <w:sz w:val="30"/>
          <w:szCs w:val="30"/>
        </w:rPr>
        <w:t>未严格按照预算指标执行</w:t>
      </w:r>
      <w:r>
        <w:rPr>
          <w:rFonts w:hint="eastAsia" w:ascii="宋体" w:hAnsi="宋体" w:cs="宋体"/>
          <w:color w:val="000000"/>
          <w:kern w:val="0"/>
          <w:sz w:val="30"/>
          <w:szCs w:val="30"/>
        </w:rPr>
        <w:t>；</w:t>
      </w:r>
      <w:r>
        <w:rPr>
          <w:rFonts w:ascii="宋体" w:hAnsi="宋体" w:cs="宋体"/>
          <w:color w:val="000000"/>
          <w:kern w:val="0"/>
          <w:sz w:val="30"/>
          <w:szCs w:val="30"/>
        </w:rPr>
        <w:t>基本支出中编制招待费、办公费支出，但没有编制单独的项目支出，预算编制的合理性有待提高</w:t>
      </w:r>
      <w:r>
        <w:rPr>
          <w:rFonts w:hint="eastAsia" w:ascii="宋体" w:hAnsi="宋体" w:cs="宋体"/>
          <w:color w:val="000000"/>
          <w:kern w:val="0"/>
          <w:sz w:val="30"/>
          <w:szCs w:val="30"/>
        </w:rPr>
        <w:t>；社会群众满意度有待提升，</w:t>
      </w:r>
      <w:r>
        <w:rPr>
          <w:rFonts w:ascii="宋体" w:hAnsi="宋体" w:cs="宋体"/>
          <w:color w:val="000000"/>
          <w:kern w:val="0"/>
          <w:sz w:val="30"/>
          <w:szCs w:val="30"/>
        </w:rPr>
        <w:t>它涉及到多个指标，如文体、教育、医疗、生态环境、社会治安等。在提升群众满意度工作过程中，应该统筹考虑到可能影响群众满意度的多个方面，提前谋划，综合考虑，在能够在提升的过程中做到精准实施。</w:t>
      </w:r>
    </w:p>
    <w:p>
      <w:pPr>
        <w:spacing w:line="600" w:lineRule="exact"/>
        <w:ind w:firstLine="640" w:firstLineChars="200"/>
        <w:rPr>
          <w:rFonts w:ascii="黑体" w:hAnsi="黑体" w:eastAsia="黑体"/>
          <w:sz w:val="32"/>
          <w:szCs w:val="32"/>
        </w:rPr>
      </w:pPr>
      <w:r>
        <w:rPr>
          <w:rFonts w:ascii="黑体" w:hAnsi="黑体" w:eastAsia="黑体"/>
          <w:sz w:val="32"/>
          <w:szCs w:val="32"/>
        </w:rPr>
        <w:t>八、下一步改进措施</w:t>
      </w:r>
    </w:p>
    <w:p>
      <w:pPr>
        <w:spacing w:line="600" w:lineRule="exact"/>
        <w:ind w:firstLine="600" w:firstLineChars="200"/>
        <w:rPr>
          <w:rFonts w:ascii="宋体" w:hAnsi="宋体" w:cs="宋体"/>
          <w:color w:val="000000"/>
          <w:kern w:val="0"/>
          <w:sz w:val="30"/>
          <w:szCs w:val="30"/>
        </w:rPr>
      </w:pPr>
      <w:r>
        <w:rPr>
          <w:rFonts w:hint="eastAsia" w:ascii="宋体" w:hAnsi="宋体" w:cs="宋体"/>
          <w:color w:val="000000"/>
          <w:kern w:val="0"/>
          <w:sz w:val="30"/>
          <w:szCs w:val="30"/>
        </w:rPr>
        <w:t>本单位将进一步加大宣传力度，强化绩效理念。通过各种媒介、各种形式和渠道，加大绩效管理理念宣传力度，不断提高单位的绩效意识，使社会公众也来了解支持绩效管理工作。</w:t>
      </w:r>
    </w:p>
    <w:p>
      <w:pPr>
        <w:spacing w:line="600" w:lineRule="exact"/>
        <w:ind w:firstLine="600" w:firstLineChars="200"/>
        <w:rPr>
          <w:rFonts w:ascii="宋体" w:hAnsi="宋体" w:cs="宋体"/>
          <w:color w:val="000000"/>
          <w:kern w:val="0"/>
          <w:sz w:val="30"/>
          <w:szCs w:val="30"/>
        </w:rPr>
      </w:pPr>
      <w:r>
        <w:rPr>
          <w:rFonts w:hint="eastAsia" w:ascii="宋体" w:hAnsi="宋体" w:cs="宋体"/>
          <w:color w:val="000000"/>
          <w:kern w:val="0"/>
          <w:sz w:val="30"/>
          <w:szCs w:val="30"/>
        </w:rPr>
        <w:t>加强预算管理工作，增强内部机构各办室的预算管理意识，严格按照预算编制的相关制度和要求，公用经费根据单位的年度工作重点和项目专项工作规划，细化预算编制工作，做到编制范围尽可能全面、不漏项，提高预算编制的准确性，加强预算的约束力，进一步提高预算编制的科学性、合理性、严谨性和可控性。</w:t>
      </w:r>
    </w:p>
    <w:p>
      <w:pPr>
        <w:spacing w:line="600" w:lineRule="exact"/>
        <w:ind w:firstLine="640" w:firstLineChars="200"/>
        <w:rPr>
          <w:rFonts w:ascii="黑体" w:hAnsi="黑体" w:eastAsia="黑体"/>
          <w:sz w:val="32"/>
          <w:szCs w:val="32"/>
        </w:rPr>
      </w:pPr>
      <w:r>
        <w:rPr>
          <w:rFonts w:ascii="黑体" w:hAnsi="黑体" w:eastAsia="黑体"/>
          <w:sz w:val="32"/>
          <w:szCs w:val="32"/>
        </w:rPr>
        <w:t>九、绩效自评结果拟应用和公开情况</w:t>
      </w:r>
    </w:p>
    <w:p>
      <w:pPr>
        <w:spacing w:line="520" w:lineRule="exact"/>
        <w:ind w:firstLine="600" w:firstLineChars="200"/>
        <w:rPr>
          <w:rFonts w:ascii="宋体" w:hAnsi="宋体" w:cs="宋体"/>
          <w:color w:val="000000"/>
          <w:kern w:val="0"/>
          <w:sz w:val="30"/>
          <w:szCs w:val="30"/>
        </w:rPr>
      </w:pPr>
      <w:r>
        <w:rPr>
          <w:rFonts w:ascii="宋体" w:hAnsi="宋体" w:cs="宋体"/>
          <w:color w:val="000000"/>
          <w:kern w:val="0"/>
          <w:sz w:val="30"/>
          <w:szCs w:val="30"/>
        </w:rPr>
        <w:t>根据《部门整体支出绩效评价</w:t>
      </w:r>
      <w:r>
        <w:rPr>
          <w:rFonts w:hint="eastAsia" w:ascii="宋体" w:hAnsi="宋体" w:cs="宋体"/>
          <w:color w:val="000000"/>
          <w:kern w:val="0"/>
          <w:sz w:val="30"/>
          <w:szCs w:val="30"/>
        </w:rPr>
        <w:t>自评表</w:t>
      </w:r>
      <w:r>
        <w:rPr>
          <w:rFonts w:ascii="宋体" w:hAnsi="宋体" w:cs="宋体"/>
          <w:color w:val="000000"/>
          <w:kern w:val="0"/>
          <w:sz w:val="30"/>
          <w:szCs w:val="30"/>
        </w:rPr>
        <w:t>》评分，得分9</w:t>
      </w:r>
      <w:r>
        <w:rPr>
          <w:rFonts w:hint="eastAsia" w:ascii="宋体" w:hAnsi="宋体" w:cs="宋体"/>
          <w:color w:val="000000"/>
          <w:kern w:val="0"/>
          <w:sz w:val="30"/>
          <w:szCs w:val="30"/>
        </w:rPr>
        <w:t>7</w:t>
      </w:r>
      <w:r>
        <w:rPr>
          <w:rFonts w:ascii="宋体" w:hAnsi="宋体" w:cs="宋体"/>
          <w:color w:val="000000"/>
          <w:kern w:val="0"/>
          <w:sz w:val="30"/>
          <w:szCs w:val="30"/>
        </w:rPr>
        <w:t>分，绩效评价等级为“优”。</w:t>
      </w:r>
      <w:r>
        <w:rPr>
          <w:rFonts w:hint="eastAsia" w:ascii="宋体" w:hAnsi="宋体" w:cs="宋体"/>
          <w:color w:val="000000"/>
          <w:kern w:val="0"/>
          <w:sz w:val="30"/>
          <w:szCs w:val="30"/>
        </w:rPr>
        <w:t>按照政府信息公开的有关要求，强化评价结果应用，逐步公开财政支出项目预算及绩效评价结果，接受社会公众对财政资金使用效益的监督。</w:t>
      </w:r>
    </w:p>
    <w:p>
      <w:pPr>
        <w:spacing w:line="600" w:lineRule="exact"/>
        <w:ind w:firstLine="640" w:firstLineChars="200"/>
        <w:rPr>
          <w:rFonts w:eastAsia="黑体"/>
          <w:sz w:val="32"/>
          <w:szCs w:val="32"/>
        </w:rPr>
      </w:pPr>
      <w:r>
        <w:rPr>
          <w:rFonts w:ascii="黑体" w:hAnsi="黑体" w:eastAsia="黑体"/>
          <w:sz w:val="32"/>
          <w:szCs w:val="32"/>
        </w:rPr>
        <w:t>其他需要说明的情况</w:t>
      </w:r>
    </w:p>
    <w:p>
      <w:pPr>
        <w:spacing w:line="600" w:lineRule="exact"/>
        <w:ind w:firstLine="600" w:firstLineChars="200"/>
        <w:rPr>
          <w:rFonts w:ascii="宋体" w:hAnsi="宋体" w:cs="宋体"/>
          <w:color w:val="000000"/>
          <w:kern w:val="0"/>
          <w:sz w:val="30"/>
          <w:szCs w:val="30"/>
        </w:rPr>
      </w:pPr>
      <w:r>
        <w:rPr>
          <w:rFonts w:ascii="宋体" w:hAnsi="宋体" w:cs="宋体"/>
          <w:color w:val="000000"/>
          <w:kern w:val="0"/>
          <w:sz w:val="30"/>
          <w:szCs w:val="30"/>
        </w:rPr>
        <w:t xml:space="preserve"> </w:t>
      </w:r>
      <w:r>
        <w:rPr>
          <w:rFonts w:hint="eastAsia" w:ascii="宋体" w:hAnsi="宋体" w:cs="宋体"/>
          <w:color w:val="000000"/>
          <w:kern w:val="0"/>
          <w:sz w:val="30"/>
          <w:szCs w:val="30"/>
        </w:rPr>
        <w:t>无。</w:t>
      </w:r>
    </w:p>
    <w:p>
      <w:pPr>
        <w:spacing w:line="600" w:lineRule="exact"/>
        <w:ind w:firstLine="640" w:firstLineChars="200"/>
        <w:rPr>
          <w:rFonts w:ascii="仿宋_GB2312" w:hAnsi="仿宋_GB2312" w:eastAsia="仿宋_GB2312"/>
          <w:sz w:val="32"/>
          <w:szCs w:val="32"/>
        </w:rPr>
      </w:pPr>
    </w:p>
    <w:p>
      <w:pPr>
        <w:spacing w:line="600" w:lineRule="exact"/>
        <w:ind w:firstLine="640" w:firstLineChars="200"/>
        <w:rPr>
          <w:rFonts w:ascii="仿宋_GB2312" w:hAnsi="仿宋_GB2312" w:eastAsia="仿宋_GB2312"/>
          <w:sz w:val="32"/>
          <w:szCs w:val="32"/>
        </w:rPr>
      </w:pPr>
    </w:p>
    <w:p>
      <w:pPr>
        <w:spacing w:line="600" w:lineRule="exact"/>
        <w:ind w:firstLine="640" w:firstLineChars="200"/>
        <w:rPr>
          <w:rFonts w:eastAsia="仿宋_GB2312"/>
          <w:sz w:val="32"/>
          <w:szCs w:val="32"/>
        </w:rPr>
      </w:pPr>
      <w:r>
        <w:rPr>
          <w:rFonts w:ascii="仿宋_GB2312" w:hAnsi="仿宋_GB2312" w:eastAsia="仿宋_GB2312"/>
          <w:sz w:val="32"/>
          <w:szCs w:val="32"/>
        </w:rPr>
        <w:t>附件：</w:t>
      </w:r>
    </w:p>
    <w:p>
      <w:pPr>
        <w:spacing w:line="60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spacing w:line="600" w:lineRule="exact"/>
        <w:ind w:firstLine="640" w:firstLineChars="200"/>
        <w:rPr>
          <w:rFonts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spacing w:line="600" w:lineRule="exact"/>
        <w:ind w:firstLine="640" w:firstLineChars="200"/>
        <w:rPr>
          <w:rFonts w:eastAsia="仿宋_GB2312"/>
          <w:sz w:val="32"/>
          <w:szCs w:val="32"/>
        </w:rPr>
      </w:pPr>
      <w:r>
        <w:rPr>
          <w:rFonts w:hint="eastAsia"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项目支出</w:t>
      </w:r>
      <w:r>
        <w:rPr>
          <w:rFonts w:ascii="仿宋_GB2312" w:hAnsi="仿宋_GB2312" w:eastAsia="仿宋_GB2312"/>
          <w:sz w:val="32"/>
          <w:szCs w:val="32"/>
        </w:rPr>
        <w:t>绩效自评表</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hint="eastAsia" w:ascii="宋体" w:hAnsi="宋体"/>
        </w:rPr>
      </w:pP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rPr>
              <w:t>1</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rPr>
              <w:t>49</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rPr>
              <w:t>44</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rFonts w:hint="eastAsia" w:eastAsia="仿宋_GB2312"/>
                <w:b/>
                <w:bCs/>
                <w:kern w:val="0"/>
              </w:rPr>
              <w:t>20</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rPr>
              <w:t>1</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rPr>
              <w:t>1</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1.5万元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rPr>
              <w:t>2万元</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0.945万元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1.5万元</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2万元</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0.945万元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11.33万元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12万元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11.4万元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19.7</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17.2</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 xml:space="preserve">8.95   </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27.29</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25.97</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32.75</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1.28</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1.75</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color w:val="FF0000"/>
                <w:kern w:val="0"/>
              </w:rPr>
              <w:t>　</w:t>
            </w:r>
            <w:r>
              <w:rPr>
                <w:rFonts w:hint="eastAsia" w:eastAsia="仿宋_GB2312"/>
                <w:kern w:val="0"/>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84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112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1111"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96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863"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控制“三公”经费支出</w:t>
            </w:r>
          </w:p>
        </w:tc>
      </w:tr>
    </w:tbl>
    <w:p>
      <w:pPr>
        <w:spacing w:line="360" w:lineRule="exact"/>
        <w:rPr>
          <w:rFonts w:hint="eastAsia"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spacing w:line="360" w:lineRule="exact"/>
        <w:rPr>
          <w:rFonts w:ascii="仿宋_GB2312" w:hAnsi="仿宋_GB2312" w:eastAsia="仿宋_GB2312"/>
          <w:kern w:val="0"/>
          <w:sz w:val="22"/>
          <w:szCs w:val="22"/>
        </w:rPr>
      </w:pPr>
      <w:r>
        <w:rPr>
          <w:rFonts w:ascii="仿宋_GB2312" w:hAnsi="仿宋_GB2312"/>
          <w:kern w:val="0"/>
        </w:rPr>
        <w:t xml:space="preserve">填表人：   </w:t>
      </w:r>
      <w:r>
        <w:rPr>
          <w:rFonts w:hint="eastAsia" w:ascii="仿宋_GB2312" w:hAnsi="仿宋_GB2312"/>
          <w:kern w:val="0"/>
        </w:rPr>
        <w:t>刘耿玮</w:t>
      </w:r>
      <w:r>
        <w:rPr>
          <w:rFonts w:ascii="仿宋_GB2312" w:hAnsi="仿宋_GB2312"/>
          <w:kern w:val="0"/>
        </w:rPr>
        <w:t xml:space="preserve">    联系电话： </w:t>
      </w:r>
      <w:r>
        <w:rPr>
          <w:rFonts w:hint="eastAsia" w:ascii="仿宋_GB2312" w:hAnsi="仿宋_GB2312"/>
          <w:kern w:val="0"/>
        </w:rPr>
        <w:t>186</w:t>
      </w:r>
      <w:r>
        <w:rPr>
          <w:rFonts w:hint="eastAsia" w:ascii="仿宋_GB2312" w:hAnsi="仿宋_GB2312"/>
          <w:kern w:val="0"/>
          <w:lang w:val="en-US" w:eastAsia="zh-CN"/>
        </w:rPr>
        <w:t>****</w:t>
      </w:r>
      <w:r>
        <w:rPr>
          <w:rFonts w:hint="eastAsia" w:ascii="仿宋_GB2312" w:hAnsi="仿宋_GB2312"/>
          <w:kern w:val="0"/>
        </w:rPr>
        <w:t>0916</w:t>
      </w:r>
      <w:r>
        <w:rPr>
          <w:rFonts w:ascii="仿宋_GB2312" w:hAnsi="仿宋_GB2312"/>
          <w:kern w:val="0"/>
        </w:rPr>
        <w:t xml:space="preserve">    填报日期：   </w:t>
      </w:r>
      <w:r>
        <w:rPr>
          <w:rFonts w:hint="eastAsia" w:ascii="仿宋_GB2312" w:hAnsi="仿宋_GB2312"/>
          <w:kern w:val="0"/>
        </w:rPr>
        <w:t>202</w:t>
      </w:r>
      <w:r>
        <w:rPr>
          <w:rFonts w:hint="eastAsia" w:ascii="仿宋_GB2312" w:hAnsi="仿宋_GB2312"/>
          <w:kern w:val="0"/>
          <w:lang w:val="en-US" w:eastAsia="zh-CN"/>
        </w:rPr>
        <w:t>2</w:t>
      </w:r>
      <w:r>
        <w:rPr>
          <w:rFonts w:hint="eastAsia" w:ascii="仿宋_GB2312" w:hAnsi="仿宋_GB2312"/>
          <w:kern w:val="0"/>
        </w:rPr>
        <w:t>年6月25日</w:t>
      </w:r>
      <w:r>
        <w:rPr>
          <w:rFonts w:ascii="仿宋_GB2312" w:hAnsi="仿宋_GB2312"/>
          <w:kern w:val="0"/>
        </w:rPr>
        <w:t xml:space="preserve">        单位负责人签字：</w:t>
      </w:r>
      <w:r>
        <w:rPr>
          <w:rFonts w:hint="eastAsia" w:ascii="仿宋_GB2312" w:hAnsi="仿宋_GB2312"/>
          <w:kern w:val="0"/>
        </w:rPr>
        <w:t xml:space="preserve"> </w:t>
      </w:r>
    </w:p>
    <w:p>
      <w:pPr>
        <w:spacing w:line="360" w:lineRule="exact"/>
        <w:rPr>
          <w:rFonts w:ascii="黑体" w:hAnsi="黑体" w:eastAsia="黑体"/>
          <w:sz w:val="32"/>
          <w:szCs w:val="32"/>
        </w:rPr>
      </w:pPr>
      <w:r>
        <w:rPr>
          <w:rFonts w:eastAsia="仿宋_GB2312"/>
          <w:kern w:val="0"/>
          <w:sz w:val="22"/>
          <w:szCs w:val="22"/>
        </w:rPr>
        <w:br w:type="page"/>
      </w:r>
      <w:r>
        <w:rPr>
          <w:rFonts w:ascii="黑体" w:hAnsi="黑体"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2021</w:t>
      </w:r>
      <w:r>
        <w:rPr>
          <w:rFonts w:ascii="仿宋_GB2312" w:hAnsi="仿宋_GB2312" w:eastAsia="仿宋_GB2312"/>
          <w:color w:val="000000"/>
          <w:kern w:val="0"/>
        </w:rPr>
        <w:t>年度）</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ascii="仿宋_GB2312" w:hAnsi="仿宋_GB2312"/>
                <w:kern w:val="0"/>
              </w:rPr>
              <w:t>双牌县理家坪乡人民政府</w:t>
            </w:r>
            <w:r>
              <w:rPr>
                <w:rFonts w:ascii="仿宋_GB2312" w:hAnsi="仿宋_GB2312"/>
                <w:kern w:val="0"/>
              </w:rPr>
              <w:t>　</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p>
        </w:tc>
        <w:tc>
          <w:tcPr>
            <w:tcW w:w="1114"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856</w:t>
            </w:r>
          </w:p>
        </w:tc>
        <w:tc>
          <w:tcPr>
            <w:tcW w:w="1295"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881</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881</w:t>
            </w:r>
          </w:p>
        </w:tc>
        <w:tc>
          <w:tcPr>
            <w:tcW w:w="70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10</w:t>
            </w:r>
          </w:p>
        </w:tc>
        <w:tc>
          <w:tcPr>
            <w:tcW w:w="898"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100%</w:t>
            </w:r>
          </w:p>
        </w:tc>
        <w:tc>
          <w:tcPr>
            <w:tcW w:w="1446"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xml:space="preserve">  其中：  一般公共预算：</w:t>
            </w:r>
            <w:r>
              <w:rPr>
                <w:rFonts w:hint="eastAsia" w:eastAsia="仿宋_GB2312"/>
                <w:color w:val="000000"/>
                <w:kern w:val="0"/>
              </w:rPr>
              <w:t>636.92</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其中：基本支出：</w:t>
            </w:r>
            <w:r>
              <w:rPr>
                <w:rFonts w:hint="eastAsia" w:eastAsia="仿宋_GB2312"/>
                <w:color w:val="000000"/>
                <w:kern w:val="0"/>
              </w:rPr>
              <w:t>483.72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ind w:firstLine="840" w:firstLineChars="400"/>
              <w:jc w:val="left"/>
              <w:rPr>
                <w:rFonts w:eastAsia="仿宋_GB2312"/>
                <w:color w:val="000000"/>
                <w:kern w:val="0"/>
              </w:rPr>
            </w:pPr>
            <w:r>
              <w:rPr>
                <w:rFonts w:eastAsia="仿宋_GB2312"/>
                <w:color w:val="000000"/>
                <w:kern w:val="0"/>
              </w:rPr>
              <w:t>政府性基金拨款：</w:t>
            </w:r>
            <w:r>
              <w:rPr>
                <w:rFonts w:hint="eastAsia" w:eastAsia="仿宋_GB2312"/>
                <w:color w:val="000000"/>
                <w:kern w:val="0"/>
              </w:rPr>
              <w:t>112.18</w:t>
            </w:r>
          </w:p>
        </w:tc>
        <w:tc>
          <w:tcPr>
            <w:tcW w:w="4187" w:type="dxa"/>
            <w:gridSpan w:val="4"/>
            <w:tcBorders>
              <w:top w:val="single" w:color="auto" w:sz="4" w:space="0"/>
              <w:left w:val="nil"/>
              <w:bottom w:val="single" w:color="auto" w:sz="4" w:space="0"/>
              <w:right w:val="single" w:color="auto" w:sz="4" w:space="0"/>
            </w:tcBorders>
            <w:vAlign w:val="center"/>
          </w:tcPr>
          <w:p>
            <w:pPr>
              <w:widowControl/>
              <w:ind w:firstLine="630" w:firstLineChars="300"/>
              <w:jc w:val="left"/>
              <w:rPr>
                <w:rFonts w:eastAsia="仿宋_GB2312"/>
                <w:color w:val="000000"/>
                <w:kern w:val="0"/>
              </w:rPr>
            </w:pPr>
            <w:r>
              <w:rPr>
                <w:rFonts w:eastAsia="仿宋_GB2312"/>
                <w:color w:val="000000"/>
                <w:kern w:val="0"/>
              </w:rPr>
              <w:t>项目支出：</w:t>
            </w:r>
            <w:r>
              <w:rPr>
                <w:rFonts w:hint="eastAsia" w:eastAsia="仿宋_GB2312"/>
                <w:color w:val="000000"/>
                <w:kern w:val="0"/>
              </w:rPr>
              <w:t>396.96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ind w:firstLine="1470" w:firstLineChars="700"/>
              <w:jc w:val="left"/>
              <w:rPr>
                <w:rFonts w:eastAsia="仿宋_GB2312"/>
                <w:color w:val="000000"/>
                <w:kern w:val="0"/>
              </w:rPr>
            </w:pPr>
            <w:r>
              <w:rPr>
                <w:rFonts w:eastAsia="仿宋_GB2312"/>
                <w:color w:val="000000"/>
                <w:kern w:val="0"/>
              </w:rPr>
              <w:t>其他资金：</w:t>
            </w:r>
            <w:r>
              <w:rPr>
                <w:rFonts w:hint="eastAsia" w:eastAsia="仿宋_GB2312"/>
                <w:color w:val="000000"/>
                <w:kern w:val="0"/>
              </w:rPr>
              <w:t>131.58</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pStyle w:val="4"/>
              <w:shd w:val="clear" w:color="auto" w:fill="FFFFFF"/>
              <w:spacing w:beforeAutospacing="0" w:afterAutospacing="0" w:line="450" w:lineRule="atLeast"/>
              <w:ind w:right="300"/>
              <w:rPr>
                <w:sz w:val="16"/>
                <w:szCs w:val="21"/>
              </w:rPr>
            </w:pPr>
            <w:r>
              <w:rPr>
                <w:rFonts w:hint="eastAsia"/>
                <w:sz w:val="16"/>
                <w:szCs w:val="21"/>
              </w:rPr>
              <w:t>目标1：奋力冲刺重点项目攻坚，促进乡镇经济发展；</w:t>
            </w:r>
          </w:p>
          <w:p>
            <w:pPr>
              <w:pStyle w:val="4"/>
              <w:shd w:val="clear" w:color="auto" w:fill="FFFFFF"/>
              <w:spacing w:beforeAutospacing="0" w:afterAutospacing="0" w:line="450" w:lineRule="atLeast"/>
              <w:ind w:right="300"/>
              <w:rPr>
                <w:sz w:val="16"/>
                <w:szCs w:val="21"/>
              </w:rPr>
            </w:pPr>
            <w:r>
              <w:rPr>
                <w:rFonts w:hint="eastAsia"/>
                <w:sz w:val="16"/>
                <w:szCs w:val="21"/>
              </w:rPr>
              <w:t>目标2：完善基础设施建设与惠民项目资金的管理，道路修扩建、硬化工程、安全饮水工程、空心房拆除等验收合格率达90%；</w:t>
            </w:r>
          </w:p>
          <w:p>
            <w:pPr>
              <w:pStyle w:val="4"/>
              <w:shd w:val="clear" w:color="auto" w:fill="FFFFFF"/>
              <w:spacing w:beforeAutospacing="0" w:afterAutospacing="0" w:line="450" w:lineRule="atLeast"/>
              <w:ind w:right="300"/>
              <w:rPr>
                <w:sz w:val="16"/>
                <w:szCs w:val="21"/>
              </w:rPr>
            </w:pPr>
            <w:r>
              <w:rPr>
                <w:rFonts w:hint="eastAsia"/>
                <w:sz w:val="16"/>
                <w:szCs w:val="21"/>
              </w:rPr>
              <w:t>目标3："两折两卡"补贴发放及时率达100%，坚守民生保障底线；</w:t>
            </w:r>
          </w:p>
          <w:p>
            <w:pPr>
              <w:pStyle w:val="4"/>
              <w:shd w:val="clear" w:color="auto" w:fill="FFFFFF"/>
              <w:spacing w:beforeAutospacing="0" w:afterAutospacing="0" w:line="450" w:lineRule="atLeast"/>
              <w:ind w:right="300"/>
              <w:rPr>
                <w:sz w:val="16"/>
                <w:szCs w:val="21"/>
              </w:rPr>
            </w:pPr>
            <w:r>
              <w:rPr>
                <w:rFonts w:hint="eastAsia"/>
                <w:sz w:val="16"/>
                <w:szCs w:val="21"/>
              </w:rPr>
              <w:t>目标4：加强社会管理，村民赴省进京上访控制为0；</w:t>
            </w:r>
          </w:p>
          <w:p>
            <w:pPr>
              <w:pStyle w:val="4"/>
              <w:shd w:val="clear" w:color="auto" w:fill="FFFFFF"/>
              <w:spacing w:beforeAutospacing="0" w:afterAutospacing="0" w:line="450" w:lineRule="atLeast"/>
              <w:ind w:right="300"/>
              <w:rPr>
                <w:sz w:val="8"/>
                <w:szCs w:val="21"/>
              </w:rPr>
            </w:pPr>
            <w:r>
              <w:rPr>
                <w:rFonts w:hint="eastAsia"/>
                <w:sz w:val="16"/>
                <w:szCs w:val="21"/>
              </w:rPr>
              <w:t>目标5：灾害防治、安全生产、森林防火实现"零发生"，全面做好"底线"工作。</w:t>
            </w:r>
          </w:p>
          <w:p>
            <w:pPr>
              <w:widowControl/>
              <w:jc w:val="center"/>
              <w:rPr>
                <w:rFonts w:eastAsia="仿宋_GB2312"/>
                <w:color w:val="000000"/>
                <w:kern w:val="0"/>
              </w:rPr>
            </w:pPr>
            <w:r>
              <w:rPr>
                <w:rFonts w:eastAsia="仿宋_GB2312"/>
                <w:color w:val="000000"/>
                <w:kern w:val="0"/>
              </w:rPr>
              <w:t xml:space="preserve"> </w:t>
            </w:r>
          </w:p>
        </w:tc>
        <w:tc>
          <w:tcPr>
            <w:tcW w:w="4187" w:type="dxa"/>
            <w:gridSpan w:val="4"/>
            <w:tcBorders>
              <w:top w:val="single" w:color="auto" w:sz="4" w:space="0"/>
              <w:left w:val="nil"/>
              <w:bottom w:val="single" w:color="auto" w:sz="4" w:space="0"/>
              <w:right w:val="single" w:color="auto" w:sz="4" w:space="0"/>
            </w:tcBorders>
            <w:vAlign w:val="center"/>
          </w:tcPr>
          <w:p>
            <w:pPr>
              <w:pStyle w:val="4"/>
              <w:shd w:val="clear" w:color="auto" w:fill="FFFFFF"/>
              <w:spacing w:beforeAutospacing="0" w:afterAutospacing="0" w:line="450" w:lineRule="atLeast"/>
              <w:ind w:right="300"/>
              <w:rPr>
                <w:sz w:val="16"/>
                <w:szCs w:val="21"/>
              </w:rPr>
            </w:pPr>
            <w:r>
              <w:rPr>
                <w:rFonts w:hint="eastAsia"/>
                <w:sz w:val="16"/>
                <w:szCs w:val="21"/>
              </w:rPr>
              <w:t>目标1：大力扶持柑橘、茄子、香椿等模式成熟、效益明显的农产品上；牲猪养殖项目选址已完成；结合产业集群和奇特的喀斯特地貌打造乡村旅游精品线路。</w:t>
            </w:r>
          </w:p>
          <w:p>
            <w:pPr>
              <w:pStyle w:val="4"/>
              <w:shd w:val="clear" w:color="auto" w:fill="FFFFFF"/>
              <w:spacing w:beforeAutospacing="0" w:afterAutospacing="0" w:line="450" w:lineRule="atLeast"/>
              <w:ind w:right="300"/>
              <w:rPr>
                <w:sz w:val="16"/>
                <w:szCs w:val="21"/>
              </w:rPr>
            </w:pPr>
            <w:r>
              <w:rPr>
                <w:rFonts w:hint="eastAsia"/>
                <w:sz w:val="16"/>
                <w:szCs w:val="21"/>
              </w:rPr>
              <w:t>目标2：实施9个扶贫项目，其中7个基础设施建设项目，农村公路桥梁等基础设施都有所改善。</w:t>
            </w:r>
          </w:p>
          <w:p>
            <w:pPr>
              <w:pStyle w:val="4"/>
              <w:shd w:val="clear" w:color="auto" w:fill="FFFFFF"/>
              <w:spacing w:beforeAutospacing="0" w:afterAutospacing="0" w:line="450" w:lineRule="atLeast"/>
              <w:ind w:right="300"/>
              <w:rPr>
                <w:sz w:val="16"/>
                <w:szCs w:val="21"/>
              </w:rPr>
            </w:pPr>
            <w:r>
              <w:rPr>
                <w:rFonts w:hint="eastAsia"/>
                <w:sz w:val="16"/>
                <w:szCs w:val="21"/>
              </w:rPr>
              <w:t>目标3："两折两卡"补贴发放及时率达100%</w:t>
            </w:r>
          </w:p>
          <w:p>
            <w:pPr>
              <w:pStyle w:val="4"/>
              <w:shd w:val="clear" w:color="auto" w:fill="FFFFFF"/>
              <w:spacing w:beforeAutospacing="0" w:afterAutospacing="0" w:line="450" w:lineRule="atLeast"/>
              <w:ind w:right="300"/>
              <w:rPr>
                <w:sz w:val="16"/>
                <w:szCs w:val="21"/>
              </w:rPr>
            </w:pPr>
            <w:r>
              <w:rPr>
                <w:rFonts w:hint="eastAsia"/>
                <w:sz w:val="16"/>
                <w:szCs w:val="21"/>
              </w:rPr>
              <w:t>目标4：村民赴省进京上访控制为0</w:t>
            </w:r>
          </w:p>
          <w:p>
            <w:pPr>
              <w:pStyle w:val="4"/>
              <w:shd w:val="clear" w:color="auto" w:fill="FFFFFF"/>
              <w:spacing w:beforeAutospacing="0" w:afterAutospacing="0" w:line="450" w:lineRule="atLeast"/>
              <w:ind w:right="300"/>
              <w:rPr>
                <w:rFonts w:asciiTheme="minorEastAsia" w:hAnsiTheme="minorEastAsia" w:eastAsiaTheme="minorEastAsia"/>
                <w:color w:val="000000"/>
                <w:sz w:val="16"/>
                <w:szCs w:val="16"/>
              </w:rPr>
            </w:pPr>
            <w:r>
              <w:rPr>
                <w:rFonts w:hint="eastAsia"/>
                <w:sz w:val="16"/>
                <w:szCs w:val="21"/>
              </w:rPr>
              <w:t>目标5：灾害防治、安全生产、森林防火实现"零发生"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12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1395"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重点项目</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kern w:val="0"/>
                <w:sz w:val="16"/>
              </w:rPr>
              <w:t>　</w:t>
            </w:r>
            <w:r>
              <w:rPr>
                <w:rFonts w:hint="eastAsia"/>
                <w:kern w:val="0"/>
                <w:sz w:val="16"/>
              </w:rPr>
              <w:t>=2个</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kern w:val="0"/>
                <w:sz w:val="16"/>
              </w:rPr>
              <w:t>　</w:t>
            </w:r>
            <w:r>
              <w:rPr>
                <w:rFonts w:hint="eastAsia"/>
                <w:kern w:val="0"/>
                <w:sz w:val="16"/>
              </w:rPr>
              <w:t>=2个</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村组道路水沟硬化</w:t>
            </w:r>
          </w:p>
        </w:tc>
        <w:tc>
          <w:tcPr>
            <w:tcW w:w="1200" w:type="dxa"/>
            <w:tcBorders>
              <w:top w:val="single" w:color="auto" w:sz="4" w:space="0"/>
              <w:left w:val="nil"/>
              <w:right w:val="single" w:color="auto" w:sz="4" w:space="0"/>
            </w:tcBorders>
            <w:vAlign w:val="center"/>
          </w:tcPr>
          <w:p>
            <w:pPr>
              <w:rPr>
                <w:kern w:val="0"/>
                <w:sz w:val="16"/>
              </w:rPr>
            </w:pPr>
            <w:r>
              <w:rPr>
                <w:rFonts w:hint="eastAsia"/>
                <w:kern w:val="0"/>
                <w:sz w:val="16"/>
              </w:rPr>
              <w:t>≥8公里</w:t>
            </w:r>
          </w:p>
        </w:tc>
        <w:tc>
          <w:tcPr>
            <w:tcW w:w="1134" w:type="dxa"/>
            <w:tcBorders>
              <w:top w:val="single" w:color="auto" w:sz="4" w:space="0"/>
              <w:left w:val="nil"/>
              <w:right w:val="single" w:color="auto" w:sz="4" w:space="0"/>
            </w:tcBorders>
            <w:vAlign w:val="center"/>
          </w:tcPr>
          <w:p>
            <w:pPr>
              <w:rPr>
                <w:kern w:val="0"/>
                <w:sz w:val="16"/>
              </w:rPr>
            </w:pPr>
            <w:r>
              <w:rPr>
                <w:rFonts w:hint="eastAsia"/>
                <w:kern w:val="0"/>
                <w:sz w:val="16"/>
              </w:rPr>
              <w:t>≥8公里</w:t>
            </w:r>
          </w:p>
        </w:tc>
        <w:tc>
          <w:tcPr>
            <w:tcW w:w="709" w:type="dxa"/>
            <w:tcBorders>
              <w:top w:val="single" w:color="auto" w:sz="4" w:space="0"/>
              <w:left w:val="nil"/>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惠民惠农补贴对象</w:t>
            </w:r>
          </w:p>
        </w:tc>
        <w:tc>
          <w:tcPr>
            <w:tcW w:w="1200" w:type="dxa"/>
            <w:tcBorders>
              <w:left w:val="nil"/>
              <w:right w:val="single" w:color="auto" w:sz="4" w:space="0"/>
            </w:tcBorders>
            <w:vAlign w:val="center"/>
          </w:tcPr>
          <w:p>
            <w:pPr>
              <w:rPr>
                <w:kern w:val="0"/>
                <w:sz w:val="16"/>
              </w:rPr>
            </w:pPr>
            <w:r>
              <w:rPr>
                <w:rFonts w:hint="eastAsia"/>
                <w:kern w:val="0"/>
                <w:sz w:val="16"/>
              </w:rPr>
              <w:t>≥3081户</w:t>
            </w:r>
          </w:p>
        </w:tc>
        <w:tc>
          <w:tcPr>
            <w:tcW w:w="1134" w:type="dxa"/>
            <w:tcBorders>
              <w:left w:val="nil"/>
              <w:right w:val="single" w:color="auto" w:sz="4" w:space="0"/>
            </w:tcBorders>
            <w:vAlign w:val="center"/>
          </w:tcPr>
          <w:p>
            <w:pPr>
              <w:rPr>
                <w:kern w:val="0"/>
                <w:sz w:val="16"/>
              </w:rPr>
            </w:pPr>
            <w:r>
              <w:rPr>
                <w:rFonts w:hint="eastAsia"/>
                <w:kern w:val="0"/>
                <w:sz w:val="16"/>
              </w:rPr>
              <w:t>≥3081户</w:t>
            </w:r>
          </w:p>
        </w:tc>
        <w:tc>
          <w:tcPr>
            <w:tcW w:w="709" w:type="dxa"/>
            <w:tcBorders>
              <w:left w:val="nil"/>
              <w:right w:val="single" w:color="auto" w:sz="4" w:space="0"/>
            </w:tcBorders>
            <w:vAlign w:val="center"/>
          </w:tcPr>
          <w:p>
            <w:pPr>
              <w:widowControl/>
              <w:jc w:val="left"/>
              <w:rPr>
                <w:rFonts w:eastAsia="仿宋_GB2312"/>
                <w:color w:val="000000"/>
                <w:kern w:val="0"/>
                <w:sz w:val="16"/>
              </w:rPr>
            </w:pPr>
            <w:r>
              <w:rPr>
                <w:rFonts w:hint="eastAsia" w:eastAsia="仿宋_GB2312"/>
                <w:color w:val="000000"/>
                <w:kern w:val="0"/>
                <w:sz w:val="16"/>
              </w:rPr>
              <w:t>6</w:t>
            </w:r>
          </w:p>
        </w:tc>
        <w:tc>
          <w:tcPr>
            <w:tcW w:w="898" w:type="dxa"/>
            <w:tcBorders>
              <w:left w:val="nil"/>
              <w:right w:val="single" w:color="auto" w:sz="4" w:space="0"/>
            </w:tcBorders>
            <w:vAlign w:val="center"/>
          </w:tcPr>
          <w:p>
            <w:pPr>
              <w:widowControl/>
              <w:jc w:val="left"/>
              <w:rPr>
                <w:rFonts w:eastAsia="仿宋_GB2312"/>
                <w:color w:val="000000"/>
                <w:kern w:val="0"/>
                <w:sz w:val="16"/>
              </w:rPr>
            </w:pPr>
            <w:r>
              <w:rPr>
                <w:rFonts w:hint="eastAsia" w:eastAsia="仿宋_GB2312"/>
                <w:color w:val="000000"/>
                <w:kern w:val="0"/>
                <w:sz w:val="16"/>
              </w:rPr>
              <w:t>6</w:t>
            </w:r>
          </w:p>
        </w:tc>
        <w:tc>
          <w:tcPr>
            <w:tcW w:w="1446" w:type="dxa"/>
            <w:tcBorders>
              <w:left w:val="nil"/>
              <w:right w:val="single" w:color="auto" w:sz="4" w:space="0"/>
            </w:tcBorders>
            <w:vAlign w:val="center"/>
          </w:tcPr>
          <w:p>
            <w:pPr>
              <w:widowControl/>
              <w:jc w:val="left"/>
              <w:rPr>
                <w:rFonts w:eastAsia="仿宋_GB2312"/>
                <w:color w:val="000000"/>
                <w:kern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0" w:type="auto"/>
            <w:vMerge w:val="continue"/>
            <w:tcBorders>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拆除面积</w:t>
            </w:r>
          </w:p>
        </w:tc>
        <w:tc>
          <w:tcPr>
            <w:tcW w:w="1200" w:type="dxa"/>
            <w:tcBorders>
              <w:left w:val="nil"/>
              <w:bottom w:val="single" w:color="auto" w:sz="4" w:space="0"/>
              <w:right w:val="single" w:color="auto" w:sz="4" w:space="0"/>
            </w:tcBorders>
            <w:vAlign w:val="center"/>
          </w:tcPr>
          <w:p>
            <w:pPr>
              <w:rPr>
                <w:kern w:val="0"/>
                <w:sz w:val="16"/>
              </w:rPr>
            </w:pPr>
            <w:r>
              <w:rPr>
                <w:rFonts w:hint="eastAsia"/>
                <w:kern w:val="0"/>
                <w:sz w:val="16"/>
              </w:rPr>
              <w:t>≥15000㎡</w:t>
            </w:r>
          </w:p>
        </w:tc>
        <w:tc>
          <w:tcPr>
            <w:tcW w:w="1134" w:type="dxa"/>
            <w:tcBorders>
              <w:left w:val="nil"/>
              <w:bottom w:val="single" w:color="auto" w:sz="4" w:space="0"/>
              <w:right w:val="single" w:color="auto" w:sz="4" w:space="0"/>
            </w:tcBorders>
            <w:vAlign w:val="center"/>
          </w:tcPr>
          <w:p>
            <w:pPr>
              <w:rPr>
                <w:kern w:val="0"/>
                <w:sz w:val="16"/>
              </w:rPr>
            </w:pPr>
            <w:r>
              <w:rPr>
                <w:rFonts w:hint="eastAsia"/>
                <w:kern w:val="0"/>
                <w:sz w:val="16"/>
              </w:rPr>
              <w:t>≥15000㎡</w:t>
            </w:r>
          </w:p>
        </w:tc>
        <w:tc>
          <w:tcPr>
            <w:tcW w:w="709" w:type="dxa"/>
            <w:tcBorders>
              <w:left w:val="nil"/>
              <w:bottom w:val="single" w:color="auto" w:sz="4" w:space="0"/>
              <w:right w:val="single" w:color="auto" w:sz="4" w:space="0"/>
            </w:tcBorders>
            <w:vAlign w:val="center"/>
          </w:tcPr>
          <w:p>
            <w:pPr>
              <w:widowControl/>
              <w:jc w:val="left"/>
              <w:rPr>
                <w:rFonts w:eastAsia="仿宋_GB2312"/>
                <w:color w:val="000000"/>
                <w:kern w:val="0"/>
                <w:sz w:val="16"/>
              </w:rPr>
            </w:pPr>
            <w:r>
              <w:rPr>
                <w:rFonts w:hint="eastAsia" w:eastAsia="仿宋_GB2312"/>
                <w:color w:val="000000"/>
                <w:kern w:val="0"/>
                <w:sz w:val="16"/>
              </w:rPr>
              <w:t>7</w:t>
            </w:r>
          </w:p>
        </w:tc>
        <w:tc>
          <w:tcPr>
            <w:tcW w:w="898" w:type="dxa"/>
            <w:tcBorders>
              <w:left w:val="nil"/>
              <w:bottom w:val="single" w:color="auto" w:sz="4" w:space="0"/>
              <w:right w:val="single" w:color="auto" w:sz="4" w:space="0"/>
            </w:tcBorders>
            <w:vAlign w:val="center"/>
          </w:tcPr>
          <w:p>
            <w:pPr>
              <w:widowControl/>
              <w:jc w:val="left"/>
              <w:rPr>
                <w:rFonts w:eastAsia="仿宋_GB2312"/>
                <w:color w:val="000000"/>
                <w:kern w:val="0"/>
                <w:sz w:val="16"/>
              </w:rPr>
            </w:pPr>
            <w:r>
              <w:rPr>
                <w:rFonts w:hint="eastAsia" w:eastAsia="仿宋_GB2312"/>
                <w:color w:val="000000"/>
                <w:kern w:val="0"/>
                <w:sz w:val="16"/>
              </w:rPr>
              <w:t>7</w:t>
            </w:r>
          </w:p>
        </w:tc>
        <w:tc>
          <w:tcPr>
            <w:tcW w:w="1446" w:type="dxa"/>
            <w:tcBorders>
              <w:left w:val="nil"/>
              <w:bottom w:val="single" w:color="auto" w:sz="4" w:space="0"/>
              <w:right w:val="single" w:color="auto" w:sz="4" w:space="0"/>
            </w:tcBorders>
            <w:vAlign w:val="center"/>
          </w:tcPr>
          <w:p>
            <w:pPr>
              <w:widowControl/>
              <w:jc w:val="left"/>
              <w:rPr>
                <w:rFonts w:eastAsia="仿宋_GB2312"/>
                <w:color w:val="000000"/>
                <w:kern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项目验收合格率</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≥90%</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≥90%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两折两卡普及率</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=100%</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=100%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年度建设完成率</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基础设施验收及时率</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≥90%</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≥90%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拆迁补偿费</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≤50万</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≤50万</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left w:val="nil"/>
              <w:bottom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补助、补贴资金</w:t>
            </w:r>
          </w:p>
        </w:tc>
        <w:tc>
          <w:tcPr>
            <w:tcW w:w="1200"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＞500万</w:t>
            </w:r>
          </w:p>
        </w:tc>
        <w:tc>
          <w:tcPr>
            <w:tcW w:w="1134" w:type="dxa"/>
            <w:tcBorders>
              <w:top w:val="single" w:color="auto" w:sz="4" w:space="0"/>
              <w:left w:val="nil"/>
              <w:bottom w:val="single" w:color="auto" w:sz="4" w:space="0"/>
              <w:right w:val="single" w:color="auto" w:sz="4" w:space="0"/>
            </w:tcBorders>
            <w:vAlign w:val="center"/>
          </w:tcPr>
          <w:p>
            <w:pPr>
              <w:rPr>
                <w:kern w:val="0"/>
                <w:sz w:val="16"/>
              </w:rPr>
            </w:pPr>
            <w:r>
              <w:rPr>
                <w:rFonts w:hint="eastAsia"/>
                <w:kern w:val="0"/>
                <w:sz w:val="16"/>
              </w:rPr>
              <w:t>＞500万</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6</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pPr>
              <w:rPr>
                <w:rFonts w:eastAsia="仿宋_GB2312"/>
                <w:kern w:val="0"/>
                <w:sz w:val="16"/>
              </w:rPr>
            </w:pPr>
            <w:r>
              <w:rPr>
                <w:rFonts w:hint="eastAsia" w:ascii="仿宋_GB2312" w:hAnsi="仿宋_GB2312"/>
                <w:kern w:val="0"/>
                <w:sz w:val="16"/>
              </w:rPr>
              <w:t>农户收入水平提升</w:t>
            </w:r>
          </w:p>
        </w:tc>
        <w:tc>
          <w:tcPr>
            <w:tcW w:w="1200" w:type="dxa"/>
            <w:tcBorders>
              <w:top w:val="single" w:color="auto" w:sz="4" w:space="0"/>
              <w:left w:val="nil"/>
              <w:bottom w:val="single" w:color="auto" w:sz="4" w:space="0"/>
              <w:right w:val="single" w:color="auto" w:sz="4" w:space="0"/>
            </w:tcBorders>
            <w:vAlign w:val="center"/>
          </w:tcPr>
          <w:p>
            <w:pPr>
              <w:rPr>
                <w:rFonts w:eastAsia="仿宋_GB2312"/>
                <w:kern w:val="0"/>
                <w:sz w:val="16"/>
              </w:rPr>
            </w:pPr>
            <w:r>
              <w:rPr>
                <w:rFonts w:eastAsia="仿宋_GB2312"/>
                <w:kern w:val="0"/>
                <w:sz w:val="16"/>
              </w:rPr>
              <w:t>　</w:t>
            </w:r>
            <w:r>
              <w:rPr>
                <w:rFonts w:hint="eastAsia" w:ascii="仿宋_GB2312" w:hAnsi="仿宋_GB2312"/>
                <w:kern w:val="0"/>
                <w:sz w:val="16"/>
              </w:rPr>
              <w:t>≥10%</w:t>
            </w:r>
          </w:p>
        </w:tc>
        <w:tc>
          <w:tcPr>
            <w:tcW w:w="1134" w:type="dxa"/>
            <w:tcBorders>
              <w:top w:val="single" w:color="auto" w:sz="4" w:space="0"/>
              <w:left w:val="nil"/>
              <w:bottom w:val="single" w:color="auto" w:sz="4" w:space="0"/>
              <w:right w:val="single" w:color="auto" w:sz="4" w:space="0"/>
            </w:tcBorders>
            <w:vAlign w:val="center"/>
          </w:tcPr>
          <w:p>
            <w:pPr>
              <w:rPr>
                <w:rFonts w:eastAsia="仿宋_GB2312"/>
                <w:kern w:val="0"/>
                <w:sz w:val="16"/>
              </w:rPr>
            </w:pPr>
            <w:r>
              <w:rPr>
                <w:rFonts w:eastAsia="仿宋_GB2312"/>
                <w:kern w:val="0"/>
                <w:sz w:val="16"/>
              </w:rPr>
              <w:t>　</w:t>
            </w:r>
            <w:r>
              <w:rPr>
                <w:rFonts w:hint="eastAsia" w:ascii="仿宋_GB2312" w:hAnsi="仿宋_GB2312"/>
                <w:kern w:val="0"/>
                <w:sz w:val="16"/>
              </w:rPr>
              <w:t>≥10%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8</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8</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村民出行效率提高</w:t>
            </w:r>
          </w:p>
        </w:tc>
        <w:tc>
          <w:tcPr>
            <w:tcW w:w="1200" w:type="dxa"/>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≥30%</w:t>
            </w:r>
          </w:p>
        </w:tc>
        <w:tc>
          <w:tcPr>
            <w:tcW w:w="1134" w:type="dxa"/>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≥30%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8</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8</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信访赔偿率降低</w:t>
            </w:r>
          </w:p>
        </w:tc>
        <w:tc>
          <w:tcPr>
            <w:tcW w:w="1200" w:type="dxa"/>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≥5%</w:t>
            </w:r>
          </w:p>
        </w:tc>
        <w:tc>
          <w:tcPr>
            <w:tcW w:w="1134" w:type="dxa"/>
            <w:tcBorders>
              <w:top w:val="single" w:color="auto" w:sz="4" w:space="0"/>
              <w:left w:val="nil"/>
              <w:bottom w:val="single" w:color="auto" w:sz="4" w:space="0"/>
              <w:right w:val="single" w:color="auto" w:sz="4" w:space="0"/>
            </w:tcBorders>
            <w:vAlign w:val="center"/>
          </w:tcPr>
          <w:p>
            <w:pPr>
              <w:rPr>
                <w:rFonts w:ascii="仿宋_GB2312" w:hAnsi="仿宋_GB2312"/>
                <w:kern w:val="0"/>
                <w:sz w:val="16"/>
              </w:rPr>
            </w:pPr>
            <w:r>
              <w:rPr>
                <w:rFonts w:hint="eastAsia" w:ascii="仿宋_GB2312" w:hAnsi="仿宋_GB2312"/>
                <w:kern w:val="0"/>
                <w:sz w:val="16"/>
              </w:rPr>
              <w:t>≥5%</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hint="eastAsia" w:ascii="仿宋_GB2312" w:hAnsi="仿宋_GB2312"/>
                <w:kern w:val="0"/>
                <w:sz w:val="16"/>
              </w:rPr>
              <w:t>发展成果惠及农户比率增加</w:t>
            </w:r>
          </w:p>
        </w:tc>
        <w:tc>
          <w:tcPr>
            <w:tcW w:w="120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ascii="仿宋_GB2312" w:hAnsi="仿宋_GB2312"/>
                <w:kern w:val="0"/>
                <w:sz w:val="16"/>
              </w:rPr>
              <w:t>≥10%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ascii="仿宋_GB2312" w:hAnsi="仿宋_GB2312"/>
                <w:kern w:val="0"/>
                <w:sz w:val="16"/>
              </w:rPr>
              <w:t>≥10%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0" w:type="auto"/>
            <w:vMerge w:val="continue"/>
            <w:tcBorders>
              <w:left w:val="single" w:color="auto" w:sz="4" w:space="0"/>
              <w:right w:val="single" w:color="auto" w:sz="4" w:space="0"/>
            </w:tcBorders>
            <w:vAlign w:val="center"/>
          </w:tcPr>
          <w:p>
            <w:pPr>
              <w:widowControl/>
              <w:jc w:val="left"/>
              <w:rPr>
                <w:rFonts w:eastAsia="仿宋_GB2312"/>
                <w:color w:val="000000"/>
                <w:kern w:val="0"/>
              </w:rPr>
            </w:pPr>
          </w:p>
        </w:tc>
        <w:tc>
          <w:tcPr>
            <w:tcW w:w="1395"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hint="eastAsia" w:ascii="仿宋_GB2312" w:hAnsi="仿宋_GB2312"/>
                <w:kern w:val="0"/>
                <w:sz w:val="16"/>
              </w:rPr>
              <w:t>村民满意度</w:t>
            </w:r>
          </w:p>
        </w:tc>
        <w:tc>
          <w:tcPr>
            <w:tcW w:w="120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ascii="仿宋_GB2312" w:hAnsi="仿宋_GB2312"/>
                <w:kern w:val="0"/>
                <w:sz w:val="16"/>
              </w:rPr>
              <w:t>≥95%</w:t>
            </w: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ascii="仿宋_GB2312" w:hAnsi="仿宋_GB2312"/>
                <w:kern w:val="0"/>
                <w:sz w:val="16"/>
              </w:rPr>
              <w:t>≥95%</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r>
              <w:rPr>
                <w:rFonts w:hint="eastAsia" w:eastAsia="仿宋_GB2312"/>
                <w:color w:val="000000"/>
                <w:kern w:val="0"/>
                <w:sz w:val="16"/>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16"/>
              </w:rPr>
            </w:pPr>
            <w:r>
              <w:rPr>
                <w:rFonts w:eastAsia="仿宋_GB2312"/>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 xml:space="preserve">100 </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bl>
    <w:p>
      <w:pPr>
        <w:widowControl/>
        <w:spacing w:line="340" w:lineRule="exact"/>
        <w:jc w:val="left"/>
        <w:rPr>
          <w:rFonts w:eastAsia="黑体"/>
          <w:sz w:val="32"/>
          <w:szCs w:val="32"/>
        </w:rPr>
      </w:pPr>
    </w:p>
    <w:p>
      <w:pPr>
        <w:widowControl/>
        <w:jc w:val="left"/>
        <w:rPr>
          <w:rFonts w:ascii="仿宋_GB2312" w:hAnsi="仿宋_GB2312"/>
          <w:kern w:val="0"/>
        </w:rPr>
      </w:pPr>
      <w:r>
        <w:rPr>
          <w:rFonts w:ascii="仿宋_GB2312" w:hAnsi="仿宋_GB2312"/>
          <w:kern w:val="0"/>
        </w:rPr>
        <w:t>填表人：</w:t>
      </w:r>
      <w:r>
        <w:rPr>
          <w:rFonts w:hint="eastAsia" w:ascii="仿宋_GB2312" w:hAnsi="仿宋_GB2312"/>
          <w:kern w:val="0"/>
        </w:rPr>
        <w:t>刘耿玮</w:t>
      </w:r>
      <w:r>
        <w:rPr>
          <w:rFonts w:ascii="仿宋_GB2312" w:hAnsi="仿宋_GB2312"/>
          <w:kern w:val="0"/>
        </w:rPr>
        <w:t xml:space="preserve">      联系电话：    </w:t>
      </w:r>
      <w:r>
        <w:rPr>
          <w:rFonts w:hint="eastAsia" w:ascii="仿宋_GB2312" w:hAnsi="仿宋_GB2312"/>
          <w:kern w:val="0"/>
        </w:rPr>
        <w:t>186</w:t>
      </w:r>
      <w:r>
        <w:rPr>
          <w:rFonts w:hint="eastAsia" w:ascii="仿宋_GB2312" w:hAnsi="仿宋_GB2312"/>
          <w:kern w:val="0"/>
          <w:lang w:val="en-US" w:eastAsia="zh-CN"/>
        </w:rPr>
        <w:t>****</w:t>
      </w:r>
      <w:r>
        <w:rPr>
          <w:rFonts w:hint="eastAsia" w:ascii="仿宋_GB2312" w:hAnsi="仿宋_GB2312"/>
          <w:kern w:val="0"/>
        </w:rPr>
        <w:t>0916</w:t>
      </w:r>
      <w:r>
        <w:rPr>
          <w:rFonts w:ascii="仿宋_GB2312" w:hAnsi="仿宋_GB2312"/>
          <w:kern w:val="0"/>
        </w:rPr>
        <w:t xml:space="preserve">      填报日期：    </w:t>
      </w:r>
      <w:r>
        <w:rPr>
          <w:rFonts w:hint="eastAsia" w:ascii="仿宋_GB2312" w:hAnsi="仿宋_GB2312"/>
          <w:kern w:val="0"/>
        </w:rPr>
        <w:t>202</w:t>
      </w:r>
      <w:r>
        <w:rPr>
          <w:rFonts w:hint="eastAsia" w:ascii="仿宋_GB2312" w:hAnsi="仿宋_GB2312"/>
          <w:kern w:val="0"/>
          <w:lang w:val="en-US" w:eastAsia="zh-CN"/>
        </w:rPr>
        <w:t>2</w:t>
      </w:r>
      <w:r>
        <w:rPr>
          <w:rFonts w:hint="eastAsia" w:ascii="仿宋_GB2312" w:hAnsi="仿宋_GB2312"/>
          <w:kern w:val="0"/>
        </w:rPr>
        <w:t>年6月25日</w:t>
      </w:r>
      <w:r>
        <w:rPr>
          <w:rFonts w:ascii="仿宋_GB2312" w:hAnsi="仿宋_GB2312"/>
          <w:kern w:val="0"/>
        </w:rPr>
        <w:t xml:space="preserve">       单位负责人签字：</w:t>
      </w:r>
    </w:p>
    <w:p>
      <w:pPr>
        <w:widowControl/>
        <w:spacing w:line="300" w:lineRule="exact"/>
        <w:jc w:val="left"/>
        <w:rPr>
          <w:rFonts w:hint="eastAsia" w:ascii="黑体" w:hAnsi="黑体" w:eastAsia="黑体"/>
          <w:sz w:val="32"/>
          <w:szCs w:val="32"/>
        </w:rPr>
      </w:pPr>
    </w:p>
    <w:p>
      <w:pPr>
        <w:widowControl/>
        <w:spacing w:line="300" w:lineRule="exact"/>
        <w:jc w:val="left"/>
        <w:rPr>
          <w:rFonts w:hint="eastAsia" w:ascii="黑体" w:hAnsi="黑体" w:eastAsia="黑体"/>
          <w:sz w:val="32"/>
          <w:szCs w:val="32"/>
        </w:rPr>
      </w:pPr>
    </w:p>
    <w:p>
      <w:pPr>
        <w:widowControl/>
        <w:spacing w:line="300" w:lineRule="exact"/>
        <w:jc w:val="left"/>
        <w:rPr>
          <w:rFonts w:hint="eastAsia" w:ascii="黑体" w:hAnsi="黑体" w:eastAsia="黑体"/>
          <w:sz w:val="32"/>
          <w:szCs w:val="32"/>
        </w:rPr>
      </w:pPr>
    </w:p>
    <w:p>
      <w:pPr>
        <w:widowControl/>
        <w:spacing w:line="300" w:lineRule="exact"/>
        <w:jc w:val="left"/>
        <w:rPr>
          <w:rFonts w:hint="eastAsia" w:ascii="黑体" w:hAnsi="黑体" w:eastAsia="黑体"/>
          <w:sz w:val="32"/>
          <w:szCs w:val="32"/>
        </w:rPr>
      </w:pPr>
    </w:p>
    <w:p>
      <w:pPr>
        <w:widowControl/>
        <w:spacing w:line="300" w:lineRule="exact"/>
        <w:jc w:val="left"/>
        <w:rPr>
          <w:rFonts w:eastAsia="黑体"/>
          <w:sz w:val="32"/>
          <w:szCs w:val="32"/>
        </w:rPr>
      </w:pPr>
      <w:r>
        <w:rPr>
          <w:rFonts w:ascii="黑体" w:hAnsi="黑体" w:eastAsia="黑体"/>
          <w:sz w:val="32"/>
          <w:szCs w:val="32"/>
        </w:rPr>
        <w:t>附件</w:t>
      </w:r>
      <w:r>
        <w:rPr>
          <w:rFonts w:hint="eastAsia" w:eastAsia="黑体"/>
          <w:sz w:val="32"/>
          <w:szCs w:val="32"/>
        </w:rPr>
        <w:t>3</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2021</w:t>
      </w:r>
      <w:r>
        <w:rPr>
          <w:rFonts w:ascii="仿宋_GB2312" w:hAnsi="仿宋_GB2312" w:eastAsia="仿宋_GB2312"/>
          <w:color w:val="000000"/>
          <w:kern w:val="0"/>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项目支出</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双牌县理家坪乡人民政府</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双牌县理家坪乡人民政府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项目资金</w:t>
            </w:r>
          </w:p>
          <w:p>
            <w:pPr>
              <w:widowControl/>
              <w:spacing w:line="300" w:lineRule="exact"/>
              <w:jc w:val="center"/>
              <w:rPr>
                <w:rFonts w:eastAsia="仿宋_GB2312"/>
                <w:color w:val="000000"/>
                <w:kern w:val="0"/>
              </w:rPr>
            </w:pPr>
            <w:r>
              <w:rPr>
                <w:rFonts w:eastAsia="仿宋_GB2312"/>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82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分值</w:t>
            </w:r>
          </w:p>
        </w:tc>
        <w:tc>
          <w:tcPr>
            <w:tcW w:w="87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执行率</w:t>
            </w:r>
          </w:p>
        </w:tc>
        <w:tc>
          <w:tcPr>
            <w:tcW w:w="141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299.68</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396.96</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396.96</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hint="eastAsia" w:eastAsia="仿宋_GB2312"/>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299.68</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396.96</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396.96</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rPr>
                <w:rFonts w:eastAsia="仿宋_GB2312"/>
                <w:color w:val="000000"/>
                <w:kern w:val="0"/>
              </w:rPr>
            </w:pPr>
            <w:r>
              <w:rPr>
                <w:rFonts w:hint="eastAsia" w:eastAsia="仿宋_GB2312"/>
                <w:color w:val="000000"/>
                <w:kern w:val="0"/>
              </w:rPr>
              <w:t>保障乡政府的基本运转，不断提升理家坪乡政府服务水平。</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hint="eastAsia" w:eastAsia="仿宋_GB2312"/>
                <w:color w:val="000000"/>
                <w:kern w:val="0"/>
              </w:rPr>
              <w:t>保障乡政府的基本运转，不断提升理家坪乡政府服务水平。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完成支出总额</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396.96万元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eastAsia="仿宋_GB2312"/>
                <w:color w:val="000000"/>
                <w:kern w:val="0"/>
              </w:rPr>
              <w:t>396.96</w:t>
            </w:r>
            <w:r>
              <w:rPr>
                <w:rFonts w:hint="eastAsia" w:ascii="宋体" w:hAnsi="宋体" w:cs="宋体"/>
                <w:color w:val="000000"/>
                <w:kern w:val="0"/>
              </w:rPr>
              <w:t>万元</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资金使用合格率</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完成支出及时率</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支出控制在预算内</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396.96万元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eastAsia="仿宋_GB2312"/>
                <w:color w:val="000000"/>
                <w:kern w:val="0"/>
              </w:rPr>
              <w:t>396.96</w:t>
            </w:r>
            <w:r>
              <w:rPr>
                <w:rFonts w:hint="eastAsia" w:ascii="宋体" w:hAnsi="宋体" w:cs="宋体"/>
                <w:color w:val="000000"/>
                <w:kern w:val="0"/>
              </w:rPr>
              <w:t>万元</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rPr>
            </w:pPr>
            <w:r>
              <w:rPr>
                <w:rFonts w:hint="eastAsia" w:ascii="宋体" w:hAnsi="宋体" w:cs="宋体"/>
                <w:color w:val="000000"/>
                <w:kern w:val="0"/>
              </w:rPr>
              <w:t>促进经济发展</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促进社会发展</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rPr>
            </w:pPr>
            <w:r>
              <w:rPr>
                <w:rFonts w:hint="eastAsia" w:ascii="宋体" w:hAnsi="宋体" w:cs="宋体"/>
                <w:color w:val="000000"/>
                <w:kern w:val="0"/>
              </w:rPr>
              <w:t>促进可持续发展</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rPr>
            </w:pPr>
            <w:r>
              <w:rPr>
                <w:rFonts w:hint="eastAsia" w:ascii="宋体" w:hAnsi="宋体" w:cs="宋体"/>
                <w:color w:val="000000"/>
                <w:kern w:val="0"/>
              </w:rPr>
              <w:t>促进可持续发展</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良好</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color w:val="000000"/>
                <w:kern w:val="0"/>
              </w:rPr>
              <w:t>社会公众或服务对象满意度</w:t>
            </w:r>
            <w:r>
              <w:rPr>
                <w:rFonts w:hint="eastAsia" w:ascii="宋体" w:hAnsi="宋体" w:cs="宋体"/>
                <w:b/>
                <w:bCs/>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≥95%</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96</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bl>
    <w:p>
      <w:pPr>
        <w:widowControl/>
        <w:jc w:val="left"/>
        <w:rPr>
          <w:rFonts w:ascii="仿宋_GB2312" w:hAnsi="仿宋_GB2312"/>
          <w:kern w:val="0"/>
        </w:rPr>
      </w:pPr>
      <w:r>
        <w:rPr>
          <w:rFonts w:ascii="仿宋_GB2312" w:hAnsi="仿宋_GB2312"/>
          <w:kern w:val="0"/>
        </w:rPr>
        <w:t>填表人：</w:t>
      </w:r>
      <w:r>
        <w:rPr>
          <w:rFonts w:hint="eastAsia" w:ascii="仿宋_GB2312" w:hAnsi="仿宋_GB2312"/>
          <w:kern w:val="0"/>
        </w:rPr>
        <w:t>刘耿玮</w:t>
      </w:r>
      <w:r>
        <w:rPr>
          <w:rFonts w:ascii="仿宋_GB2312" w:hAnsi="仿宋_GB2312"/>
          <w:kern w:val="0"/>
        </w:rPr>
        <w:t xml:space="preserve">      联系电话：    </w:t>
      </w:r>
      <w:r>
        <w:rPr>
          <w:rFonts w:hint="eastAsia" w:ascii="仿宋_GB2312" w:hAnsi="仿宋_GB2312"/>
          <w:kern w:val="0"/>
        </w:rPr>
        <w:t>186</w:t>
      </w:r>
      <w:r>
        <w:rPr>
          <w:rFonts w:hint="eastAsia" w:ascii="仿宋_GB2312" w:hAnsi="仿宋_GB2312"/>
          <w:kern w:val="0"/>
          <w:lang w:val="en-US" w:eastAsia="zh-CN"/>
        </w:rPr>
        <w:t>****</w:t>
      </w:r>
      <w:r>
        <w:rPr>
          <w:rFonts w:hint="eastAsia" w:ascii="仿宋_GB2312" w:hAnsi="仿宋_GB2312"/>
          <w:kern w:val="0"/>
        </w:rPr>
        <w:t>0916</w:t>
      </w:r>
      <w:r>
        <w:rPr>
          <w:rFonts w:ascii="仿宋_GB2312" w:hAnsi="仿宋_GB2312"/>
          <w:kern w:val="0"/>
        </w:rPr>
        <w:t xml:space="preserve">      填报日期：    </w:t>
      </w:r>
      <w:r>
        <w:rPr>
          <w:rFonts w:hint="eastAsia" w:ascii="仿宋_GB2312" w:hAnsi="仿宋_GB2312"/>
          <w:kern w:val="0"/>
        </w:rPr>
        <w:t>202</w:t>
      </w:r>
      <w:r>
        <w:rPr>
          <w:rFonts w:hint="eastAsia" w:ascii="仿宋_GB2312" w:hAnsi="仿宋_GB2312"/>
          <w:kern w:val="0"/>
          <w:lang w:val="en-US" w:eastAsia="zh-CN"/>
        </w:rPr>
        <w:t>2</w:t>
      </w:r>
      <w:r>
        <w:rPr>
          <w:rFonts w:hint="eastAsia" w:ascii="仿宋_GB2312" w:hAnsi="仿宋_GB2312"/>
          <w:kern w:val="0"/>
        </w:rPr>
        <w:t>年6月25日</w:t>
      </w:r>
      <w:r>
        <w:rPr>
          <w:rFonts w:ascii="仿宋_GB2312" w:hAnsi="仿宋_GB2312"/>
          <w:kern w:val="0"/>
        </w:rPr>
        <w:t xml:space="preserve">       单位负责人签字：</w:t>
      </w:r>
    </w:p>
    <w:p>
      <w:pPr>
        <w:widowControl/>
        <w:spacing w:line="300" w:lineRule="exact"/>
        <w:jc w:val="left"/>
        <w:rPr>
          <w:rFonts w:hint="eastAsia" w:ascii="黑体" w:hAnsi="黑体" w:eastAsia="黑体"/>
          <w:sz w:val="32"/>
          <w:szCs w:val="32"/>
        </w:rPr>
      </w:pPr>
    </w:p>
    <w:p>
      <w:pPr>
        <w:spacing w:line="560" w:lineRule="exact"/>
        <w:rPr>
          <w:rFonts w:ascii="宋体" w:hAnsi="宋体"/>
        </w:rPr>
      </w:pPr>
    </w:p>
    <w:sectPr>
      <w:footerReference r:id="rId3" w:type="default"/>
      <w:footerReference r:id="rId4"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GulimChe"/>
    <w:panose1 w:val="02030600000101010101"/>
    <w:charset w:val="81"/>
    <w:family w:val="roman"/>
    <w:pitch w:val="default"/>
    <w:sig w:usb0="00000000" w:usb1="00000000" w:usb2="00000030" w:usb3="00000000" w:csb0="0008009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yMGQxMWRlNGIzN2U3OTIwZTcyOWUxZTM3NjFmOGYifQ=="/>
  </w:docVars>
  <w:rsids>
    <w:rsidRoot w:val="31506427"/>
    <w:rsid w:val="00036404"/>
    <w:rsid w:val="001E173B"/>
    <w:rsid w:val="002156BA"/>
    <w:rsid w:val="00312D83"/>
    <w:rsid w:val="00370E29"/>
    <w:rsid w:val="00404D4C"/>
    <w:rsid w:val="00410A8F"/>
    <w:rsid w:val="00455A1A"/>
    <w:rsid w:val="004E15BF"/>
    <w:rsid w:val="004E3CDB"/>
    <w:rsid w:val="00681283"/>
    <w:rsid w:val="00681BCC"/>
    <w:rsid w:val="006A7D79"/>
    <w:rsid w:val="007B6A66"/>
    <w:rsid w:val="0083732F"/>
    <w:rsid w:val="0084054A"/>
    <w:rsid w:val="008E667B"/>
    <w:rsid w:val="00992A5C"/>
    <w:rsid w:val="009949C0"/>
    <w:rsid w:val="009D06B2"/>
    <w:rsid w:val="00A55BC6"/>
    <w:rsid w:val="00A85DA3"/>
    <w:rsid w:val="00A92608"/>
    <w:rsid w:val="00AA68D2"/>
    <w:rsid w:val="00C04707"/>
    <w:rsid w:val="00C30BDE"/>
    <w:rsid w:val="00C314CE"/>
    <w:rsid w:val="00CB724D"/>
    <w:rsid w:val="00CD37C5"/>
    <w:rsid w:val="00CF7B0D"/>
    <w:rsid w:val="00D461E8"/>
    <w:rsid w:val="00D761D5"/>
    <w:rsid w:val="00DA53C1"/>
    <w:rsid w:val="00E23B1C"/>
    <w:rsid w:val="00E72BB3"/>
    <w:rsid w:val="00F22A30"/>
    <w:rsid w:val="00F84E21"/>
    <w:rsid w:val="00FB1DDA"/>
    <w:rsid w:val="31506427"/>
    <w:rsid w:val="3CE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paragraph" w:customStyle="1" w:styleId="8">
    <w:name w:val="列出段落1"/>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4527</Words>
  <Characters>5082</Characters>
  <Lines>12</Lines>
  <Paragraphs>12</Paragraphs>
  <TotalTime>49</TotalTime>
  <ScaleCrop>false</ScaleCrop>
  <LinksUpToDate>false</LinksUpToDate>
  <CharactersWithSpaces>5412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2022-07-06T08:17:00Z</dcterms:created>
  <dc:creator>CR</dc:creator>
  <cp:lastModifiedBy>Administrator</cp:lastModifiedBy>
  <dcterms:modified xsi:type="dcterms:W3CDTF">2022-09-07T08:31:52Z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23161A1D6D974C9CA62B870016E29B00</vt:lpwstr>
  </property>
</Properties>
</file>