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8"/>
          <w:szCs w:val="48"/>
        </w:rPr>
      </w:pPr>
    </w:p>
    <w:p>
      <w:pPr>
        <w:jc w:val="both"/>
        <w:rPr>
          <w:rFonts w:eastAsia="方正小标宋_GBK"/>
          <w:sz w:val="48"/>
          <w:szCs w:val="48"/>
        </w:rPr>
      </w:pPr>
    </w:p>
    <w:p>
      <w:pPr>
        <w:jc w:val="center"/>
        <w:rPr>
          <w:rFonts w:hint="eastAsia"/>
          <w:sz w:val="48"/>
          <w:szCs w:val="48"/>
          <w:lang w:val="en-US" w:eastAsia="zh-CN"/>
        </w:rPr>
      </w:pPr>
      <w:r>
        <w:rPr>
          <w:rFonts w:hint="eastAsia"/>
          <w:sz w:val="48"/>
          <w:szCs w:val="48"/>
          <w:lang w:val="en-US" w:eastAsia="zh-CN"/>
        </w:rPr>
        <w:t>2021</w:t>
      </w:r>
      <w:r>
        <w:rPr>
          <w:rFonts w:ascii="方正小标宋_GBK" w:hAnsi="方正小标宋_GBK" w:eastAsia="方正小标宋_GBK"/>
          <w:sz w:val="48"/>
          <w:szCs w:val="48"/>
        </w:rPr>
        <w:t>年度</w:t>
      </w:r>
      <w:r>
        <w:rPr>
          <w:rFonts w:hint="eastAsia" w:ascii="方正小标宋_GBK" w:hAnsi="方正小标宋_GBK" w:eastAsia="方正小标宋_GBK"/>
          <w:sz w:val="48"/>
          <w:szCs w:val="48"/>
          <w:lang w:val="en-US" w:eastAsia="zh-CN"/>
        </w:rPr>
        <w:t>双牌县市场监督管理局</w:t>
      </w:r>
    </w:p>
    <w:p>
      <w:pPr>
        <w:jc w:val="center"/>
        <w:rPr>
          <w:rFonts w:eastAsia="方正小标宋_GBK"/>
          <w:sz w:val="48"/>
          <w:szCs w:val="48"/>
        </w:rPr>
      </w:pPr>
      <w:r>
        <w:rPr>
          <w:rFonts w:hint="eastAsia" w:ascii="方正小标宋_GBK" w:hAnsi="方正小标宋_GBK" w:eastAsia="方正小标宋_GBK"/>
          <w:sz w:val="48"/>
          <w:szCs w:val="48"/>
          <w:lang w:eastAsia="zh-CN"/>
        </w:rPr>
        <w:t>部门</w:t>
      </w:r>
      <w:r>
        <w:rPr>
          <w:rFonts w:ascii="方正小标宋_GBK" w:hAnsi="方正小标宋_GBK" w:eastAsia="方正小标宋_GBK"/>
          <w:sz w:val="48"/>
          <w:szCs w:val="48"/>
        </w:rPr>
        <w:t>整体支出绩效自评报告</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720" w:firstLineChars="200"/>
        <w:jc w:val="center"/>
        <w:rPr>
          <w:rFonts w:hint="default" w:eastAsia="黑体"/>
          <w:sz w:val="36"/>
          <w:szCs w:val="36"/>
          <w:lang w:val="en-US" w:eastAsia="zh-CN"/>
        </w:rPr>
      </w:pPr>
      <w:r>
        <w:rPr>
          <w:rFonts w:ascii="黑体" w:hAnsi="黑体" w:eastAsia="黑体"/>
          <w:sz w:val="36"/>
          <w:szCs w:val="36"/>
        </w:rPr>
        <w:t>单位名称（盖章）：</w:t>
      </w:r>
      <w:r>
        <w:rPr>
          <w:rFonts w:hint="eastAsia" w:ascii="黑体" w:hAnsi="黑体" w:eastAsia="黑体"/>
          <w:sz w:val="36"/>
          <w:szCs w:val="36"/>
          <w:lang w:val="en-US" w:eastAsia="zh-CN"/>
        </w:rPr>
        <w:t>双牌县市场监督管理局</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numPr>
          <w:ilvl w:val="0"/>
          <w:numId w:val="1"/>
        </w:numPr>
        <w:spacing w:line="600" w:lineRule="exact"/>
        <w:ind w:firstLine="640" w:firstLineChars="200"/>
        <w:rPr>
          <w:rFonts w:ascii="黑体" w:hAnsi="黑体" w:eastAsia="黑体"/>
          <w:sz w:val="32"/>
          <w:szCs w:val="32"/>
        </w:rPr>
      </w:pPr>
      <w:r>
        <w:rPr>
          <w:rFonts w:ascii="黑体" w:hAnsi="黑体" w:eastAsia="黑体"/>
          <w:sz w:val="32"/>
          <w:szCs w:val="32"/>
        </w:rPr>
        <w:t>基本情况</w:t>
      </w:r>
    </w:p>
    <w:p>
      <w:pPr>
        <w:widowControl/>
        <w:numPr>
          <w:ilvl w:val="0"/>
          <w:numId w:val="2"/>
        </w:numPr>
        <w:spacing w:line="555" w:lineRule="atLeast"/>
        <w:ind w:firstLine="800" w:firstLineChars="250"/>
        <w:jc w:val="left"/>
        <w:rPr>
          <w:rFonts w:ascii="楷体_GB2312" w:hAnsi="楷体_GB2312" w:eastAsia="楷体_GB2312"/>
          <w:sz w:val="32"/>
          <w:szCs w:val="32"/>
        </w:rPr>
      </w:pPr>
      <w:r>
        <w:rPr>
          <w:rFonts w:ascii="楷体_GB2312" w:hAnsi="楷体_GB2312" w:eastAsia="楷体_GB2312"/>
          <w:sz w:val="32"/>
          <w:szCs w:val="32"/>
        </w:rPr>
        <w:t>单位基本情况</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本单位属县人民政府组成部门，为正科级行政单位，在职在编人员85人，其中：行政编制43人、事业编制42人。人员编制人数160人，在编实有车辆5辆，退休人员45人。</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2021年公共预算财政拨款支出1333.94万元,其中：基本支出891.07万元，项目支出442.87万元。</w:t>
      </w:r>
    </w:p>
    <w:p>
      <w:pPr>
        <w:numPr>
          <w:ilvl w:val="0"/>
          <w:numId w:val="2"/>
        </w:numPr>
        <w:spacing w:line="600" w:lineRule="exact"/>
        <w:ind w:left="0" w:leftChars="0" w:firstLine="800" w:firstLineChars="250"/>
        <w:rPr>
          <w:rFonts w:ascii="楷体_GB2312" w:hAnsi="楷体_GB2312" w:eastAsia="楷体_GB2312"/>
          <w:sz w:val="32"/>
          <w:szCs w:val="32"/>
        </w:rPr>
      </w:pPr>
      <w:r>
        <w:rPr>
          <w:rFonts w:ascii="楷体_GB2312" w:hAnsi="楷体_GB2312" w:eastAsia="楷体_GB2312"/>
          <w:sz w:val="32"/>
          <w:szCs w:val="32"/>
        </w:rPr>
        <w:t>单位年度整体支出绩效目标</w:t>
      </w:r>
      <w:r>
        <w:rPr>
          <w:rFonts w:hint="eastAsia" w:ascii="楷体_GB2312" w:hAnsi="楷体_GB2312" w:eastAsia="楷体_GB2312"/>
          <w:sz w:val="32"/>
          <w:szCs w:val="32"/>
          <w:lang w:eastAsia="zh-CN"/>
        </w:rPr>
        <w:t>，</w:t>
      </w:r>
      <w:r>
        <w:rPr>
          <w:rFonts w:hint="eastAsia" w:ascii="楷体_GB2312" w:hAnsi="楷体_GB2312" w:eastAsia="楷体_GB2312"/>
          <w:sz w:val="32"/>
          <w:szCs w:val="32"/>
          <w:lang w:val="en-US" w:eastAsia="zh-CN"/>
        </w:rPr>
        <w:t>项目支出绩效目标</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基本支出是为保障单位正常运转、完成日常工作任务而发生的各项支出，包括用于基本工资、津贴补贴等人员经费和办公费、印刷费、水电费、维修费等日常公用经费。项目支出是为完成各项专项整治而产生的经费。结合单位具体业务详情，支出绩效目标如下：</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目标1：深化商事制度改革，激发市场主体活力。</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目标2：抓好食品、药品安全监管工作。</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目标3：保持高压态势，严厉打击传销制售假冒伪劣产（商）品等违法行为</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目标4：强化特种设备安全监察，确保安全生产“零”事故。</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目标5：做好计量、标准化工作，推动标准体系研究建设，实施商标、品牌战略。</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目标6：强化质量监管，深入开展质量强县工作。</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目标7：改革企业监管方式，做好市场监管工作，维护公平有序的市场环境，加大查处无证无照经营、整治虚假违法广告等专项整治力度。</w:t>
      </w:r>
    </w:p>
    <w:p>
      <w:pPr>
        <w:pStyle w:val="4"/>
        <w:spacing w:line="600" w:lineRule="exact"/>
        <w:ind w:firstLine="64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目标8：加强消费维权机制建设，维护消费者合法权益。</w:t>
      </w:r>
    </w:p>
    <w:p>
      <w:pPr>
        <w:pStyle w:val="4"/>
        <w:spacing w:line="600" w:lineRule="exact"/>
        <w:ind w:firstLine="640"/>
        <w:rPr>
          <w:rFonts w:ascii="楷体_GB2312" w:hAnsi="楷体_GB2312" w:eastAsia="楷体_GB2312"/>
          <w:sz w:val="32"/>
          <w:szCs w:val="32"/>
        </w:rPr>
      </w:pPr>
      <w:r>
        <w:rPr>
          <w:rFonts w:hint="eastAsia" w:ascii="仿宋_GB2312" w:hAnsi="仿宋_GB2312" w:eastAsia="仿宋_GB2312" w:cs="Times New Roman"/>
          <w:color w:val="000000"/>
          <w:kern w:val="2"/>
          <w:sz w:val="32"/>
          <w:szCs w:val="32"/>
          <w:lang w:val="en-US" w:eastAsia="zh-CN" w:bidi="ar-SA"/>
        </w:rPr>
        <w:t>目标9：强化执法力度，营造宽松平等的准入环境、公平竞争的市场环境、安全放心的消费环境。</w:t>
      </w:r>
    </w:p>
    <w:p>
      <w:pPr>
        <w:pStyle w:val="4"/>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4"/>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4"/>
        <w:spacing w:line="600" w:lineRule="exact"/>
        <w:ind w:firstLine="64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2021年度基本支出为891.07万元，占总支出比重为66.80%。一般公共预算财政拨款基本支出中人员经费817.85万元，主要包括：基本工资、津贴补贴、奖金、社会保障缴费、其他工资福利支出、离休费、退休费、抚恤金、奖励金、住房公积金、其他对个人和家庭的补助；一般公共预算财政拨款基本支出中公用经费73.22万元，主要包括：办公费、印刷费、邮电费、差旅费、维修（护）费、会议费、培训费、公务接待费、劳务费、工会经费、福利费、公务用车运行维护费、其他交通费用、其他商品和服务支出、办公设备购置。</w:t>
      </w:r>
    </w:p>
    <w:p>
      <w:pPr>
        <w:pStyle w:val="4"/>
        <w:spacing w:line="600" w:lineRule="exact"/>
        <w:ind w:firstLine="640"/>
        <w:rPr>
          <w:rFonts w:ascii="楷体_GB2312" w:hAnsi="楷体_GB2312" w:eastAsia="楷体_GB2312"/>
          <w:sz w:val="32"/>
          <w:szCs w:val="32"/>
        </w:rPr>
      </w:pPr>
      <w:r>
        <w:rPr>
          <w:rFonts w:ascii="楷体_GB2312" w:hAnsi="楷体_GB2312" w:eastAsia="楷体_GB2312"/>
          <w:sz w:val="32"/>
          <w:szCs w:val="32"/>
        </w:rPr>
        <w:t>（二）项目支出情况</w:t>
      </w:r>
    </w:p>
    <w:p>
      <w:pPr>
        <w:pStyle w:val="4"/>
        <w:spacing w:line="600" w:lineRule="exact"/>
        <w:ind w:firstLine="64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2021年度项目支出为442.87万元，占总支出的比重为33.20%，是指单位为完成特定行政工作任务或事业发展目标而发生的支出，其中：1、行政运行支出0.21万元；2、一般行政管理事务157.21万元；3、其他市场监督管理事务174.61万元；4、食品安全监管事务支出19.21万元。5.药品事务支出1.63万元。6.其他农业农村支出90万元。</w:t>
      </w:r>
    </w:p>
    <w:p>
      <w:pPr>
        <w:pStyle w:val="4"/>
        <w:spacing w:line="600" w:lineRule="exact"/>
        <w:ind w:firstLine="640"/>
        <w:rPr>
          <w:rFonts w:ascii="Times New Roman" w:hAnsi="Times New Roman" w:eastAsia="黑体"/>
          <w:sz w:val="32"/>
          <w:szCs w:val="32"/>
        </w:rPr>
      </w:pPr>
      <w:r>
        <w:rPr>
          <w:rFonts w:ascii="黑体" w:hAnsi="黑体" w:eastAsia="黑体"/>
          <w:sz w:val="32"/>
          <w:szCs w:val="32"/>
        </w:rPr>
        <w:t>三、政府性基金预算支出情况</w:t>
      </w:r>
    </w:p>
    <w:p>
      <w:pPr>
        <w:pStyle w:val="4"/>
        <w:spacing w:line="600" w:lineRule="exact"/>
        <w:ind w:firstLine="640"/>
        <w:rPr>
          <w:rFonts w:ascii="Times New Roman" w:hAnsi="Times New Roman" w:eastAsia="黑体"/>
          <w:sz w:val="32"/>
          <w:szCs w:val="32"/>
        </w:rPr>
      </w:pPr>
      <w:r>
        <w:rPr>
          <w:rFonts w:ascii="黑体" w:hAnsi="黑体" w:eastAsia="黑体"/>
          <w:sz w:val="32"/>
          <w:szCs w:val="32"/>
        </w:rPr>
        <w:t>四、国有资本经营预算支出情况</w:t>
      </w:r>
    </w:p>
    <w:p>
      <w:pPr>
        <w:pStyle w:val="4"/>
        <w:spacing w:line="600" w:lineRule="exact"/>
        <w:ind w:firstLine="640"/>
        <w:rPr>
          <w:rFonts w:ascii="Times New Roman" w:hAnsi="Times New Roman" w:eastAsia="黑体"/>
          <w:sz w:val="32"/>
          <w:szCs w:val="32"/>
        </w:rPr>
      </w:pPr>
      <w:r>
        <w:rPr>
          <w:rFonts w:ascii="黑体" w:hAnsi="黑体" w:eastAsia="黑体"/>
          <w:sz w:val="32"/>
          <w:szCs w:val="32"/>
        </w:rPr>
        <w:t>五、社会保险基金预算支出情况</w:t>
      </w:r>
    </w:p>
    <w:p>
      <w:pPr>
        <w:pStyle w:val="4"/>
        <w:spacing w:line="600" w:lineRule="exact"/>
        <w:ind w:firstLine="640"/>
        <w:rPr>
          <w:rFonts w:hint="default" w:ascii="仿宋_GB2312" w:hAnsi="仿宋_GB2312" w:eastAsia="仿宋_GB2312" w:cs="Times New Roman"/>
          <w:color w:val="000000"/>
          <w:kern w:val="2"/>
          <w:sz w:val="32"/>
          <w:szCs w:val="32"/>
          <w:lang w:val="en-US" w:eastAsia="zh-CN" w:bidi="ar-SA"/>
        </w:rPr>
      </w:pPr>
      <w:r>
        <w:rPr>
          <w:rFonts w:ascii="黑体" w:hAnsi="黑体" w:eastAsia="黑体"/>
          <w:sz w:val="32"/>
          <w:szCs w:val="32"/>
        </w:rPr>
        <w:t>六、部门整体支出绩效情况</w:t>
      </w:r>
    </w:p>
    <w:p>
      <w:pPr>
        <w:spacing w:line="600" w:lineRule="exact"/>
        <w:ind w:firstLine="640" w:firstLineChars="200"/>
        <w:rPr>
          <w:rFonts w:hint="eastAsia" w:ascii="仿宋_GB2312" w:hAnsi="仿宋_GB2312" w:eastAsia="仿宋_GB2312"/>
          <w:color w:val="000000"/>
          <w:sz w:val="32"/>
          <w:szCs w:val="32"/>
        </w:rPr>
      </w:pPr>
      <w:r>
        <w:rPr>
          <w:rFonts w:ascii="楷体_GB2312" w:hAnsi="楷体_GB2312" w:eastAsia="楷体_GB2312"/>
          <w:sz w:val="32"/>
          <w:szCs w:val="32"/>
        </w:rPr>
        <w:t>（一）</w:t>
      </w:r>
      <w:r>
        <w:rPr>
          <w:rFonts w:hint="eastAsia" w:ascii="楷体_GB2312" w:hAnsi="楷体_GB2312" w:eastAsia="楷体_GB2312"/>
          <w:sz w:val="32"/>
          <w:szCs w:val="32"/>
        </w:rPr>
        <w:t>部门职能职责概述</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 xml:space="preserve"> 一是贯彻执行并组织实施工商、质监、食药监等部门的法律法规、规章政策和标准规范。二是制定并组织实施市场和质量监督管理事业发展规划和技术机构建设规划。三是承担全县食品安全委员会日常工作。四是负责全县食品(含食品添加剂、保健食品、酒类食品)和食品相关产品、产（商）品、药品(含中药、民族药)、医疗器械、化妆品、认证认可、计量、标准化、特种设备安全监察等监督管理工作，依法查处其违法行为。五是对各类市场经济秩序、商标、广告、合同和各类企业、农民专业合作社及从事经营活动的单位、个人等市场主体的登记注册、监督管理，依法查处和取缔无证无照经营行为。六是承担产品质量诚信体系建设、实施质量振兴、推进名牌发展战略、产品质量事故的调查、实施地理标志产品保护等工作。七是指导乡镇建立健全食品药品安全监管制度。八是承担县委、县政府和上级部门交办的其他事项。</w:t>
      </w:r>
    </w:p>
    <w:p>
      <w:pPr>
        <w:pStyle w:val="4"/>
        <w:spacing w:line="600" w:lineRule="exact"/>
        <w:ind w:firstLine="640"/>
        <w:rPr>
          <w:rFonts w:hint="default" w:ascii="仿宋_GB2312" w:hAnsi="仿宋_GB2312" w:eastAsia="楷体_GB2312"/>
          <w:color w:val="000000"/>
          <w:sz w:val="32"/>
          <w:szCs w:val="32"/>
          <w:lang w:val="en-US" w:eastAsia="zh-CN"/>
        </w:rPr>
      </w:pPr>
      <w:r>
        <w:rPr>
          <w:rFonts w:ascii="楷体_GB2312" w:hAnsi="楷体_GB2312" w:eastAsia="楷体_GB2312"/>
          <w:sz w:val="32"/>
          <w:szCs w:val="32"/>
        </w:rPr>
        <w:t>（二）</w:t>
      </w:r>
      <w:r>
        <w:rPr>
          <w:rFonts w:hint="eastAsia" w:ascii="楷体_GB2312" w:hAnsi="楷体_GB2312" w:eastAsia="楷体_GB2312"/>
          <w:sz w:val="32"/>
          <w:szCs w:val="32"/>
        </w:rPr>
        <w:t>绩效目标</w:t>
      </w:r>
      <w:r>
        <w:rPr>
          <w:rFonts w:hint="eastAsia" w:ascii="楷体_GB2312" w:hAnsi="楷体_GB2312" w:eastAsia="楷体_GB2312"/>
          <w:sz w:val="32"/>
          <w:szCs w:val="32"/>
          <w:lang w:val="en-US" w:eastAsia="zh-CN"/>
        </w:rPr>
        <w:t>完成情况</w:t>
      </w:r>
    </w:p>
    <w:p>
      <w:pPr>
        <w:widowControl/>
        <w:spacing w:line="600" w:lineRule="exact"/>
        <w:ind w:firstLine="640" w:firstLineChars="200"/>
        <w:jc w:val="left"/>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在县委县政府的正确领导下，全局干部职工凝心聚力、解放思想、开拓思路、攻坚克难，突出“转职能，强服务；强监管，保安全；重执法，维民权；夯基础，见成效”的工作方针，形成了1+1+1大于3的良好局面，全局工作有序开展，取得了较好的成绩，圆满完成县委县政府和上级主管部门交办的工作任务，主要绩效如下：</w:t>
      </w:r>
    </w:p>
    <w:p>
      <w:pPr>
        <w:widowControl/>
        <w:numPr>
          <w:ilvl w:val="0"/>
          <w:numId w:val="3"/>
        </w:numPr>
        <w:spacing w:line="600" w:lineRule="exact"/>
        <w:ind w:firstLine="640" w:firstLineChars="200"/>
        <w:jc w:val="left"/>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积极落实了商事登记制度改革各项措施，随着商事登记制度改革的落实，全县市场主体稳步增长；</w:t>
      </w:r>
    </w:p>
    <w:p>
      <w:pPr>
        <w:widowControl/>
        <w:numPr>
          <w:ilvl w:val="0"/>
          <w:numId w:val="3"/>
        </w:numPr>
        <w:spacing w:line="600" w:lineRule="exact"/>
        <w:ind w:firstLine="640" w:firstLineChars="200"/>
        <w:jc w:val="left"/>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维护市场经济秩序，切实加强对企业监督管理：积极开展个体企业状态的抽查、调查和核实工作，对超市、综合市场、水果店等经营的蔬菜、水果、肉禽、水产品、蛋等进行抽检；</w:t>
      </w:r>
    </w:p>
    <w:p>
      <w:pPr>
        <w:widowControl/>
        <w:numPr>
          <w:ilvl w:val="0"/>
          <w:numId w:val="3"/>
        </w:numPr>
        <w:spacing w:line="600" w:lineRule="exact"/>
        <w:ind w:firstLine="640" w:firstLineChars="200"/>
        <w:jc w:val="left"/>
        <w:rPr>
          <w:rFonts w:ascii="宋体" w:cs="宋体"/>
          <w:color w:val="000000"/>
          <w:kern w:val="0"/>
          <w:sz w:val="28"/>
          <w:szCs w:val="28"/>
        </w:rPr>
      </w:pPr>
      <w:r>
        <w:rPr>
          <w:rFonts w:hint="eastAsia" w:ascii="仿宋_GB2312" w:hAnsi="仿宋_GB2312" w:eastAsia="仿宋_GB2312" w:cs="Times New Roman"/>
          <w:color w:val="000000"/>
          <w:kern w:val="2"/>
          <w:sz w:val="32"/>
          <w:szCs w:val="32"/>
          <w:lang w:val="en-US" w:eastAsia="zh-CN" w:bidi="ar-SA"/>
        </w:rPr>
        <w:t>切实加强特种设备安全监管：我局认真开展了特种设备的监督检验与定期检验工作。协助省特检院永州分院对我县特种设备使用单位的特种设备进行了监督检验与过期检验；</w:t>
      </w:r>
    </w:p>
    <w:p>
      <w:pPr>
        <w:widowControl/>
        <w:numPr>
          <w:ilvl w:val="0"/>
          <w:numId w:val="3"/>
        </w:numPr>
        <w:spacing w:line="600" w:lineRule="exact"/>
        <w:ind w:firstLine="640" w:firstLineChars="200"/>
        <w:jc w:val="left"/>
        <w:rPr>
          <w:rFonts w:ascii="宋体" w:cs="宋体"/>
          <w:color w:val="000000"/>
          <w:kern w:val="0"/>
          <w:sz w:val="28"/>
          <w:szCs w:val="28"/>
        </w:rPr>
      </w:pPr>
      <w:r>
        <w:rPr>
          <w:rFonts w:hint="eastAsia" w:ascii="仿宋_GB2312" w:hAnsi="仿宋_GB2312" w:eastAsia="仿宋_GB2312" w:cs="Times New Roman"/>
          <w:color w:val="000000"/>
          <w:kern w:val="2"/>
          <w:sz w:val="32"/>
          <w:szCs w:val="32"/>
          <w:lang w:val="en-US" w:eastAsia="zh-CN" w:bidi="ar-SA"/>
        </w:rPr>
        <w:t>切实加强计量及认证工作：开展了免检工作、强检工作、计量检测工作和计量认证工作。</w:t>
      </w:r>
    </w:p>
    <w:p>
      <w:pPr>
        <w:widowControl/>
        <w:numPr>
          <w:ilvl w:val="0"/>
          <w:numId w:val="3"/>
        </w:numPr>
        <w:spacing w:line="600" w:lineRule="exact"/>
        <w:ind w:firstLine="640" w:firstLineChars="200"/>
        <w:jc w:val="left"/>
        <w:rPr>
          <w:rFonts w:ascii="宋体" w:cs="宋体"/>
          <w:color w:val="000000"/>
          <w:kern w:val="0"/>
          <w:sz w:val="28"/>
          <w:szCs w:val="28"/>
        </w:rPr>
      </w:pPr>
      <w:r>
        <w:rPr>
          <w:rFonts w:hint="eastAsia" w:ascii="仿宋_GB2312" w:hAnsi="仿宋_GB2312" w:eastAsia="仿宋_GB2312" w:cs="Times New Roman"/>
          <w:color w:val="000000"/>
          <w:kern w:val="2"/>
          <w:sz w:val="32"/>
          <w:szCs w:val="32"/>
          <w:lang w:val="en-US" w:eastAsia="zh-CN" w:bidi="ar-SA"/>
        </w:rPr>
        <w:t>切实加强行政执法工作，开展了执法培训，充分利用局内网等督促指导执法人员学习法律法规、探讨业务工作。</w:t>
      </w:r>
    </w:p>
    <w:p>
      <w:pPr>
        <w:pStyle w:val="4"/>
        <w:numPr>
          <w:ilvl w:val="0"/>
          <w:numId w:val="4"/>
        </w:numPr>
        <w:spacing w:line="600" w:lineRule="exact"/>
        <w:ind w:firstLine="640"/>
        <w:rPr>
          <w:rFonts w:ascii="黑体" w:hAnsi="黑体" w:eastAsia="黑体"/>
          <w:sz w:val="32"/>
          <w:szCs w:val="32"/>
        </w:rPr>
      </w:pPr>
      <w:r>
        <w:rPr>
          <w:rFonts w:ascii="黑体" w:hAnsi="黑体" w:eastAsia="黑体"/>
          <w:sz w:val="32"/>
          <w:szCs w:val="32"/>
        </w:rPr>
        <w:t>存在的问题及原因分析</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宋体" w:hAnsi="宋体"/>
          <w:sz w:val="32"/>
          <w:szCs w:val="32"/>
        </w:rPr>
        <w:t>1、</w:t>
      </w:r>
      <w:r>
        <w:rPr>
          <w:rFonts w:hint="eastAsia" w:ascii="仿宋_GB2312" w:hAnsi="仿宋_GB2312" w:eastAsia="仿宋_GB2312" w:cs="Times New Roman"/>
          <w:color w:val="000000"/>
          <w:kern w:val="2"/>
          <w:sz w:val="32"/>
          <w:szCs w:val="32"/>
          <w:lang w:val="en-US" w:eastAsia="zh-CN" w:bidi="ar-SA"/>
        </w:rPr>
        <w:t>预算执行率有待提高。由于预算项目未及时报账导致年末预算资金未形成支出。</w:t>
      </w:r>
    </w:p>
    <w:p>
      <w:pPr>
        <w:spacing w:line="600" w:lineRule="exact"/>
        <w:ind w:firstLine="640" w:firstLineChars="200"/>
        <w:rPr>
          <w:rFonts w:ascii="宋体" w:hAnsi="宋体"/>
          <w:sz w:val="32"/>
          <w:szCs w:val="32"/>
        </w:rPr>
      </w:pPr>
      <w:r>
        <w:rPr>
          <w:rFonts w:hint="eastAsia" w:ascii="宋体" w:hAnsi="宋体"/>
          <w:sz w:val="32"/>
          <w:szCs w:val="32"/>
        </w:rPr>
        <w:t>2、</w:t>
      </w:r>
      <w:r>
        <w:rPr>
          <w:rFonts w:hint="eastAsia" w:ascii="仿宋_GB2312" w:hAnsi="仿宋_GB2312" w:eastAsia="仿宋_GB2312" w:cs="Times New Roman"/>
          <w:color w:val="000000"/>
          <w:kern w:val="2"/>
          <w:sz w:val="32"/>
          <w:szCs w:val="32"/>
          <w:lang w:val="en-US" w:eastAsia="zh-CN" w:bidi="ar-SA"/>
        </w:rPr>
        <w:t>专项资金少，资金压力大。针对我局经济基础薄弱、资金压力大的现状，重点产业项目尚需进一步的加强。</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宋体" w:hAnsi="宋体"/>
          <w:sz w:val="32"/>
          <w:szCs w:val="32"/>
        </w:rPr>
        <w:t>3、</w:t>
      </w:r>
      <w:r>
        <w:rPr>
          <w:rFonts w:hint="eastAsia" w:ascii="仿宋_GB2312" w:hAnsi="仿宋_GB2312" w:eastAsia="仿宋_GB2312" w:cs="Times New Roman"/>
          <w:color w:val="000000"/>
          <w:kern w:val="2"/>
          <w:sz w:val="32"/>
          <w:szCs w:val="32"/>
          <w:lang w:val="en-US" w:eastAsia="zh-CN" w:bidi="ar-SA"/>
        </w:rPr>
        <w:t>预算编制不够明确和细化，预算编制的合理性需要提高，预算执行力度还要进一步加强。资金使用效益有待进一步提高，绩效目标设立不够明确、细化和量化。</w:t>
      </w:r>
    </w:p>
    <w:p>
      <w:pPr>
        <w:spacing w:line="600" w:lineRule="exact"/>
        <w:ind w:firstLine="640" w:firstLineChars="200"/>
        <w:rPr>
          <w:rFonts w:ascii="黑体" w:hAnsi="黑体" w:eastAsia="黑体"/>
          <w:sz w:val="32"/>
          <w:szCs w:val="32"/>
        </w:rPr>
      </w:pPr>
      <w:r>
        <w:rPr>
          <w:rFonts w:hint="eastAsia" w:ascii="宋体" w:hAnsi="宋体"/>
          <w:sz w:val="32"/>
          <w:szCs w:val="32"/>
        </w:rPr>
        <w:t>4、</w:t>
      </w:r>
      <w:r>
        <w:rPr>
          <w:rFonts w:hint="eastAsia" w:ascii="仿宋_GB2312" w:hAnsi="仿宋_GB2312" w:eastAsia="仿宋_GB2312" w:cs="Times New Roman"/>
          <w:color w:val="000000"/>
          <w:kern w:val="2"/>
          <w:sz w:val="32"/>
          <w:szCs w:val="32"/>
          <w:lang w:val="en-US" w:eastAsia="zh-CN" w:bidi="ar-SA"/>
        </w:rPr>
        <w:t>人员严重缺编与工作任务繁重矛盾日益突出。</w:t>
      </w:r>
    </w:p>
    <w:p>
      <w:pPr>
        <w:spacing w:line="600" w:lineRule="exact"/>
        <w:ind w:firstLine="640" w:firstLineChars="200"/>
        <w:rPr>
          <w:rFonts w:ascii="黑体" w:hAnsi="黑体" w:eastAsia="黑体"/>
          <w:sz w:val="32"/>
          <w:szCs w:val="32"/>
        </w:rPr>
      </w:pPr>
      <w:r>
        <w:rPr>
          <w:rFonts w:ascii="黑体" w:hAnsi="黑体" w:eastAsia="黑体"/>
          <w:sz w:val="32"/>
          <w:szCs w:val="32"/>
        </w:rPr>
        <w:t>八、下一步改进措施</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（一）加强部门预算管理,合理安排财政资金。增强行政成本意识，细化经费预算编制，在保证单位正常工作需要的人员经费和公用经费的前提下，严格控制 “三公”经费支出。各项支出遵照预算执行，确保支出与预算的对应衔接，着力提高预算执行力。</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二）加强“三公”经费管理，严控“三公”经费规模。我单位在既有的制度办法基础上，进一步研究完善公务接待、公务用车配置使用和因公出国(境)等管理制度和审核程序，将“三公”经费严格纳入预算管理，严控 “三公”经费支出。</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三）加强对公用支出中重点费用的管理。规范会议费、培训费、差旅费、办公费等费用开支标准，按照国家规定的标准和范围列支，控制会议培训的数量、规模，简化会议培训的形式；控制差旅活动的人数和天数，不安排无明确目的的公务考察活动，出差完善审批程序；坚持厉行节约的原则，控制和压缩办公经费支出，各项费用严格控制在预算额度内使用。</w:t>
      </w:r>
    </w:p>
    <w:p>
      <w:pPr>
        <w:spacing w:line="600" w:lineRule="exact"/>
        <w:ind w:firstLine="640" w:firstLineChars="200"/>
        <w:rPr>
          <w:rFonts w:eastAsia="黑体"/>
          <w:sz w:val="32"/>
          <w:szCs w:val="32"/>
        </w:rPr>
      </w:pPr>
      <w:r>
        <w:rPr>
          <w:rFonts w:hint="eastAsia" w:ascii="仿宋_GB2312" w:hAnsi="仿宋_GB2312" w:eastAsia="仿宋_GB2312"/>
          <w:color w:val="000000"/>
          <w:sz w:val="32"/>
          <w:szCs w:val="32"/>
        </w:rPr>
        <w:t>（四）规范资金结算管理。各项支出按照批准的预算和有关规定审核办理，各项费用严格按照经费审批程序审批后才能报销，杜绝不合理的开支。资金支付执行国库集中支付结算方式，规范公务支出中的现金提取和使用，保证资金支付的安全、透明、规范，提高财政资金支付效率。</w:t>
      </w:r>
    </w:p>
    <w:p>
      <w:pPr>
        <w:spacing w:line="600" w:lineRule="exact"/>
        <w:ind w:firstLine="640" w:firstLineChars="200"/>
        <w:rPr>
          <w:rFonts w:ascii="黑体" w:hAnsi="黑体" w:eastAsia="黑体"/>
          <w:sz w:val="32"/>
          <w:szCs w:val="32"/>
        </w:rPr>
      </w:pPr>
      <w:r>
        <w:rPr>
          <w:rFonts w:ascii="黑体" w:hAnsi="黑体" w:eastAsia="黑体"/>
          <w:sz w:val="32"/>
          <w:szCs w:val="32"/>
        </w:rPr>
        <w:t>九、绩效自评结果拟应用和公开情况</w:t>
      </w:r>
    </w:p>
    <w:p>
      <w:pPr>
        <w:spacing w:line="600" w:lineRule="exact"/>
        <w:ind w:firstLine="640" w:firstLineChars="200"/>
        <w:rPr>
          <w:rFonts w:ascii="宋体" w:hAnsi="宋体"/>
          <w:sz w:val="32"/>
          <w:szCs w:val="32"/>
        </w:rPr>
      </w:pPr>
      <w:r>
        <w:rPr>
          <w:rFonts w:hint="eastAsia" w:ascii="仿宋_GB2312" w:hAnsi="仿宋_GB2312" w:eastAsia="仿宋_GB2312"/>
          <w:color w:val="000000"/>
          <w:sz w:val="32"/>
          <w:szCs w:val="32"/>
        </w:rPr>
        <w:t>根据部门整体支出绩效评价指标体系，我单位202</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年度评价得分为</w:t>
      </w:r>
      <w:r>
        <w:rPr>
          <w:rFonts w:hint="eastAsia" w:ascii="仿宋_GB2312" w:hAnsi="仿宋_GB2312" w:eastAsia="仿宋_GB2312"/>
          <w:color w:val="000000"/>
          <w:sz w:val="32"/>
          <w:szCs w:val="32"/>
          <w:lang w:val="en-US" w:eastAsia="zh-CN"/>
        </w:rPr>
        <w:t>100</w:t>
      </w:r>
      <w:r>
        <w:rPr>
          <w:rFonts w:hint="eastAsia" w:ascii="仿宋_GB2312" w:hAnsi="仿宋_GB2312" w:eastAsia="仿宋_GB2312"/>
          <w:color w:val="000000"/>
          <w:sz w:val="32"/>
          <w:szCs w:val="32"/>
        </w:rPr>
        <w:t>分。</w:t>
      </w:r>
    </w:p>
    <w:p>
      <w:pPr>
        <w:spacing w:line="600" w:lineRule="exact"/>
        <w:ind w:firstLine="640" w:firstLineChars="200"/>
        <w:rPr>
          <w:rFonts w:eastAsia="黑体"/>
          <w:sz w:val="32"/>
          <w:szCs w:val="32"/>
        </w:rPr>
      </w:pPr>
      <w:r>
        <w:rPr>
          <w:rFonts w:ascii="黑体" w:hAnsi="黑体" w:eastAsia="黑体"/>
          <w:sz w:val="32"/>
          <w:szCs w:val="32"/>
        </w:rPr>
        <w:t>其他需要说明的情况</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 xml:space="preserve"> 无</w:t>
      </w:r>
    </w:p>
    <w:p>
      <w:pPr>
        <w:spacing w:line="600" w:lineRule="exact"/>
        <w:ind w:firstLine="640" w:firstLineChars="200"/>
        <w:rPr>
          <w:rFonts w:ascii="黑体" w:hAnsi="黑体" w:eastAsia="黑体"/>
          <w:sz w:val="32"/>
          <w:szCs w:val="32"/>
        </w:rPr>
      </w:pPr>
    </w:p>
    <w:p>
      <w:pPr>
        <w:widowControl/>
        <w:spacing w:line="580" w:lineRule="exact"/>
        <w:rPr>
          <w:rFonts w:hint="eastAsia" w:ascii="仿宋" w:hAnsi="仿宋" w:eastAsia="仿宋"/>
          <w:sz w:val="32"/>
          <w:szCs w:val="32"/>
          <w:lang w:val="en-US" w:eastAsia="zh-CN"/>
        </w:rPr>
      </w:pPr>
    </w:p>
    <w:p>
      <w:pPr>
        <w:widowControl/>
        <w:spacing w:line="580" w:lineRule="exact"/>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双牌县市场监督管理局</w:t>
      </w:r>
    </w:p>
    <w:p>
      <w:pPr>
        <w:widowControl/>
        <w:spacing w:line="580" w:lineRule="exact"/>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2022年4月13日</w:t>
      </w:r>
    </w:p>
    <w:p>
      <w:pPr>
        <w:widowControl/>
        <w:spacing w:line="580" w:lineRule="exact"/>
        <w:rPr>
          <w:rFonts w:hint="eastAsia" w:ascii="仿宋" w:hAnsi="仿宋" w:eastAsia="仿宋"/>
          <w:sz w:val="32"/>
          <w:szCs w:val="32"/>
        </w:rPr>
      </w:pPr>
    </w:p>
    <w:p>
      <w:pPr>
        <w:widowControl/>
        <w:spacing w:line="580" w:lineRule="exact"/>
        <w:rPr>
          <w:rFonts w:hint="eastAsia" w:ascii="仿宋" w:hAnsi="仿宋" w:eastAsia="仿宋"/>
          <w:sz w:val="32"/>
          <w:szCs w:val="32"/>
        </w:rPr>
      </w:pPr>
    </w:p>
    <w:p>
      <w:pPr>
        <w:widowControl/>
        <w:spacing w:line="580" w:lineRule="exact"/>
        <w:ind w:firstLine="640" w:firstLineChars="200"/>
        <w:rPr>
          <w:rFonts w:hint="eastAsia" w:eastAsia="方正小标宋_GBK"/>
          <w:kern w:val="0"/>
          <w:sz w:val="36"/>
          <w:szCs w:val="36"/>
        </w:rPr>
      </w:pPr>
      <w:r>
        <w:rPr>
          <w:rFonts w:hint="eastAsia" w:ascii="仿宋" w:hAnsi="仿宋" w:eastAsia="仿宋"/>
          <w:sz w:val="32"/>
          <w:szCs w:val="32"/>
        </w:rPr>
        <w:t>附件：1、部门整体支出绩效评价基础数据表</w:t>
      </w:r>
    </w:p>
    <w:p>
      <w:pPr>
        <w:numPr>
          <w:ilvl w:val="0"/>
          <w:numId w:val="5"/>
        </w:numPr>
        <w:spacing w:line="600" w:lineRule="exact"/>
        <w:ind w:firstLine="1600" w:firstLineChars="500"/>
        <w:rPr>
          <w:rFonts w:hint="eastAsia" w:ascii="仿宋" w:hAnsi="仿宋" w:eastAsia="仿宋"/>
          <w:sz w:val="32"/>
          <w:szCs w:val="32"/>
        </w:rPr>
      </w:pPr>
      <w:r>
        <w:rPr>
          <w:rFonts w:hint="eastAsia" w:ascii="仿宋" w:hAnsi="仿宋" w:eastAsia="仿宋"/>
          <w:sz w:val="32"/>
          <w:szCs w:val="32"/>
        </w:rPr>
        <w:t>部门整体支出绩效自评表</w:t>
      </w:r>
    </w:p>
    <w:p>
      <w:pPr>
        <w:numPr>
          <w:ilvl w:val="0"/>
          <w:numId w:val="5"/>
        </w:numPr>
        <w:spacing w:line="600" w:lineRule="exact"/>
        <w:ind w:firstLine="1600" w:firstLineChars="500"/>
        <w:rPr>
          <w:rFonts w:hint="eastAsia" w:ascii="仿宋" w:hAnsi="仿宋" w:eastAsia="仿宋"/>
          <w:sz w:val="32"/>
          <w:szCs w:val="32"/>
        </w:rPr>
      </w:pPr>
      <w:r>
        <w:rPr>
          <w:rFonts w:ascii="仿宋_GB2312" w:hAnsi="仿宋_GB2312" w:eastAsia="仿宋_GB2312"/>
          <w:sz w:val="32"/>
          <w:szCs w:val="32"/>
        </w:rPr>
        <w:t>项目支出绩效自评表</w:t>
      </w:r>
    </w:p>
    <w:p>
      <w:pPr>
        <w:spacing w:line="560" w:lineRule="exact"/>
        <w:jc w:val="center"/>
        <w:rPr>
          <w:rFonts w:ascii="方正小标宋_GBK" w:hAnsi="方正小标宋_GBK" w:eastAsia="方正小标宋_GBK"/>
          <w:kern w:val="0"/>
          <w:sz w:val="36"/>
          <w:szCs w:val="36"/>
        </w:rPr>
      </w:pPr>
    </w:p>
    <w:p>
      <w:pPr>
        <w:spacing w:line="560" w:lineRule="exact"/>
        <w:jc w:val="center"/>
        <w:rPr>
          <w:rFonts w:ascii="方正小标宋_GBK" w:hAnsi="方正小标宋_GBK" w:eastAsia="方正小标宋_GBK"/>
          <w:kern w:val="0"/>
          <w:sz w:val="36"/>
          <w:szCs w:val="36"/>
        </w:rPr>
      </w:pPr>
    </w:p>
    <w:p>
      <w:pPr>
        <w:spacing w:line="560" w:lineRule="exact"/>
        <w:jc w:val="center"/>
        <w:rPr>
          <w:rFonts w:ascii="方正小标宋_GBK" w:hAnsi="方正小标宋_GBK" w:eastAsia="方正小标宋_GBK"/>
          <w:kern w:val="0"/>
          <w:sz w:val="36"/>
          <w:szCs w:val="36"/>
        </w:rPr>
      </w:pPr>
    </w:p>
    <w:p>
      <w:pPr>
        <w:spacing w:line="560" w:lineRule="exact"/>
        <w:jc w:val="both"/>
        <w:rPr>
          <w:rFonts w:hint="eastAsia" w:ascii="方正小标宋_GBK" w:hAnsi="方正小标宋_GBK" w:eastAsia="方正小标宋_GBK"/>
          <w:kern w:val="0"/>
          <w:sz w:val="36"/>
          <w:szCs w:val="36"/>
          <w:lang w:val="en-US" w:eastAsia="zh-CN"/>
        </w:rPr>
      </w:pPr>
      <w:r>
        <w:rPr>
          <w:rFonts w:hint="eastAsia" w:ascii="方正小标宋_GBK" w:hAnsi="方正小标宋_GBK" w:eastAsia="方正小标宋_GBK"/>
          <w:kern w:val="0"/>
          <w:sz w:val="36"/>
          <w:szCs w:val="36"/>
          <w:lang w:eastAsia="zh-CN"/>
        </w:rPr>
        <w:t>附件</w:t>
      </w:r>
      <w:r>
        <w:rPr>
          <w:rFonts w:hint="eastAsia" w:ascii="方正小标宋_GBK" w:hAnsi="方正小标宋_GBK" w:eastAsia="方正小标宋_GBK"/>
          <w:kern w:val="0"/>
          <w:sz w:val="36"/>
          <w:szCs w:val="36"/>
          <w:lang w:val="en-US" w:eastAsia="zh-CN"/>
        </w:rPr>
        <w:t>1</w:t>
      </w:r>
    </w:p>
    <w:p>
      <w:pPr>
        <w:spacing w:line="560" w:lineRule="exact"/>
        <w:jc w:val="center"/>
        <w:rPr>
          <w:rFonts w:hint="eastAsia"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eastAsia="仿宋_GB2312"/>
                <w:kern w:val="0"/>
              </w:rPr>
              <w:t>　</w:t>
            </w:r>
            <w:r>
              <w:rPr>
                <w:rFonts w:hint="eastAsia" w:eastAsia="仿宋_GB2312"/>
                <w:kern w:val="0"/>
                <w:lang w:val="en-US" w:eastAsia="zh-CN"/>
              </w:rPr>
              <w:t>160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85</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rFonts w:hint="eastAsia" w:eastAsia="仿宋_GB2312"/>
                <w:b/>
                <w:bCs/>
                <w:kern w:val="0"/>
                <w:lang w:val="en-US" w:eastAsia="zh-CN"/>
              </w:rPr>
              <w:t>20</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22</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21.7</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21.7</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12</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11.8</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11.8</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340.84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442.87</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442.87</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340.84</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442.87</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442.87</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112.34</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72</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72</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FF0000"/>
                <w:kern w:val="0"/>
                <w:lang w:val="en-US" w:eastAsia="zh-CN"/>
              </w:rPr>
            </w:pPr>
            <w:r>
              <w:rPr>
                <w:rFonts w:hint="eastAsia" w:eastAsia="仿宋_GB2312"/>
                <w:color w:val="FF0000"/>
                <w:kern w:val="0"/>
                <w:lang w:val="en-US" w:eastAsia="zh-CN"/>
              </w:rPr>
              <w:t>10.5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3.4</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3.4</w:t>
            </w:r>
            <w:r>
              <w:rPr>
                <w:rFonts w:eastAsia="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FF0000"/>
                <w:kern w:val="0"/>
                <w:lang w:val="en-US" w:eastAsia="zh-CN"/>
              </w:rPr>
            </w:pPr>
            <w:r>
              <w:rPr>
                <w:rFonts w:hint="eastAsia" w:eastAsia="仿宋_GB2312"/>
                <w:color w:val="FF0000"/>
                <w:kern w:val="0"/>
                <w:lang w:val="en-US" w:eastAsia="zh-CN"/>
              </w:rPr>
              <w:t>14.61</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10.75</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10.75</w:t>
            </w:r>
            <w:r>
              <w:rPr>
                <w:rFonts w:eastAsia="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15.12</w:t>
            </w:r>
            <w:r>
              <w:rPr>
                <w:rFonts w:eastAsia="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1.5</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1.5</w:t>
            </w:r>
            <w:r>
              <w:rPr>
                <w:rFonts w:eastAsia="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lang w:val="en-US" w:eastAsia="zh-CN"/>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112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1111"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96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863"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1.加强领导，确保节约落到实处；2.加强宣传，促进正确观念的树立；3.完善机制，确保节约措施的落实；</w:t>
            </w:r>
            <w:r>
              <w:rPr>
                <w:rFonts w:eastAsia="仿宋_GB2312"/>
                <w:kern w:val="0"/>
              </w:rPr>
              <w:t>　</w:t>
            </w:r>
          </w:p>
        </w:tc>
      </w:tr>
    </w:tbl>
    <w:p>
      <w:pPr>
        <w:spacing w:line="360" w:lineRule="exact"/>
        <w:rPr>
          <w:rFonts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濮蕙</w:t>
      </w:r>
      <w:r>
        <w:rPr>
          <w:rFonts w:ascii="仿宋_GB2312" w:hAnsi="仿宋_GB2312"/>
          <w:kern w:val="0"/>
        </w:rPr>
        <w:t xml:space="preserve">  联系电话：</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2022.4.13</w:t>
      </w:r>
      <w:r>
        <w:rPr>
          <w:rFonts w:ascii="仿宋_GB2312" w:hAnsi="仿宋_GB2312"/>
          <w:kern w:val="0"/>
        </w:rPr>
        <w:t xml:space="preserve">  单位负责人签字：</w:t>
      </w:r>
    </w:p>
    <w:p>
      <w:pPr>
        <w:spacing w:line="360" w:lineRule="exact"/>
        <w:rPr>
          <w:rFonts w:ascii="黑体" w:hAnsi="黑体" w:eastAsia="黑体"/>
          <w:sz w:val="32"/>
          <w:szCs w:val="32"/>
        </w:rPr>
      </w:pPr>
      <w:r>
        <w:rPr>
          <w:rFonts w:eastAsia="仿宋_GB2312"/>
          <w:kern w:val="0"/>
          <w:sz w:val="22"/>
          <w:szCs w:val="22"/>
        </w:rPr>
        <w:br w:type="page"/>
      </w:r>
    </w:p>
    <w:p>
      <w:pPr>
        <w:widowControl/>
        <w:jc w:val="both"/>
        <w:rPr>
          <w:rFonts w:hint="eastAsia" w:ascii="方正小标宋_GBK" w:hAnsi="方正小标宋_GBK" w:eastAsia="方正小标宋_GBK"/>
          <w:color w:val="000000"/>
          <w:kern w:val="0"/>
          <w:sz w:val="36"/>
          <w:szCs w:val="36"/>
          <w:lang w:val="en-US" w:eastAsia="zh-CN"/>
        </w:rPr>
      </w:pPr>
      <w:r>
        <w:rPr>
          <w:rFonts w:hint="eastAsia" w:ascii="方正小标宋_GBK" w:hAnsi="方正小标宋_GBK" w:eastAsia="方正小标宋_GBK"/>
          <w:color w:val="000000"/>
          <w:kern w:val="0"/>
          <w:sz w:val="36"/>
          <w:szCs w:val="36"/>
          <w:lang w:eastAsia="zh-CN"/>
        </w:rPr>
        <w:t>附件</w:t>
      </w:r>
      <w:r>
        <w:rPr>
          <w:rFonts w:hint="eastAsia" w:ascii="方正小标宋_GBK" w:hAnsi="方正小标宋_GBK" w:eastAsia="方正小标宋_GBK"/>
          <w:color w:val="000000"/>
          <w:kern w:val="0"/>
          <w:sz w:val="36"/>
          <w:szCs w:val="36"/>
          <w:lang w:val="en-US" w:eastAsia="zh-CN"/>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2021</w:t>
      </w:r>
      <w:r>
        <w:rPr>
          <w:rFonts w:ascii="仿宋_GB2312" w:hAnsi="仿宋_GB2312" w:eastAsia="仿宋_GB2312"/>
          <w:color w:val="000000"/>
          <w:kern w:val="0"/>
        </w:rPr>
        <w:t>年度）</w:t>
      </w:r>
    </w:p>
    <w:tbl>
      <w:tblPr>
        <w:tblStyle w:val="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双牌县市场监督管理局</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1460.19</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1333.94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1333.94</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eastAsia="仿宋_GB2312"/>
                <w:color w:val="000000"/>
                <w:kern w:val="0"/>
                <w:lang w:val="en-US" w:eastAsia="zh-CN"/>
              </w:rPr>
              <w:t>1333.94</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其中：基本支出：</w:t>
            </w:r>
            <w:r>
              <w:rPr>
                <w:rFonts w:hint="eastAsia" w:eastAsia="仿宋_GB2312"/>
                <w:color w:val="000000"/>
                <w:kern w:val="0"/>
                <w:lang w:val="en-US" w:eastAsia="zh-CN"/>
              </w:rPr>
              <w:t>891.07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ind w:firstLine="630" w:firstLineChars="300"/>
              <w:jc w:val="left"/>
              <w:rPr>
                <w:rFonts w:hint="default" w:eastAsia="仿宋_GB2312"/>
                <w:color w:val="000000"/>
                <w:kern w:val="0"/>
                <w:lang w:val="en-US" w:eastAsia="zh-CN"/>
              </w:rPr>
            </w:pPr>
            <w:r>
              <w:rPr>
                <w:rFonts w:eastAsia="仿宋_GB2312"/>
                <w:color w:val="000000"/>
                <w:kern w:val="0"/>
              </w:rPr>
              <w:t>项目支出：</w:t>
            </w:r>
            <w:r>
              <w:rPr>
                <w:rFonts w:hint="eastAsia" w:eastAsia="仿宋_GB2312"/>
                <w:color w:val="000000"/>
                <w:kern w:val="0"/>
                <w:lang w:val="en-US" w:eastAsia="zh-CN"/>
              </w:rPr>
              <w:t>442.87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eastAsia="仿宋_GB2312"/>
                <w:color w:val="000000"/>
                <w:kern w:val="0"/>
              </w:rPr>
            </w:pPr>
            <w:r>
              <w:rPr>
                <w:rFonts w:eastAsia="仿宋_GB2312"/>
                <w:color w:val="000000"/>
                <w:kern w:val="0"/>
              </w:rPr>
              <w:t>其他资金：</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强化执法力度，营造宽松平等的准入环境、公平竞争的市场环境、安全放心的消费环境</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rPr>
              <w:t>强化执法力度，营造宽松平等的准入环境、公平竞争的市场环境、安全放心的消费环境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ascii="Times New Roman" w:hAnsi="Times New Roman" w:eastAsia="仿宋_GB2312" w:cs="Times New Roman"/>
                <w:color w:val="000000"/>
                <w:kern w:val="0"/>
                <w:lang w:val="en-US" w:eastAsia="zh-CN"/>
              </w:rPr>
              <w:t>药品医疗器械监督检查覆盖率</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continue"/>
            <w:tcBorders>
              <w:left w:val="nil"/>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rPr>
              <w:t>食用农产品不合格产品后处理率</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rPr>
            </w:pPr>
            <w:r>
              <w:rPr>
                <w:rFonts w:hint="eastAsia" w:eastAsia="仿宋_GB2312"/>
                <w:color w:val="000000"/>
                <w:kern w:val="0"/>
              </w:rPr>
              <w:t>开展餐饮单位量化评级工作，量化分级管理率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98%</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98%</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rPr>
              <w:t>重要工业产品质量监督抽查合格率</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95%</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val="en-US" w:eastAsia="zh-CN"/>
              </w:rPr>
              <w:t>及时支出资金</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hint="eastAsia" w:eastAsia="仿宋_GB2312"/>
                <w:color w:val="000000"/>
                <w:kern w:val="0"/>
                <w:lang w:val="en-US" w:eastAsia="zh-CN"/>
              </w:rPr>
              <w:t>支出控制在预算内</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rPr>
              <w:t>促进市场稳步发展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val="en-US" w:eastAsia="zh-CN"/>
              </w:rPr>
              <w:t>维护消费者权益</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val="en-US" w:eastAsia="zh-CN"/>
              </w:rPr>
              <w:t>维护生态和谐</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val="en-US" w:eastAsia="zh-CN"/>
              </w:rPr>
              <w:t>促进可持续发展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hint="eastAsia" w:eastAsia="仿宋_GB2312"/>
                <w:color w:val="000000"/>
                <w:kern w:val="0"/>
                <w:lang w:val="en-US" w:eastAsia="zh-CN"/>
              </w:rPr>
              <w:t>群众满意度</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val="en-US" w:eastAsia="zh-CN"/>
              </w:rPr>
            </w:pPr>
            <w:r>
              <w:rPr>
                <w:rFonts w:hint="eastAsia" w:eastAsia="仿宋_GB2312"/>
                <w:color w:val="000000"/>
                <w:kern w:val="0"/>
                <w:lang w:val="en-US" w:eastAsia="zh-CN"/>
              </w:rPr>
              <w:t>无</w:t>
            </w:r>
          </w:p>
        </w:tc>
      </w:tr>
    </w:tbl>
    <w:p>
      <w:pPr>
        <w:widowControl/>
        <w:spacing w:line="340" w:lineRule="exact"/>
        <w:jc w:val="left"/>
        <w:rPr>
          <w:rFonts w:hint="eastAsia" w:eastAsia="黑体"/>
          <w:sz w:val="32"/>
          <w:szCs w:val="32"/>
        </w:rPr>
      </w:pPr>
      <w:r>
        <w:rPr>
          <w:rFonts w:eastAsia="黑体"/>
          <w:sz w:val="32"/>
          <w:szCs w:val="32"/>
        </w:rPr>
        <w:t xml:space="preserve"> </w:t>
      </w:r>
    </w:p>
    <w:p>
      <w:pPr>
        <w:widowControl/>
        <w:jc w:val="left"/>
        <w:rPr>
          <w:rFonts w:ascii="仿宋_GB2312" w:hAnsi="仿宋_GB2312"/>
          <w:kern w:val="0"/>
        </w:rPr>
      </w:pPr>
      <w:r>
        <w:rPr>
          <w:rFonts w:ascii="仿宋_GB2312" w:hAnsi="仿宋_GB2312"/>
          <w:kern w:val="0"/>
        </w:rPr>
        <w:t>填表人：</w:t>
      </w:r>
      <w:r>
        <w:rPr>
          <w:rFonts w:hint="eastAsia" w:ascii="仿宋_GB2312" w:hAnsi="仿宋_GB2312"/>
          <w:kern w:val="0"/>
          <w:lang w:val="en-US" w:eastAsia="zh-CN"/>
        </w:rPr>
        <w:t>濮蕙</w:t>
      </w:r>
      <w:r>
        <w:rPr>
          <w:rFonts w:ascii="仿宋_GB2312" w:hAnsi="仿宋_GB2312"/>
          <w:kern w:val="0"/>
        </w:rPr>
        <w:t xml:space="preserve">     联系电话：</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2022.4.13</w:t>
      </w:r>
      <w:r>
        <w:rPr>
          <w:rFonts w:ascii="仿宋_GB2312" w:hAnsi="仿宋_GB2312"/>
          <w:kern w:val="0"/>
        </w:rPr>
        <w:t xml:space="preserve">      单位负责人签字：</w:t>
      </w: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widowControl/>
        <w:jc w:val="left"/>
        <w:rPr>
          <w:rFonts w:ascii="仿宋_GB2312" w:hAnsi="仿宋_GB2312"/>
          <w:kern w:val="0"/>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方正小标宋_GBK" w:hAnsi="方正小标宋_GBK" w:eastAsia="方正小标宋_GBK"/>
          <w:color w:val="000000"/>
          <w:kern w:val="0"/>
          <w:sz w:val="36"/>
          <w:szCs w:val="36"/>
          <w:lang w:val="en-US" w:eastAsia="zh-CN"/>
        </w:rPr>
      </w:pPr>
      <w:r>
        <w:rPr>
          <w:rFonts w:hint="eastAsia" w:ascii="方正小标宋_GBK" w:hAnsi="方正小标宋_GBK" w:eastAsia="方正小标宋_GBK"/>
          <w:color w:val="000000"/>
          <w:kern w:val="0"/>
          <w:sz w:val="36"/>
          <w:szCs w:val="36"/>
          <w:lang w:eastAsia="zh-CN"/>
        </w:rPr>
        <w:t>附件</w:t>
      </w:r>
      <w:r>
        <w:rPr>
          <w:rFonts w:hint="eastAsia" w:ascii="方正小标宋_GBK" w:hAnsi="方正小标宋_GBK" w:eastAsia="方正小标宋_GBK"/>
          <w:color w:val="000000"/>
          <w:kern w:val="0"/>
          <w:sz w:val="36"/>
          <w:szCs w:val="36"/>
          <w:lang w:val="en-US" w:eastAsia="zh-CN"/>
        </w:rPr>
        <w:t>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2021</w:t>
      </w:r>
      <w:r>
        <w:rPr>
          <w:rFonts w:ascii="仿宋_GB2312" w:hAnsi="仿宋_GB2312" w:eastAsia="仿宋_GB2312"/>
          <w:color w:val="000000"/>
          <w:kern w:val="0"/>
        </w:rPr>
        <w:t>年度）</w:t>
      </w: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食品安全事务、农产品检测、工业企业产品质量定期检测经费、食品抽检经费</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双牌县市场监督管理局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eastAsia="zh-CN"/>
              </w:rPr>
            </w:pPr>
            <w:r>
              <w:rPr>
                <w:rFonts w:eastAsia="仿宋_GB2312"/>
                <w:color w:val="000000"/>
                <w:kern w:val="0"/>
              </w:rPr>
              <w:t>项目资金</w:t>
            </w:r>
          </w:p>
          <w:p>
            <w:pPr>
              <w:widowControl/>
              <w:spacing w:line="300" w:lineRule="exact"/>
              <w:jc w:val="center"/>
              <w:rPr>
                <w:rFonts w:eastAsia="仿宋_GB2312"/>
                <w:color w:val="000000"/>
                <w:kern w:val="0"/>
              </w:rPr>
            </w:pPr>
            <w:r>
              <w:rPr>
                <w:rFonts w:eastAsia="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444.78</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442.87</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442.87</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 xml:space="preserve">  </w:t>
            </w:r>
            <w:r>
              <w:rPr>
                <w:rFonts w:hint="eastAsia" w:eastAsia="仿宋_GB2312"/>
                <w:color w:val="000000"/>
                <w:kern w:val="0"/>
              </w:rPr>
              <w:t>抓好食品、药品安全监管工作</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rPr>
              <w:t>抓好食品、药品安全监管工作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食品安全监督检查覆盖率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农产品检测合格率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98%</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98%</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重要工业产品质量监督抽查合格率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及时支出</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2021.12</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2021.12</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成本控制在预算内</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rPr>
              <w:t>促进市场稳步发展</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维护消费者权益</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维护生态和谐</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良好</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color="auto" w:sz="4" w:space="0"/>
              <w:left w:val="nil"/>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群众满意度</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9</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96</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val="en-US" w:eastAsia="zh-CN"/>
              </w:rPr>
            </w:pPr>
            <w:r>
              <w:rPr>
                <w:rFonts w:hint="eastAsia" w:eastAsia="仿宋_GB2312"/>
                <w:color w:val="000000"/>
                <w:kern w:val="0"/>
                <w:lang w:val="en-US" w:eastAsia="zh-CN"/>
              </w:rPr>
              <w:t>无</w:t>
            </w:r>
          </w:p>
        </w:tc>
      </w:tr>
    </w:tbl>
    <w:p>
      <w:pPr>
        <w:widowControl/>
        <w:jc w:val="left"/>
        <w:rPr>
          <w:rFonts w:ascii="仿宋_GB2312" w:hAnsi="仿宋_GB2312"/>
          <w:kern w:val="0"/>
        </w:rPr>
      </w:pPr>
    </w:p>
    <w:p>
      <w:pPr>
        <w:widowControl/>
        <w:jc w:val="left"/>
      </w:pPr>
      <w:r>
        <w:rPr>
          <w:rFonts w:ascii="仿宋_GB2312" w:hAnsi="仿宋_GB2312"/>
          <w:kern w:val="0"/>
        </w:rPr>
        <w:t>填表人：</w:t>
      </w:r>
      <w:r>
        <w:rPr>
          <w:rFonts w:hint="eastAsia" w:ascii="仿宋_GB2312" w:hAnsi="仿宋_GB2312"/>
          <w:kern w:val="0"/>
          <w:lang w:val="en-US" w:eastAsia="zh-CN"/>
        </w:rPr>
        <w:t>濮蕙</w:t>
      </w:r>
      <w:r>
        <w:rPr>
          <w:rFonts w:ascii="仿宋_GB2312" w:hAnsi="仿宋_GB2312"/>
          <w:kern w:val="0"/>
        </w:rPr>
        <w:t xml:space="preserve">    联系电话：</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2022.4.13</w:t>
      </w:r>
      <w:r>
        <w:rPr>
          <w:rFonts w:ascii="仿宋_GB2312" w:hAnsi="仿宋_GB2312"/>
          <w:kern w:val="0"/>
        </w:rPr>
        <w:t xml:space="preserve">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DF5C6"/>
    <w:multiLevelType w:val="singleLevel"/>
    <w:tmpl w:val="D37DF5C6"/>
    <w:lvl w:ilvl="0" w:tentative="0">
      <w:start w:val="1"/>
      <w:numFmt w:val="chineseCounting"/>
      <w:suff w:val="nothing"/>
      <w:lvlText w:val="%1、"/>
      <w:lvlJc w:val="left"/>
      <w:rPr>
        <w:rFonts w:hint="eastAsia"/>
      </w:rPr>
    </w:lvl>
  </w:abstractNum>
  <w:abstractNum w:abstractNumId="1">
    <w:nsid w:val="E54CF5B6"/>
    <w:multiLevelType w:val="singleLevel"/>
    <w:tmpl w:val="E54CF5B6"/>
    <w:lvl w:ilvl="0" w:tentative="0">
      <w:start w:val="1"/>
      <w:numFmt w:val="chineseCounting"/>
      <w:suff w:val="nothing"/>
      <w:lvlText w:val="（%1）"/>
      <w:lvlJc w:val="left"/>
      <w:rPr>
        <w:rFonts w:hint="eastAsia"/>
      </w:rPr>
    </w:lvl>
  </w:abstractNum>
  <w:abstractNum w:abstractNumId="2">
    <w:nsid w:val="1638ABEA"/>
    <w:multiLevelType w:val="singleLevel"/>
    <w:tmpl w:val="1638ABEA"/>
    <w:lvl w:ilvl="0" w:tentative="0">
      <w:start w:val="7"/>
      <w:numFmt w:val="chineseCounting"/>
      <w:suff w:val="nothing"/>
      <w:lvlText w:val="%1、"/>
      <w:lvlJc w:val="left"/>
      <w:rPr>
        <w:rFonts w:hint="eastAsia"/>
      </w:rPr>
    </w:lvl>
  </w:abstractNum>
  <w:abstractNum w:abstractNumId="3">
    <w:nsid w:val="4192C1C4"/>
    <w:multiLevelType w:val="singleLevel"/>
    <w:tmpl w:val="4192C1C4"/>
    <w:lvl w:ilvl="0" w:tentative="0">
      <w:start w:val="2"/>
      <w:numFmt w:val="decimal"/>
      <w:suff w:val="nothing"/>
      <w:lvlText w:val="%1、"/>
      <w:lvlJc w:val="left"/>
    </w:lvl>
  </w:abstractNum>
  <w:abstractNum w:abstractNumId="4">
    <w:nsid w:val="7129547D"/>
    <w:multiLevelType w:val="singleLevel"/>
    <w:tmpl w:val="7129547D"/>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000000"/>
    <w:rsid w:val="2F600423"/>
    <w:rsid w:val="7CE0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4103</Words>
  <Characters>4500</Characters>
  <Lines>0</Lines>
  <Paragraphs>0</Paragraphs>
  <TotalTime>1</TotalTime>
  <ScaleCrop>false</ScaleCrop>
  <LinksUpToDate>false</LinksUpToDate>
  <CharactersWithSpaces>4762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2022-04-26T08:09:00Z</dcterms:created>
  <dc:creator>Administrator</dc:creator>
  <cp:lastModifiedBy>Administrator</cp:lastModifiedBy>
  <dcterms:modified xsi:type="dcterms:W3CDTF">2022-09-01T00:33:45Z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747036694_btnclosed</vt:lpwstr>
  </property>
  <property fmtid="{D5CDD505-2E9C-101B-9397-08002B2CF9AE}" pid="4" name="ICV">
    <vt:lpwstr>B5901CD5D0544957A590F51FB164A8DE</vt:lpwstr>
  </property>
</Properties>
</file>