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黑体"/>
          <w:kern w:val="0"/>
          <w:sz w:val="32"/>
          <w:szCs w:val="32"/>
        </w:rPr>
      </w:pPr>
      <w:r>
        <w:rPr>
          <w:rFonts w:eastAsia="黑体"/>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_GBK" w:hAnsi="方正小标宋_GBK" w:eastAsia="方正小标宋_GBK"/>
          <w:sz w:val="48"/>
          <w:szCs w:val="48"/>
        </w:rPr>
      </w:pPr>
      <w:r>
        <w:rPr>
          <w:rFonts w:hint="eastAsia" w:eastAsia="宋体"/>
          <w:sz w:val="48"/>
          <w:szCs w:val="48"/>
          <w:lang w:val="en-US" w:eastAsia="zh-CN"/>
        </w:rPr>
        <w:t>2021</w:t>
      </w:r>
      <w:r>
        <w:rPr>
          <w:rFonts w:ascii="方正小标宋_GBK" w:hAnsi="方正小标宋_GBK" w:eastAsia="方正小标宋_GBK"/>
          <w:sz w:val="48"/>
          <w:szCs w:val="48"/>
        </w:rPr>
        <w:t>年度</w:t>
      </w:r>
      <w:r>
        <w:rPr>
          <w:rFonts w:hint="eastAsia" w:eastAsia="方正小标宋_GBK"/>
          <w:sz w:val="48"/>
          <w:szCs w:val="48"/>
        </w:rPr>
        <w:t>双牌县</w:t>
      </w:r>
      <w:r>
        <w:rPr>
          <w:rFonts w:hint="eastAsia"/>
          <w:sz w:val="48"/>
          <w:szCs w:val="48"/>
          <w:lang w:eastAsia="zh-CN"/>
        </w:rPr>
        <w:t>司法局部门</w:t>
      </w:r>
      <w:r>
        <w:rPr>
          <w:rFonts w:ascii="方正小标宋_GBK" w:hAnsi="方正小标宋_GBK" w:eastAsia="方正小标宋_GBK"/>
          <w:sz w:val="48"/>
          <w:szCs w:val="48"/>
        </w:rPr>
        <w:t>整体</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eastAsia="方正小标宋_GBK"/>
          <w:sz w:val="48"/>
          <w:szCs w:val="48"/>
        </w:rPr>
      </w:pPr>
      <w:r>
        <w:rPr>
          <w:rFonts w:ascii="方正小标宋_GBK" w:hAnsi="方正小标宋_GBK" w:eastAsia="方正小标宋_GBK"/>
          <w:sz w:val="48"/>
          <w:szCs w:val="48"/>
        </w:rPr>
        <w:t>支出绩效自评报告</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eastAsia="黑体"/>
          <w:sz w:val="32"/>
          <w:szCs w:val="32"/>
        </w:rPr>
      </w:pPr>
    </w:p>
    <w:p>
      <w:pPr>
        <w:jc w:val="center"/>
        <w:rPr>
          <w:rFonts w:eastAsia="黑体"/>
          <w:sz w:val="32"/>
          <w:szCs w:val="32"/>
        </w:rPr>
      </w:pP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ind w:firstLine="880" w:firstLineChars="200"/>
        <w:jc w:val="center"/>
        <w:rPr>
          <w:rFonts w:eastAsia="黑体"/>
          <w:sz w:val="44"/>
          <w:szCs w:val="44"/>
        </w:rPr>
      </w:pPr>
      <w:r>
        <w:rPr>
          <w:rFonts w:eastAsia="黑体"/>
          <w:sz w:val="44"/>
          <w:szCs w:val="44"/>
        </w:rPr>
        <w:t xml:space="preserve"> </w:t>
      </w:r>
    </w:p>
    <w:p>
      <w:pPr>
        <w:ind w:firstLine="880" w:firstLineChars="200"/>
        <w:jc w:val="center"/>
        <w:rPr>
          <w:rFonts w:eastAsia="黑体"/>
          <w:sz w:val="44"/>
          <w:szCs w:val="44"/>
        </w:rPr>
      </w:pPr>
      <w:r>
        <w:rPr>
          <w:rFonts w:eastAsia="黑体"/>
          <w:sz w:val="44"/>
          <w:szCs w:val="44"/>
        </w:rPr>
        <w:t xml:space="preserve"> </w:t>
      </w:r>
    </w:p>
    <w:p>
      <w:pPr>
        <w:keepNext w:val="0"/>
        <w:keepLines w:val="0"/>
        <w:pageBreakBefore w:val="0"/>
        <w:kinsoku/>
        <w:wordWrap/>
        <w:overflowPunct/>
        <w:topLinePunct w:val="0"/>
        <w:autoSpaceDE/>
        <w:autoSpaceDN/>
        <w:bidi w:val="0"/>
        <w:adjustRightInd/>
        <w:spacing w:line="560" w:lineRule="exact"/>
        <w:ind w:firstLine="320" w:firstLineChars="100"/>
        <w:jc w:val="center"/>
        <w:rPr>
          <w:rFonts w:hint="eastAsia" w:ascii="仿宋_GB2312" w:hAnsi="仿宋" w:eastAsia="仿宋_GB2312" w:cs="Times New Roman"/>
          <w:sz w:val="32"/>
          <w:szCs w:val="32"/>
        </w:rPr>
      </w:pPr>
    </w:p>
    <w:p>
      <w:pPr>
        <w:keepNext w:val="0"/>
        <w:keepLines w:val="0"/>
        <w:pageBreakBefore w:val="0"/>
        <w:kinsoku/>
        <w:wordWrap/>
        <w:overflowPunct/>
        <w:topLinePunct w:val="0"/>
        <w:autoSpaceDE/>
        <w:autoSpaceDN/>
        <w:bidi w:val="0"/>
        <w:adjustRightInd/>
        <w:spacing w:line="560" w:lineRule="exact"/>
        <w:ind w:firstLine="320" w:firstLineChars="100"/>
        <w:jc w:val="center"/>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单位名称（盖章）：双牌县司法局</w:t>
      </w:r>
    </w:p>
    <w:p>
      <w:pPr>
        <w:jc w:val="center"/>
        <w:rPr>
          <w:rFonts w:eastAsia="黑体"/>
          <w:sz w:val="32"/>
          <w:szCs w:val="32"/>
        </w:rPr>
      </w:pP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rPr>
          <w:rFonts w:eastAsia="黑体"/>
          <w:sz w:val="32"/>
          <w:szCs w:val="32"/>
        </w:rPr>
      </w:pPr>
      <w:r>
        <w:rPr>
          <w:rFonts w:eastAsia="黑体"/>
          <w:sz w:val="32"/>
          <w:szCs w:val="32"/>
        </w:rPr>
        <w:t xml:space="preserve"> </w:t>
      </w:r>
    </w:p>
    <w:p>
      <w:pPr>
        <w:keepNext w:val="0"/>
        <w:keepLines w:val="0"/>
        <w:pageBreakBefore w:val="0"/>
        <w:kinsoku/>
        <w:wordWrap/>
        <w:overflowPunct/>
        <w:topLinePunct w:val="0"/>
        <w:autoSpaceDE/>
        <w:autoSpaceDN/>
        <w:bidi w:val="0"/>
        <w:adjustRightInd/>
        <w:spacing w:line="560" w:lineRule="exact"/>
        <w:ind w:firstLine="640" w:firstLineChars="200"/>
        <w:rPr>
          <w:rFonts w:eastAsia="黑体"/>
          <w:sz w:val="32"/>
          <w:szCs w:val="32"/>
        </w:rPr>
      </w:pPr>
      <w:r>
        <w:rPr>
          <w:rFonts w:ascii="黑体" w:hAnsi="黑体" w:eastAsia="黑体"/>
          <w:sz w:val="32"/>
          <w:szCs w:val="32"/>
        </w:rPr>
        <w:t>一、基本情况</w:t>
      </w:r>
    </w:p>
    <w:p>
      <w:pPr>
        <w:keepNext w:val="0"/>
        <w:keepLines w:val="0"/>
        <w:pageBreakBefore w:val="0"/>
        <w:kinsoku/>
        <w:wordWrap/>
        <w:overflowPunct/>
        <w:topLinePunct w:val="0"/>
        <w:autoSpaceDE/>
        <w:autoSpaceDN/>
        <w:bidi w:val="0"/>
        <w:adjustRightInd/>
        <w:spacing w:line="560" w:lineRule="exact"/>
        <w:ind w:firstLine="320" w:firstLineChars="100"/>
        <w:rPr>
          <w:rFonts w:ascii="楷体_GB2312" w:hAnsi="楷体_GB2312" w:eastAsia="楷体_GB2312"/>
          <w:sz w:val="32"/>
          <w:szCs w:val="32"/>
        </w:rPr>
      </w:pPr>
      <w:r>
        <w:rPr>
          <w:rFonts w:ascii="楷体_GB2312" w:hAnsi="楷体_GB2312" w:eastAsia="楷体_GB2312"/>
          <w:sz w:val="32"/>
          <w:szCs w:val="32"/>
        </w:rPr>
        <w:t>（一）</w:t>
      </w:r>
      <w:r>
        <w:rPr>
          <w:rFonts w:hint="eastAsia" w:ascii="楷体_GB2312" w:hAnsi="楷体_GB2312" w:eastAsia="楷体_GB2312"/>
          <w:sz w:val="32"/>
          <w:szCs w:val="32"/>
          <w:lang w:eastAsia="zh-CN"/>
        </w:rPr>
        <w:t>部门</w:t>
      </w:r>
      <w:r>
        <w:rPr>
          <w:rFonts w:ascii="楷体_GB2312" w:hAnsi="楷体_GB2312" w:eastAsia="楷体_GB2312"/>
          <w:sz w:val="32"/>
          <w:szCs w:val="32"/>
        </w:rPr>
        <w:t>基本情况</w:t>
      </w:r>
    </w:p>
    <w:p>
      <w:pPr>
        <w:keepNext w:val="0"/>
        <w:keepLines w:val="0"/>
        <w:pageBreakBefore w:val="0"/>
        <w:kinsoku/>
        <w:wordWrap/>
        <w:overflowPunct/>
        <w:topLinePunct w:val="0"/>
        <w:autoSpaceDE/>
        <w:autoSpaceDN/>
        <w:bidi w:val="0"/>
        <w:adjustRightInd/>
        <w:spacing w:line="560" w:lineRule="exact"/>
        <w:ind w:firstLine="321" w:firstLineChars="100"/>
        <w:rPr>
          <w:rFonts w:hint="eastAsia" w:ascii="仿宋_GB2312" w:hAnsi="仿宋" w:eastAsia="仿宋_GB2312"/>
          <w:sz w:val="32"/>
          <w:szCs w:val="32"/>
        </w:rPr>
      </w:pPr>
      <w:r>
        <w:rPr>
          <w:rFonts w:hint="eastAsia" w:ascii="仿宋_GB2312" w:hAnsi="仿宋" w:eastAsia="仿宋_GB2312"/>
          <w:b/>
          <w:bCs/>
          <w:sz w:val="32"/>
          <w:szCs w:val="32"/>
        </w:rPr>
        <w:t>1．主要职能</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pacing w:line="560" w:lineRule="exact"/>
        <w:ind w:firstLine="320" w:firstLineChars="100"/>
        <w:rPr>
          <w:rFonts w:hint="eastAsia" w:ascii="仿宋_GB2312" w:hAnsi="仿宋" w:eastAsia="仿宋_GB2312" w:cs="Times New Roman"/>
          <w:sz w:val="32"/>
          <w:szCs w:val="32"/>
        </w:rPr>
      </w:pPr>
      <w:r>
        <w:rPr>
          <w:rFonts w:hint="eastAsia" w:ascii="仿宋_GB2312" w:hAnsi="仿宋" w:eastAsia="仿宋_GB2312" w:cs="Times New Roman"/>
          <w:sz w:val="32"/>
          <w:szCs w:val="32"/>
        </w:rPr>
        <w:t>（1）承担全面依法治县重大问题的政策研究，协调有关方面提出全面依法治县中长期规划建议，负责有关重大决策部署督察工作。</w:t>
      </w:r>
    </w:p>
    <w:p>
      <w:pPr>
        <w:keepNext w:val="0"/>
        <w:keepLines w:val="0"/>
        <w:pageBreakBefore w:val="0"/>
        <w:kinsoku/>
        <w:wordWrap/>
        <w:overflowPunct/>
        <w:topLinePunct w:val="0"/>
        <w:autoSpaceDE/>
        <w:autoSpaceDN/>
        <w:bidi w:val="0"/>
        <w:adjustRightInd/>
        <w:spacing w:line="560" w:lineRule="exact"/>
        <w:ind w:firstLine="320" w:firstLineChars="100"/>
        <w:rPr>
          <w:rFonts w:hint="eastAsia" w:ascii="仿宋_GB2312" w:hAnsi="仿宋" w:eastAsia="仿宋_GB2312" w:cs="Times New Roman"/>
          <w:sz w:val="32"/>
          <w:szCs w:val="32"/>
        </w:rPr>
      </w:pPr>
      <w:r>
        <w:rPr>
          <w:rFonts w:hint="eastAsia" w:ascii="仿宋_GB2312" w:hAnsi="仿宋" w:eastAsia="仿宋_GB2312" w:cs="Times New Roman"/>
          <w:sz w:val="32"/>
          <w:szCs w:val="32"/>
        </w:rPr>
        <w:t>（2）指导全县规范性文件管理有关工作，承担县政府规范性文件送审稿的合法性审查工作，承办县政府及其部门规范性文件的登记工作。</w:t>
      </w:r>
    </w:p>
    <w:p>
      <w:pPr>
        <w:keepNext w:val="0"/>
        <w:keepLines w:val="0"/>
        <w:pageBreakBefore w:val="0"/>
        <w:kinsoku/>
        <w:wordWrap/>
        <w:overflowPunct/>
        <w:topLinePunct w:val="0"/>
        <w:autoSpaceDE/>
        <w:autoSpaceDN/>
        <w:bidi w:val="0"/>
        <w:adjustRightInd/>
        <w:spacing w:line="560" w:lineRule="exact"/>
        <w:ind w:firstLine="320" w:firstLineChars="100"/>
        <w:rPr>
          <w:rFonts w:hint="eastAsia" w:ascii="仿宋_GB2312" w:hAnsi="仿宋" w:eastAsia="仿宋_GB2312" w:cs="Times New Roman"/>
          <w:sz w:val="32"/>
          <w:szCs w:val="32"/>
        </w:rPr>
      </w:pPr>
      <w:r>
        <w:rPr>
          <w:rFonts w:hint="eastAsia" w:ascii="仿宋_GB2312" w:hAnsi="仿宋" w:eastAsia="仿宋_GB2312" w:cs="Times New Roman"/>
          <w:sz w:val="32"/>
          <w:szCs w:val="32"/>
        </w:rPr>
        <w:t>（3）承担统筹推进法治政府建设的责任。</w:t>
      </w:r>
    </w:p>
    <w:p>
      <w:pPr>
        <w:keepNext w:val="0"/>
        <w:keepLines w:val="0"/>
        <w:pageBreakBefore w:val="0"/>
        <w:kinsoku/>
        <w:wordWrap/>
        <w:overflowPunct/>
        <w:topLinePunct w:val="0"/>
        <w:autoSpaceDE/>
        <w:autoSpaceDN/>
        <w:bidi w:val="0"/>
        <w:adjustRightInd/>
        <w:spacing w:line="560" w:lineRule="exact"/>
        <w:ind w:firstLine="320" w:firstLineChars="100"/>
        <w:rPr>
          <w:rFonts w:hint="eastAsia" w:ascii="仿宋_GB2312" w:hAnsi="仿宋" w:eastAsia="仿宋_GB2312" w:cs="Times New Roman"/>
          <w:sz w:val="32"/>
          <w:szCs w:val="32"/>
        </w:rPr>
      </w:pPr>
      <w:r>
        <w:rPr>
          <w:rFonts w:hint="eastAsia" w:ascii="仿宋_GB2312" w:hAnsi="仿宋" w:eastAsia="仿宋_GB2312" w:cs="Times New Roman"/>
          <w:sz w:val="32"/>
          <w:szCs w:val="32"/>
        </w:rPr>
        <w:t>（4）承担统筹规划全县法治社会建设的责任。</w:t>
      </w:r>
    </w:p>
    <w:p>
      <w:pPr>
        <w:keepNext w:val="0"/>
        <w:keepLines w:val="0"/>
        <w:pageBreakBefore w:val="0"/>
        <w:kinsoku/>
        <w:wordWrap/>
        <w:overflowPunct/>
        <w:topLinePunct w:val="0"/>
        <w:autoSpaceDE/>
        <w:autoSpaceDN/>
        <w:bidi w:val="0"/>
        <w:adjustRightInd/>
        <w:spacing w:line="560" w:lineRule="exact"/>
        <w:ind w:firstLine="320" w:firstLineChars="100"/>
        <w:rPr>
          <w:rFonts w:hint="eastAsia" w:ascii="仿宋_GB2312" w:hAnsi="仿宋" w:eastAsia="仿宋_GB2312" w:cs="Times New Roman"/>
          <w:sz w:val="32"/>
          <w:szCs w:val="32"/>
        </w:rPr>
      </w:pPr>
      <w:r>
        <w:rPr>
          <w:rFonts w:hint="eastAsia" w:ascii="仿宋_GB2312" w:hAnsi="仿宋" w:eastAsia="仿宋_GB2312" w:cs="Times New Roman"/>
          <w:sz w:val="32"/>
          <w:szCs w:val="32"/>
        </w:rPr>
        <w:t>（5）指导、管理社区矫正工作。指导刑满释放人员帮教安置工作。</w:t>
      </w:r>
    </w:p>
    <w:p>
      <w:pPr>
        <w:keepNext w:val="0"/>
        <w:keepLines w:val="0"/>
        <w:pageBreakBefore w:val="0"/>
        <w:kinsoku/>
        <w:wordWrap/>
        <w:overflowPunct/>
        <w:topLinePunct w:val="0"/>
        <w:autoSpaceDE/>
        <w:autoSpaceDN/>
        <w:bidi w:val="0"/>
        <w:adjustRightInd/>
        <w:spacing w:line="560" w:lineRule="exact"/>
        <w:ind w:firstLine="320" w:firstLineChars="100"/>
        <w:rPr>
          <w:rFonts w:hint="eastAsia" w:ascii="仿宋_GB2312" w:hAnsi="仿宋" w:eastAsia="仿宋_GB2312" w:cs="Times New Roman"/>
          <w:sz w:val="32"/>
          <w:szCs w:val="32"/>
        </w:rPr>
      </w:pPr>
      <w:r>
        <w:rPr>
          <w:rFonts w:hint="eastAsia" w:ascii="仿宋_GB2312" w:hAnsi="仿宋" w:eastAsia="仿宋_GB2312" w:cs="Times New Roman"/>
          <w:sz w:val="32"/>
          <w:szCs w:val="32"/>
        </w:rPr>
        <w:t>（6）负责拟订公共法律服务体系建设规划并指导实施，统筹和布局城乡、区域法律服务资源。指导、监督律师、法律援助、司法鉴定、公证和基层法律服务管理工作。</w:t>
      </w:r>
    </w:p>
    <w:p>
      <w:pPr>
        <w:keepNext w:val="0"/>
        <w:keepLines w:val="0"/>
        <w:pageBreakBefore w:val="0"/>
        <w:kinsoku/>
        <w:wordWrap/>
        <w:overflowPunct/>
        <w:topLinePunct w:val="0"/>
        <w:autoSpaceDE/>
        <w:autoSpaceDN/>
        <w:bidi w:val="0"/>
        <w:adjustRightInd/>
        <w:spacing w:line="560" w:lineRule="exact"/>
        <w:ind w:firstLine="320" w:firstLineChars="100"/>
        <w:rPr>
          <w:rFonts w:hint="eastAsia" w:ascii="仿宋_GB2312" w:hAnsi="仿宋" w:eastAsia="仿宋_GB2312" w:cs="Times New Roman"/>
          <w:sz w:val="32"/>
          <w:szCs w:val="32"/>
        </w:rPr>
      </w:pPr>
      <w:r>
        <w:rPr>
          <w:rFonts w:hint="eastAsia" w:ascii="仿宋_GB2312" w:hAnsi="仿宋" w:eastAsia="仿宋_GB2312" w:cs="Times New Roman"/>
          <w:sz w:val="32"/>
          <w:szCs w:val="32"/>
        </w:rPr>
        <w:t>（7）负责全县法治对外合作工作。组织开展法治对外合作交流。</w:t>
      </w:r>
    </w:p>
    <w:p>
      <w:pPr>
        <w:keepNext w:val="0"/>
        <w:keepLines w:val="0"/>
        <w:pageBreakBefore w:val="0"/>
        <w:kinsoku/>
        <w:wordWrap/>
        <w:overflowPunct/>
        <w:topLinePunct w:val="0"/>
        <w:autoSpaceDE/>
        <w:autoSpaceDN/>
        <w:bidi w:val="0"/>
        <w:adjustRightInd/>
        <w:spacing w:line="560" w:lineRule="exact"/>
        <w:ind w:firstLine="320" w:firstLineChars="100"/>
        <w:rPr>
          <w:rFonts w:hint="eastAsia" w:ascii="仿宋_GB2312" w:hAnsi="仿宋" w:eastAsia="仿宋_GB2312" w:cs="Times New Roman"/>
          <w:sz w:val="32"/>
          <w:szCs w:val="32"/>
        </w:rPr>
      </w:pPr>
      <w:r>
        <w:rPr>
          <w:rFonts w:hint="eastAsia" w:ascii="仿宋_GB2312" w:hAnsi="仿宋" w:eastAsia="仿宋_GB2312" w:cs="Times New Roman"/>
          <w:sz w:val="32"/>
          <w:szCs w:val="32"/>
        </w:rPr>
        <w:t>（8）负责本系统服装、警车和信息化管理工作，做好本系统财务、装备、设施、场所等保障工作。</w:t>
      </w:r>
    </w:p>
    <w:p>
      <w:pPr>
        <w:keepNext w:val="0"/>
        <w:keepLines w:val="0"/>
        <w:pageBreakBefore w:val="0"/>
        <w:kinsoku/>
        <w:wordWrap/>
        <w:overflowPunct/>
        <w:topLinePunct w:val="0"/>
        <w:autoSpaceDE/>
        <w:autoSpaceDN/>
        <w:bidi w:val="0"/>
        <w:adjustRightInd/>
        <w:spacing w:line="560" w:lineRule="exact"/>
        <w:ind w:firstLine="320" w:firstLineChars="100"/>
        <w:rPr>
          <w:rFonts w:hint="eastAsia" w:ascii="仿宋_GB2312" w:hAnsi="仿宋" w:eastAsia="仿宋_GB2312" w:cs="Times New Roman"/>
          <w:sz w:val="32"/>
          <w:szCs w:val="32"/>
        </w:rPr>
      </w:pPr>
      <w:r>
        <w:rPr>
          <w:rFonts w:hint="eastAsia" w:ascii="仿宋_GB2312" w:hAnsi="仿宋" w:eastAsia="仿宋_GB2312" w:cs="Times New Roman"/>
          <w:sz w:val="32"/>
          <w:szCs w:val="32"/>
        </w:rPr>
        <w:t>（9）规划、协调、指导法治人才队伍建设相关工作。抓好本系统队伍建设。负责本系统警务管理和警务督察工作。</w:t>
      </w:r>
    </w:p>
    <w:p>
      <w:pPr>
        <w:keepNext w:val="0"/>
        <w:keepLines w:val="0"/>
        <w:pageBreakBefore w:val="0"/>
        <w:kinsoku/>
        <w:wordWrap/>
        <w:overflowPunct/>
        <w:topLinePunct w:val="0"/>
        <w:autoSpaceDE/>
        <w:autoSpaceDN/>
        <w:bidi w:val="0"/>
        <w:adjustRightInd/>
        <w:spacing w:line="560" w:lineRule="exact"/>
        <w:ind w:firstLine="320" w:firstLineChars="100"/>
        <w:rPr>
          <w:rFonts w:hint="eastAsia" w:ascii="仿宋_GB2312" w:hAnsi="仿宋" w:eastAsia="仿宋_GB2312"/>
          <w:sz w:val="32"/>
          <w:szCs w:val="32"/>
          <w:lang w:eastAsia="zh-CN"/>
        </w:rPr>
      </w:pPr>
      <w:r>
        <w:rPr>
          <w:rFonts w:hint="eastAsia" w:ascii="仿宋_GB2312" w:hAnsi="仿宋" w:eastAsia="仿宋_GB2312" w:cs="Times New Roman"/>
          <w:sz w:val="32"/>
          <w:szCs w:val="32"/>
        </w:rPr>
        <w:t>（10）完成县委、县政府交办的其他任务</w:t>
      </w:r>
      <w:r>
        <w:rPr>
          <w:rFonts w:hint="eastAsia" w:ascii="仿宋_GB2312" w:hAnsi="仿宋" w:eastAsia="仿宋_GB2312" w:cs="Times New Roman"/>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lang w:val="en-US" w:eastAsia="zh-CN"/>
        </w:rPr>
        <w:t>2.</w:t>
      </w:r>
      <w:r>
        <w:rPr>
          <w:rFonts w:hint="eastAsia" w:ascii="仿宋_GB2312" w:hAnsi="仿宋" w:eastAsia="仿宋_GB2312"/>
          <w:b/>
          <w:bCs/>
          <w:sz w:val="32"/>
          <w:szCs w:val="32"/>
        </w:rPr>
        <w:t>机构情况，包括当年变动情况及原因。</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rPr>
        <w:t>根据编委核定，我局内设股室12个，全部纳入202</w:t>
      </w:r>
      <w:r>
        <w:rPr>
          <w:rFonts w:hint="eastAsia" w:ascii="仿宋_GB2312" w:hAnsi="仿宋" w:eastAsia="仿宋_GB2312" w:cs="Times New Roman"/>
          <w:sz w:val="32"/>
          <w:szCs w:val="32"/>
          <w:lang w:val="en-US" w:eastAsia="zh-CN"/>
        </w:rPr>
        <w:t>1</w:t>
      </w:r>
      <w:r>
        <w:rPr>
          <w:rFonts w:hint="eastAsia" w:ascii="仿宋_GB2312" w:hAnsi="仿宋" w:eastAsia="仿宋_GB2312" w:cs="Times New Roman"/>
          <w:sz w:val="32"/>
          <w:szCs w:val="32"/>
        </w:rPr>
        <w:t>年部门预算编制范围。 </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val="en-US" w:eastAsia="zh-CN"/>
        </w:rPr>
        <w:t xml:space="preserve">    </w:t>
      </w:r>
      <w:r>
        <w:rPr>
          <w:rFonts w:hint="eastAsia" w:ascii="仿宋_GB2312" w:hAnsi="仿宋" w:eastAsia="仿宋_GB2312" w:cs="Times New Roman"/>
          <w:sz w:val="32"/>
          <w:szCs w:val="32"/>
        </w:rPr>
        <w:t>内设股室分别是办公室（加挂信息中心）、法治调研与督察股、公共法律服务管理股、社区矫正管理股（县社区矫正管理局）、行政复议与应诉股（县政府行政复议办公室）、行政执法协调监督股、规范性文件管理股、法律事务服务股、普法与依法治理股、人民参与和促进法治股（人民陪审员和人民监督员选任管理办公室）、装备财务保障股、政工室</w:t>
      </w:r>
      <w:r>
        <w:rPr>
          <w:rFonts w:hint="eastAsia" w:ascii="仿宋_GB2312" w:hAnsi="仿宋" w:eastAsia="仿宋_GB2312" w:cs="Times New Roman"/>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lang w:val="en-US" w:eastAsia="zh-CN"/>
        </w:rPr>
        <w:t>3.</w:t>
      </w:r>
      <w:r>
        <w:rPr>
          <w:rFonts w:hint="eastAsia" w:ascii="仿宋_GB2312" w:hAnsi="仿宋" w:eastAsia="仿宋_GB2312"/>
          <w:b/>
          <w:bCs/>
          <w:sz w:val="32"/>
          <w:szCs w:val="32"/>
        </w:rPr>
        <w:t>人员情况，包括当年变动情况及原因</w:t>
      </w:r>
      <w:r>
        <w:rPr>
          <w:rFonts w:hint="eastAsia" w:ascii="仿宋_GB2312" w:hAnsi="仿宋" w:eastAsia="仿宋_GB2312"/>
          <w:sz w:val="32"/>
          <w:szCs w:val="32"/>
        </w:rPr>
        <w:t>。</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年本单位年未实有人数</w:t>
      </w:r>
      <w:r>
        <w:rPr>
          <w:rFonts w:hint="eastAsia" w:ascii="仿宋_GB2312" w:hAnsi="仿宋" w:eastAsia="仿宋_GB2312"/>
          <w:sz w:val="32"/>
          <w:szCs w:val="32"/>
          <w:lang w:val="en-US" w:eastAsia="zh-CN"/>
        </w:rPr>
        <w:t>62</w:t>
      </w:r>
      <w:r>
        <w:rPr>
          <w:rFonts w:hint="eastAsia" w:ascii="仿宋_GB2312" w:hAnsi="仿宋" w:eastAsia="仿宋_GB2312"/>
          <w:sz w:val="32"/>
          <w:szCs w:val="32"/>
        </w:rPr>
        <w:t>人</w:t>
      </w:r>
      <w:r>
        <w:rPr>
          <w:rFonts w:hint="eastAsia" w:ascii="仿宋_GB2312" w:hAnsi="仿宋" w:eastAsia="仿宋_GB2312"/>
          <w:sz w:val="32"/>
          <w:szCs w:val="32"/>
          <w:lang w:eastAsia="zh-CN"/>
        </w:rPr>
        <w:t>，新进</w:t>
      </w:r>
      <w:r>
        <w:rPr>
          <w:rFonts w:hint="eastAsia" w:ascii="仿宋_GB2312" w:hAnsi="仿宋" w:eastAsia="仿宋_GB2312"/>
          <w:sz w:val="32"/>
          <w:szCs w:val="32"/>
          <w:lang w:val="en-US" w:eastAsia="zh-CN"/>
        </w:rPr>
        <w:t>5人，退休1人，调出2人，辞职2人</w:t>
      </w:r>
      <w:r>
        <w:rPr>
          <w:rFonts w:hint="eastAsia" w:ascii="仿宋_GB2312" w:hAnsi="仿宋"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rPr>
          <w:rFonts w:ascii="楷体_GB2312" w:hAnsi="楷体_GB2312" w:eastAsia="楷体_GB2312"/>
          <w:sz w:val="32"/>
          <w:szCs w:val="32"/>
        </w:rPr>
      </w:pPr>
      <w:r>
        <w:rPr>
          <w:rFonts w:ascii="楷体_GB2312" w:hAnsi="楷体_GB2312" w:eastAsia="楷体_GB2312"/>
          <w:sz w:val="32"/>
          <w:szCs w:val="32"/>
        </w:rPr>
        <w:t>（</w:t>
      </w:r>
      <w:r>
        <w:rPr>
          <w:rFonts w:hint="eastAsia" w:ascii="楷体_GB2312" w:hAnsi="楷体_GB2312" w:eastAsia="楷体_GB2312"/>
          <w:sz w:val="32"/>
          <w:szCs w:val="32"/>
          <w:lang w:eastAsia="zh-CN"/>
        </w:rPr>
        <w:t>二</w:t>
      </w:r>
      <w:r>
        <w:rPr>
          <w:rFonts w:ascii="楷体_GB2312" w:hAnsi="楷体_GB2312" w:eastAsia="楷体_GB2312"/>
          <w:sz w:val="32"/>
          <w:szCs w:val="32"/>
        </w:rPr>
        <w:t>）</w:t>
      </w:r>
      <w:r>
        <w:rPr>
          <w:rFonts w:hint="eastAsia" w:ascii="楷体_GB2312" w:hAnsi="楷体_GB2312" w:eastAsia="楷体_GB2312"/>
          <w:sz w:val="32"/>
          <w:szCs w:val="32"/>
          <w:lang w:eastAsia="zh-CN"/>
        </w:rPr>
        <w:t>部门</w:t>
      </w:r>
      <w:r>
        <w:rPr>
          <w:rFonts w:ascii="楷体_GB2312" w:hAnsi="楷体_GB2312" w:eastAsia="楷体_GB2312"/>
          <w:sz w:val="32"/>
          <w:szCs w:val="32"/>
        </w:rPr>
        <w:t>年度整体支出绩效目标，项目支出绩效目标</w:t>
      </w:r>
    </w:p>
    <w:p>
      <w:pPr>
        <w:pStyle w:val="2"/>
        <w:keepNext w:val="0"/>
        <w:keepLines w:val="0"/>
        <w:pageBreakBefore w:val="0"/>
        <w:numPr>
          <w:ilvl w:val="0"/>
          <w:numId w:val="0"/>
        </w:numPr>
        <w:kinsoku/>
        <w:wordWrap/>
        <w:overflowPunct/>
        <w:topLinePunct w:val="0"/>
        <w:autoSpaceDE/>
        <w:autoSpaceDN/>
        <w:bidi w:val="0"/>
        <w:adjustRightInd/>
        <w:spacing w:line="56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2021年部门整体支出绩效目标的金额为1032.21万元，其中，项目支出绩效目标金额317.23万元。</w:t>
      </w:r>
    </w:p>
    <w:p>
      <w:pPr>
        <w:pStyle w:val="9"/>
        <w:keepNext w:val="0"/>
        <w:keepLines w:val="0"/>
        <w:pageBreakBefore w:val="0"/>
        <w:numPr>
          <w:ilvl w:val="0"/>
          <w:numId w:val="1"/>
        </w:numPr>
        <w:kinsoku/>
        <w:wordWrap/>
        <w:overflowPunct/>
        <w:topLinePunct w:val="0"/>
        <w:autoSpaceDE/>
        <w:autoSpaceDN/>
        <w:bidi w:val="0"/>
        <w:adjustRightInd/>
        <w:spacing w:line="560" w:lineRule="exact"/>
        <w:ind w:firstLine="640"/>
        <w:rPr>
          <w:rFonts w:ascii="黑体" w:hAnsi="黑体" w:eastAsia="黑体"/>
          <w:sz w:val="32"/>
          <w:szCs w:val="32"/>
        </w:rPr>
      </w:pPr>
      <w:r>
        <w:rPr>
          <w:rFonts w:ascii="黑体" w:hAnsi="黑体" w:eastAsia="黑体"/>
          <w:sz w:val="32"/>
          <w:szCs w:val="32"/>
        </w:rPr>
        <w:t>一般公共预算支出情况</w:t>
      </w:r>
    </w:p>
    <w:p>
      <w:pPr>
        <w:pStyle w:val="9"/>
        <w:keepNext w:val="0"/>
        <w:keepLines w:val="0"/>
        <w:pageBreakBefore w:val="0"/>
        <w:numPr>
          <w:ilvl w:val="0"/>
          <w:numId w:val="0"/>
        </w:numPr>
        <w:kinsoku/>
        <w:wordWrap/>
        <w:overflowPunct/>
        <w:topLinePunct w:val="0"/>
        <w:autoSpaceDE/>
        <w:autoSpaceDN/>
        <w:bidi w:val="0"/>
        <w:adjustRightInd/>
        <w:spacing w:line="56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2021年度我单位全年收入总计1032.21万元，其中：本年收入998.95万元，年初结转和结余33.26万元。全年完成实际支出1032.21万元，其中，基本支出714.98万元，项目支出317.23万元。</w:t>
      </w:r>
    </w:p>
    <w:p>
      <w:pPr>
        <w:pStyle w:val="9"/>
        <w:keepNext w:val="0"/>
        <w:keepLines w:val="0"/>
        <w:pageBreakBefore w:val="0"/>
        <w:kinsoku/>
        <w:wordWrap/>
        <w:overflowPunct/>
        <w:topLinePunct w:val="0"/>
        <w:autoSpaceDE/>
        <w:autoSpaceDN/>
        <w:bidi w:val="0"/>
        <w:adjustRightInd/>
        <w:spacing w:line="560" w:lineRule="exact"/>
        <w:ind w:firstLine="640"/>
        <w:rPr>
          <w:rFonts w:ascii="楷体_GB2312" w:hAnsi="楷体_GB2312" w:eastAsia="楷体_GB2312"/>
          <w:sz w:val="32"/>
          <w:szCs w:val="32"/>
        </w:rPr>
      </w:pPr>
      <w:r>
        <w:rPr>
          <w:rFonts w:ascii="楷体_GB2312" w:hAnsi="楷体_GB2312" w:eastAsia="楷体_GB2312"/>
          <w:sz w:val="32"/>
          <w:szCs w:val="32"/>
        </w:rPr>
        <w:t>（一）基本支出情况</w:t>
      </w:r>
    </w:p>
    <w:p>
      <w:pPr>
        <w:pStyle w:val="9"/>
        <w:keepNext w:val="0"/>
        <w:keepLines w:val="0"/>
        <w:pageBreakBefore w:val="0"/>
        <w:numPr>
          <w:ilvl w:val="0"/>
          <w:numId w:val="0"/>
        </w:numPr>
        <w:kinsoku/>
        <w:wordWrap/>
        <w:overflowPunct/>
        <w:topLinePunct w:val="0"/>
        <w:autoSpaceDE/>
        <w:autoSpaceDN/>
        <w:bidi w:val="0"/>
        <w:adjustRightInd/>
        <w:spacing w:line="56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基本支出714.98万元，占总支出的比重为69.27%。一般公共预算财政拨款基本支出中人员经费653.60万元，主要包括：基本工资、津贴补贴、奖金、社会保障缴费、其他工资福利支出、离休费、退休费、抚恤金、奖励金、住房公积金、其他对个人和家庭的补助支出；一般公共预算财政拨款基本支出中公用经费61.38万元，主要包括：办公费、印刷费、邮电费、差旅费、维修（护）费、会议费、培训费、公务接待费、劳务费、工会经费、福利费、公务用车运行维护费、其他交通费用、其他商品和服务支出。</w:t>
      </w:r>
    </w:p>
    <w:p>
      <w:pPr>
        <w:pStyle w:val="9"/>
        <w:keepNext w:val="0"/>
        <w:keepLines w:val="0"/>
        <w:pageBreakBefore w:val="0"/>
        <w:numPr>
          <w:ilvl w:val="0"/>
          <w:numId w:val="0"/>
        </w:numPr>
        <w:kinsoku/>
        <w:wordWrap/>
        <w:overflowPunct/>
        <w:topLinePunct w:val="0"/>
        <w:autoSpaceDE/>
        <w:autoSpaceDN/>
        <w:bidi w:val="0"/>
        <w:adjustRightInd/>
        <w:spacing w:line="56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2021年部门“三公”经费决算2.68万元，其中：公务接待费0.98万元，因公出国（境）费0万元，公务用车购置及运行费1.7万元(其中，公务用车购置费0万元，公务用车运行费1.7万元)。</w:t>
      </w:r>
    </w:p>
    <w:p>
      <w:pPr>
        <w:pStyle w:val="9"/>
        <w:keepNext w:val="0"/>
        <w:keepLines w:val="0"/>
        <w:pageBreakBefore w:val="0"/>
        <w:kinsoku/>
        <w:wordWrap/>
        <w:overflowPunct/>
        <w:topLinePunct w:val="0"/>
        <w:autoSpaceDE/>
        <w:autoSpaceDN/>
        <w:bidi w:val="0"/>
        <w:adjustRightInd/>
        <w:spacing w:line="560" w:lineRule="exact"/>
        <w:ind w:firstLine="640"/>
        <w:rPr>
          <w:rFonts w:ascii="楷体_GB2312" w:hAnsi="楷体_GB2312" w:eastAsia="楷体_GB2312"/>
          <w:sz w:val="32"/>
          <w:szCs w:val="32"/>
        </w:rPr>
      </w:pPr>
      <w:r>
        <w:rPr>
          <w:rFonts w:ascii="楷体_GB2312" w:hAnsi="楷体_GB2312" w:eastAsia="楷体_GB2312"/>
          <w:sz w:val="32"/>
          <w:szCs w:val="32"/>
        </w:rPr>
        <w:t>（二）项目支出情况</w:t>
      </w:r>
    </w:p>
    <w:p>
      <w:pPr>
        <w:pStyle w:val="9"/>
        <w:keepNext w:val="0"/>
        <w:keepLines w:val="0"/>
        <w:pageBreakBefore w:val="0"/>
        <w:numPr>
          <w:ilvl w:val="0"/>
          <w:numId w:val="0"/>
        </w:numPr>
        <w:kinsoku/>
        <w:wordWrap/>
        <w:overflowPunct/>
        <w:topLinePunct w:val="0"/>
        <w:autoSpaceDE/>
        <w:autoSpaceDN/>
        <w:bidi w:val="0"/>
        <w:adjustRightInd/>
        <w:spacing w:line="56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项目支出317.23万元，占总支出的比重为30.73%，是指单位为完成特定行政工作任务或事业发展目标而发生的支出，其中：1、一般行政管理事务179.5万元,  2、普法宣传3.19万元,  3、社区矫正服务20万元，4、其他司法支出114.54万元。</w:t>
      </w:r>
    </w:p>
    <w:p>
      <w:pPr>
        <w:pStyle w:val="9"/>
        <w:keepNext w:val="0"/>
        <w:keepLines w:val="0"/>
        <w:pageBreakBefore w:val="0"/>
        <w:numPr>
          <w:ilvl w:val="0"/>
          <w:numId w:val="1"/>
        </w:numPr>
        <w:kinsoku/>
        <w:wordWrap/>
        <w:overflowPunct/>
        <w:topLinePunct w:val="0"/>
        <w:autoSpaceDE/>
        <w:autoSpaceDN/>
        <w:bidi w:val="0"/>
        <w:adjustRightInd/>
        <w:spacing w:line="560" w:lineRule="exact"/>
        <w:ind w:left="0" w:leftChars="0" w:firstLine="640" w:firstLineChars="200"/>
        <w:rPr>
          <w:rFonts w:ascii="黑体" w:hAnsi="黑体" w:eastAsia="黑体"/>
          <w:sz w:val="32"/>
          <w:szCs w:val="32"/>
        </w:rPr>
      </w:pPr>
      <w:r>
        <w:rPr>
          <w:rFonts w:ascii="黑体" w:hAnsi="黑体" w:eastAsia="黑体"/>
          <w:sz w:val="32"/>
          <w:szCs w:val="32"/>
        </w:rPr>
        <w:t>政府性基金预算支出情况</w:t>
      </w:r>
    </w:p>
    <w:p>
      <w:pPr>
        <w:pStyle w:val="9"/>
        <w:keepNext w:val="0"/>
        <w:keepLines w:val="0"/>
        <w:pageBreakBefore w:val="0"/>
        <w:numPr>
          <w:ilvl w:val="0"/>
          <w:numId w:val="0"/>
        </w:numPr>
        <w:kinsoku/>
        <w:wordWrap/>
        <w:overflowPunct/>
        <w:topLinePunct w:val="0"/>
        <w:autoSpaceDE/>
        <w:autoSpaceDN/>
        <w:bidi w:val="0"/>
        <w:adjustRightInd/>
        <w:spacing w:line="560" w:lineRule="exact"/>
        <w:ind w:firstLine="640" w:firstLineChars="200"/>
        <w:rPr>
          <w:rFonts w:hint="eastAsia" w:ascii="楷体_GB2312" w:hAnsi="楷体_GB2312" w:eastAsia="楷体_GB2312" w:cs="Times New Roman"/>
          <w:sz w:val="32"/>
          <w:szCs w:val="32"/>
          <w:lang w:val="en-US" w:eastAsia="zh-CN"/>
        </w:rPr>
      </w:pPr>
      <w:r>
        <w:rPr>
          <w:rFonts w:hint="eastAsia" w:ascii="楷体_GB2312" w:hAnsi="楷体_GB2312" w:eastAsia="楷体_GB2312" w:cs="Times New Roman"/>
          <w:sz w:val="32"/>
          <w:szCs w:val="32"/>
          <w:lang w:val="en-US" w:eastAsia="zh-CN"/>
        </w:rPr>
        <w:t>无</w:t>
      </w:r>
    </w:p>
    <w:p>
      <w:pPr>
        <w:pStyle w:val="9"/>
        <w:keepNext w:val="0"/>
        <w:keepLines w:val="0"/>
        <w:pageBreakBefore w:val="0"/>
        <w:numPr>
          <w:ilvl w:val="0"/>
          <w:numId w:val="1"/>
        </w:numPr>
        <w:kinsoku/>
        <w:wordWrap/>
        <w:overflowPunct/>
        <w:topLinePunct w:val="0"/>
        <w:autoSpaceDE/>
        <w:autoSpaceDN/>
        <w:bidi w:val="0"/>
        <w:adjustRightInd/>
        <w:spacing w:line="560" w:lineRule="exact"/>
        <w:ind w:left="0" w:leftChars="0" w:firstLine="640" w:firstLineChars="200"/>
        <w:rPr>
          <w:rFonts w:ascii="黑体" w:hAnsi="黑体" w:eastAsia="黑体"/>
          <w:sz w:val="32"/>
          <w:szCs w:val="32"/>
        </w:rPr>
      </w:pPr>
      <w:r>
        <w:rPr>
          <w:rFonts w:ascii="黑体" w:hAnsi="黑体" w:eastAsia="黑体"/>
          <w:sz w:val="32"/>
          <w:szCs w:val="32"/>
        </w:rPr>
        <w:t>国有资本经营预算支出情况</w:t>
      </w:r>
    </w:p>
    <w:p>
      <w:pPr>
        <w:pStyle w:val="9"/>
        <w:keepNext w:val="0"/>
        <w:keepLines w:val="0"/>
        <w:pageBreakBefore w:val="0"/>
        <w:numPr>
          <w:ilvl w:val="0"/>
          <w:numId w:val="0"/>
        </w:numPr>
        <w:kinsoku/>
        <w:wordWrap/>
        <w:overflowPunct/>
        <w:topLinePunct w:val="0"/>
        <w:autoSpaceDE/>
        <w:autoSpaceDN/>
        <w:bidi w:val="0"/>
        <w:adjustRightInd/>
        <w:spacing w:line="560" w:lineRule="exact"/>
        <w:ind w:firstLine="640" w:firstLineChars="200"/>
        <w:rPr>
          <w:rFonts w:hint="eastAsia" w:ascii="楷体_GB2312" w:hAnsi="楷体_GB2312" w:eastAsia="楷体_GB2312" w:cs="Times New Roman"/>
          <w:sz w:val="32"/>
          <w:szCs w:val="32"/>
          <w:lang w:val="en-US" w:eastAsia="zh-CN"/>
        </w:rPr>
      </w:pPr>
      <w:r>
        <w:rPr>
          <w:rFonts w:hint="eastAsia" w:ascii="楷体_GB2312" w:hAnsi="楷体_GB2312" w:eastAsia="楷体_GB2312" w:cs="Times New Roman"/>
          <w:sz w:val="32"/>
          <w:szCs w:val="32"/>
          <w:lang w:val="en-US" w:eastAsia="zh-CN"/>
        </w:rPr>
        <w:t>无</w:t>
      </w:r>
    </w:p>
    <w:p>
      <w:pPr>
        <w:pStyle w:val="9"/>
        <w:keepNext w:val="0"/>
        <w:keepLines w:val="0"/>
        <w:pageBreakBefore w:val="0"/>
        <w:numPr>
          <w:ilvl w:val="0"/>
          <w:numId w:val="1"/>
        </w:numPr>
        <w:kinsoku/>
        <w:wordWrap/>
        <w:overflowPunct/>
        <w:topLinePunct w:val="0"/>
        <w:autoSpaceDE/>
        <w:autoSpaceDN/>
        <w:bidi w:val="0"/>
        <w:adjustRightInd/>
        <w:spacing w:line="560" w:lineRule="exact"/>
        <w:ind w:left="0" w:leftChars="0" w:firstLine="640" w:firstLineChars="200"/>
        <w:rPr>
          <w:rFonts w:ascii="黑体" w:hAnsi="黑体" w:eastAsia="黑体"/>
          <w:sz w:val="32"/>
          <w:szCs w:val="32"/>
        </w:rPr>
      </w:pPr>
      <w:r>
        <w:rPr>
          <w:rFonts w:ascii="黑体" w:hAnsi="黑体" w:eastAsia="黑体"/>
          <w:sz w:val="32"/>
          <w:szCs w:val="32"/>
        </w:rPr>
        <w:t>社会保险基金预算支出情况</w:t>
      </w:r>
    </w:p>
    <w:p>
      <w:pPr>
        <w:pStyle w:val="9"/>
        <w:keepNext w:val="0"/>
        <w:keepLines w:val="0"/>
        <w:pageBreakBefore w:val="0"/>
        <w:numPr>
          <w:ilvl w:val="0"/>
          <w:numId w:val="0"/>
        </w:numPr>
        <w:kinsoku/>
        <w:wordWrap/>
        <w:overflowPunct/>
        <w:topLinePunct w:val="0"/>
        <w:autoSpaceDE/>
        <w:autoSpaceDN/>
        <w:bidi w:val="0"/>
        <w:adjustRightInd/>
        <w:spacing w:line="560" w:lineRule="exact"/>
        <w:ind w:firstLine="640" w:firstLineChars="200"/>
        <w:rPr>
          <w:rFonts w:ascii="黑体" w:hAnsi="黑体" w:eastAsia="黑体"/>
          <w:sz w:val="32"/>
          <w:szCs w:val="32"/>
        </w:rPr>
      </w:pPr>
      <w:r>
        <w:rPr>
          <w:rFonts w:hint="eastAsia" w:ascii="楷体_GB2312" w:hAnsi="楷体_GB2312" w:eastAsia="楷体_GB2312" w:cs="Times New Roman"/>
          <w:sz w:val="32"/>
          <w:szCs w:val="32"/>
          <w:lang w:val="en-US" w:eastAsia="zh-CN"/>
        </w:rPr>
        <w:t>无</w:t>
      </w:r>
    </w:p>
    <w:p>
      <w:pPr>
        <w:keepNext w:val="0"/>
        <w:keepLines w:val="0"/>
        <w:pageBreakBefore w:val="0"/>
        <w:kinsoku/>
        <w:wordWrap/>
        <w:overflowPunct/>
        <w:topLinePunct w:val="0"/>
        <w:autoSpaceDE/>
        <w:autoSpaceDN/>
        <w:bidi w:val="0"/>
        <w:adjustRightInd/>
        <w:spacing w:line="560" w:lineRule="exact"/>
        <w:ind w:firstLine="640" w:firstLineChars="200"/>
        <w:rPr>
          <w:rFonts w:eastAsia="黑体"/>
          <w:sz w:val="32"/>
          <w:szCs w:val="32"/>
        </w:rPr>
      </w:pPr>
      <w:r>
        <w:rPr>
          <w:rFonts w:ascii="黑体" w:hAnsi="黑体" w:eastAsia="黑体"/>
          <w:sz w:val="32"/>
          <w:szCs w:val="32"/>
        </w:rPr>
        <w:t>六、部门整体支出绩效情况</w:t>
      </w: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0"/>
        <w:rPr>
          <w:rFonts w:hint="eastAsia" w:ascii="仿宋_GB2312" w:hAnsi="仿宋_GB2312" w:eastAsia="仿宋_GB2312"/>
          <w:sz w:val="32"/>
          <w:lang w:val="en-US" w:eastAsia="zh-CN"/>
        </w:rPr>
      </w:pPr>
      <w:r>
        <w:rPr>
          <w:rFonts w:hint="default" w:ascii="仿宋_GB2312" w:hAnsi="仿宋_GB2312" w:eastAsia="仿宋_GB2312"/>
          <w:sz w:val="32"/>
          <w:lang w:val="en-US"/>
        </w:rPr>
        <w:t>本年度的项目绩效目标完成情况：</w:t>
      </w:r>
      <w:r>
        <w:rPr>
          <w:rFonts w:hint="eastAsia" w:ascii="仿宋_GB2312" w:hAnsi="仿宋_GB2312" w:eastAsia="仿宋_GB2312"/>
          <w:sz w:val="32"/>
          <w:lang w:val="en-US" w:eastAsia="zh-CN"/>
        </w:rPr>
        <w:t>行政运行经费项目、一般行政管理事务项目、社区矫正项目、普法项目、专项经费等项目基本完成。我单位</w:t>
      </w:r>
      <w:r>
        <w:rPr>
          <w:rFonts w:hint="eastAsia" w:ascii="仿宋_GB2312" w:hAnsi="仿宋_GB2312" w:eastAsia="仿宋_GB2312"/>
          <w:sz w:val="32"/>
          <w:lang w:val="en-US"/>
        </w:rPr>
        <w:t>谋划部署，重中之重，全面推进依法治县</w:t>
      </w:r>
      <w:r>
        <w:rPr>
          <w:rFonts w:hint="eastAsia" w:ascii="仿宋_GB2312" w:hAnsi="仿宋_GB2312" w:eastAsia="仿宋_GB2312"/>
          <w:sz w:val="32"/>
          <w:lang w:val="en-US" w:eastAsia="zh-CN"/>
        </w:rPr>
        <w:t>，</w:t>
      </w:r>
      <w:r>
        <w:rPr>
          <w:rFonts w:hint="eastAsia" w:ascii="仿宋_GB2312" w:hAnsi="仿宋_GB2312" w:eastAsia="仿宋_GB2312"/>
          <w:sz w:val="32"/>
          <w:lang w:val="en-US"/>
        </w:rPr>
        <w:t>强化监管，筑牢底线，坚决守好安全底线</w:t>
      </w:r>
      <w:r>
        <w:rPr>
          <w:rFonts w:hint="eastAsia" w:ascii="仿宋_GB2312" w:hAnsi="仿宋_GB2312" w:eastAsia="仿宋_GB2312"/>
          <w:sz w:val="32"/>
          <w:lang w:val="en-US" w:eastAsia="zh-CN"/>
        </w:rPr>
        <w:t>。主要做了以下七个方面的工作：</w:t>
      </w:r>
    </w:p>
    <w:p>
      <w:pPr>
        <w:keepNext w:val="0"/>
        <w:keepLines w:val="0"/>
        <w:pageBreakBefore w:val="0"/>
        <w:kinsoku/>
        <w:wordWrap/>
        <w:overflowPunct/>
        <w:topLinePunct w:val="0"/>
        <w:autoSpaceDE/>
        <w:autoSpaceDN/>
        <w:bidi w:val="0"/>
        <w:adjustRightInd/>
        <w:spacing w:line="560" w:lineRule="exact"/>
        <w:ind w:firstLine="640" w:firstLineChars="200"/>
        <w:rPr>
          <w:rFonts w:ascii="仿宋" w:hAnsi="仿宋" w:eastAsia="仿宋"/>
          <w:b/>
          <w:sz w:val="32"/>
          <w:szCs w:val="32"/>
        </w:rPr>
      </w:pPr>
      <w:r>
        <w:rPr>
          <w:rFonts w:hint="eastAsia" w:ascii="楷体" w:hAnsi="楷体" w:eastAsia="楷体" w:cs="楷体"/>
          <w:bCs/>
          <w:kern w:val="0"/>
          <w:sz w:val="32"/>
          <w:szCs w:val="32"/>
        </w:rPr>
        <w:t>（一）</w:t>
      </w:r>
      <w:r>
        <w:rPr>
          <w:rFonts w:hint="eastAsia" w:ascii="楷体" w:hAnsi="楷体" w:eastAsia="楷体"/>
          <w:sz w:val="32"/>
          <w:szCs w:val="32"/>
        </w:rPr>
        <w:t>强力推进法治宣传，提高全民法律意识。</w:t>
      </w:r>
      <w:r>
        <w:rPr>
          <w:rFonts w:hint="eastAsia" w:ascii="仿宋" w:hAnsi="仿宋" w:eastAsia="仿宋"/>
          <w:sz w:val="32"/>
          <w:szCs w:val="32"/>
        </w:rPr>
        <w:t>深入开展各种法治宣传教育活动，联合开展元旦春节送法下乡活动。5月全县农村法治宣传教育月活动全面铺开，组织法治学习18场次,开展12场集中宣传，进村入户宣传2000余户，共发放宣传袋4000余个、宣传围裙和宣传毛巾4800余份，发放宣传资料2万余份。</w:t>
      </w:r>
      <w:r>
        <w:rPr>
          <w:rFonts w:hint="eastAsia" w:ascii="仿宋" w:hAnsi="仿宋" w:eastAsia="仿宋" w:cs="仿宋"/>
          <w:sz w:val="32"/>
          <w:szCs w:val="32"/>
        </w:rPr>
        <w:t>“进社区”</w:t>
      </w:r>
      <w:r>
        <w:rPr>
          <w:rFonts w:hint="eastAsia" w:ascii="仿宋" w:hAnsi="仿宋" w:eastAsia="仿宋" w:cs="仿宋"/>
          <w:color w:val="191919"/>
          <w:sz w:val="32"/>
          <w:szCs w:val="32"/>
          <w:shd w:val="clear" w:color="auto" w:fill="FFFFFF"/>
        </w:rPr>
        <w:t>走深走实</w:t>
      </w:r>
      <w:r>
        <w:rPr>
          <w:rFonts w:hint="eastAsia" w:ascii="仿宋" w:hAnsi="仿宋" w:eastAsia="仿宋" w:cs="仿宋"/>
          <w:sz w:val="32"/>
          <w:szCs w:val="32"/>
        </w:rPr>
        <w:t>。3月30日在县文化广场开展“我为群众办实事”法治宣传活动，累计发放宣传资料200余份，免费解答各类法律咨询10余人次；4月15日，参加全县国家安全日集中宣传活动，现场发放购物袋200个，发放普法书籍和普法手册共计600余份；4月28日下午，为社区工作人员上了一堂法治课讲座。“进企业”</w:t>
      </w:r>
      <w:r>
        <w:rPr>
          <w:rFonts w:hint="eastAsia" w:ascii="仿宋" w:hAnsi="仿宋" w:eastAsia="仿宋" w:cs="仿宋"/>
          <w:color w:val="191919"/>
          <w:sz w:val="32"/>
          <w:szCs w:val="32"/>
          <w:shd w:val="clear" w:color="auto" w:fill="FFFFFF"/>
        </w:rPr>
        <w:t>气氛热烈</w:t>
      </w:r>
      <w:r>
        <w:rPr>
          <w:rFonts w:hint="eastAsia" w:ascii="仿宋" w:hAnsi="仿宋" w:eastAsia="仿宋" w:cs="仿宋"/>
          <w:sz w:val="32"/>
          <w:szCs w:val="32"/>
        </w:rPr>
        <w:t>。4月28日，联合永州市司法局走进</w:t>
      </w:r>
      <w:r>
        <w:rPr>
          <w:rFonts w:hint="eastAsia" w:ascii="仿宋" w:hAnsi="仿宋" w:eastAsia="仿宋" w:cs="仿宋"/>
          <w:color w:val="191919"/>
          <w:sz w:val="32"/>
          <w:szCs w:val="32"/>
          <w:shd w:val="clear" w:color="auto" w:fill="FFFFFF"/>
        </w:rPr>
        <w:t>湖南阳明竹咏科技有限公司开展《民法典》专题宣讲。通过律师现场答疑、发放宣传资料等方式，向企业职工解读政策法规，并向企业职工发放永州市司法行政队伍教育整顿宣传单等，邀请企业职工阅读了解，提出意见建议，活动现场气氛热烈。</w:t>
      </w:r>
      <w:r>
        <w:rPr>
          <w:rFonts w:hint="eastAsia" w:ascii="仿宋" w:hAnsi="仿宋" w:eastAsia="仿宋" w:cs="仿宋"/>
          <w:sz w:val="32"/>
          <w:szCs w:val="32"/>
        </w:rPr>
        <w:t>“进学校”</w:t>
      </w:r>
      <w:r>
        <w:rPr>
          <w:rFonts w:hint="eastAsia" w:ascii="仿宋" w:hAnsi="仿宋" w:eastAsia="仿宋" w:cs="仿宋"/>
          <w:color w:val="191919"/>
          <w:sz w:val="32"/>
          <w:szCs w:val="32"/>
          <w:shd w:val="clear" w:color="auto" w:fill="FFFFFF"/>
        </w:rPr>
        <w:t>如火如</w:t>
      </w:r>
      <w:r>
        <w:rPr>
          <w:rFonts w:hint="eastAsia" w:ascii="仿宋" w:hAnsi="仿宋" w:eastAsia="仿宋" w:cs="仿宋"/>
          <w:sz w:val="32"/>
          <w:szCs w:val="32"/>
        </w:rPr>
        <w:t>荼。9月组织青少年法治宣传周活动，开展12场以“扫黄打非·护苗2021”为主题的</w:t>
      </w:r>
      <w:r>
        <w:rPr>
          <w:rFonts w:hint="eastAsia" w:ascii="仿宋" w:hAnsi="仿宋" w:eastAsia="仿宋" w:cs="仿宋"/>
          <w:color w:val="191919"/>
          <w:sz w:val="32"/>
          <w:szCs w:val="32"/>
          <w:shd w:val="clear" w:color="auto" w:fill="FFFFFF"/>
        </w:rPr>
        <w:t>法治教育课</w:t>
      </w:r>
      <w:r>
        <w:rPr>
          <w:rFonts w:hint="eastAsia" w:ascii="仿宋" w:hAnsi="仿宋" w:eastAsia="仿宋" w:cs="仿宋"/>
          <w:sz w:val="32"/>
          <w:szCs w:val="32"/>
        </w:rPr>
        <w:t>，极大地激发了孩子们的兴趣，深受孩子们的欢迎。“进乡村”</w:t>
      </w:r>
      <w:r>
        <w:rPr>
          <w:rFonts w:hint="eastAsia" w:ascii="仿宋" w:hAnsi="仿宋" w:eastAsia="仿宋" w:cs="仿宋"/>
          <w:color w:val="191919"/>
          <w:sz w:val="32"/>
          <w:szCs w:val="32"/>
          <w:shd w:val="clear" w:color="auto" w:fill="FFFFFF"/>
        </w:rPr>
        <w:t>真抓实</w:t>
      </w:r>
      <w:r>
        <w:rPr>
          <w:rFonts w:hint="eastAsia" w:ascii="仿宋" w:hAnsi="仿宋" w:eastAsia="仿宋" w:cs="仿宋"/>
          <w:sz w:val="32"/>
          <w:szCs w:val="32"/>
        </w:rPr>
        <w:t>干。结合乡村（社区）法治阵地建设，为40个村（社区）送去了两期法治宣传专栏。各司法所走村入户开展法治宣传50多场次。</w:t>
      </w:r>
    </w:p>
    <w:p>
      <w:pPr>
        <w:keepNext w:val="0"/>
        <w:keepLines w:val="0"/>
        <w:pageBreakBefore w:val="0"/>
        <w:kinsoku/>
        <w:wordWrap/>
        <w:overflowPunct/>
        <w:topLinePunct w:val="0"/>
        <w:autoSpaceDE/>
        <w:autoSpaceDN/>
        <w:bidi w:val="0"/>
        <w:adjustRightInd/>
        <w:spacing w:line="560" w:lineRule="exact"/>
        <w:ind w:firstLine="640" w:firstLineChars="200"/>
        <w:rPr>
          <w:rFonts w:ascii="仿宋" w:hAnsi="仿宋" w:eastAsia="仿宋" w:cs="仿宋"/>
          <w:sz w:val="32"/>
          <w:szCs w:val="32"/>
        </w:rPr>
      </w:pPr>
      <w:r>
        <w:rPr>
          <w:rFonts w:hint="eastAsia" w:ascii="楷体" w:hAnsi="楷体" w:eastAsia="楷体"/>
          <w:sz w:val="32"/>
          <w:szCs w:val="32"/>
        </w:rPr>
        <w:t>（二）</w:t>
      </w:r>
      <w:r>
        <w:rPr>
          <w:rFonts w:hint="eastAsia" w:ascii="楷体" w:hAnsi="楷体" w:eastAsia="楷体" w:cs="仿宋"/>
          <w:color w:val="191919"/>
          <w:sz w:val="32"/>
          <w:szCs w:val="32"/>
          <w:shd w:val="clear" w:color="auto" w:fill="FFFFFF"/>
        </w:rPr>
        <w:t>坚持枫桥经验，维护社会稳定。</w:t>
      </w:r>
      <w:r>
        <w:rPr>
          <w:rFonts w:hint="eastAsia" w:ascii="仿宋" w:hAnsi="仿宋" w:eastAsia="仿宋" w:cs="仿宋"/>
          <w:sz w:val="32"/>
          <w:szCs w:val="32"/>
        </w:rPr>
        <w:t>聚焦乡村振兴、社会治理等重点，着力解决群众最急最忧最盼问题，充分发挥人民调解的“桥头堡”作用，开展走访排查，通过“事理+法理+情理”化解重大矛盾纠纷34起。全年累计受理矛盾纠纷1238起，调解率100%，调解成功1208起，调解成功率97.6%；累计排查矛盾纠纷276起，预防矛盾纠纷137起。拓展“二次调解”工作机制，开展社会治理创新试点工作，建立“五老”工作室机制，极力探索具有双牌特色、时代特征的“枫桥经验”新模式。</w:t>
      </w:r>
    </w:p>
    <w:p>
      <w:pPr>
        <w:keepNext w:val="0"/>
        <w:keepLines w:val="0"/>
        <w:pageBreakBefore w:val="0"/>
        <w:kinsoku/>
        <w:wordWrap/>
        <w:overflowPunct/>
        <w:topLinePunct w:val="0"/>
        <w:autoSpaceDE/>
        <w:autoSpaceDN/>
        <w:bidi w:val="0"/>
        <w:adjustRightInd/>
        <w:spacing w:line="560" w:lineRule="exact"/>
        <w:ind w:firstLine="640" w:firstLineChars="200"/>
        <w:rPr>
          <w:rFonts w:ascii="仿宋" w:hAnsi="仿宋" w:eastAsia="仿宋" w:cs="仿宋"/>
          <w:color w:val="000000"/>
          <w:sz w:val="32"/>
          <w:szCs w:val="32"/>
        </w:rPr>
      </w:pPr>
      <w:r>
        <w:rPr>
          <w:rFonts w:hint="eastAsia" w:ascii="楷体" w:hAnsi="楷体" w:eastAsia="楷体"/>
          <w:sz w:val="32"/>
          <w:szCs w:val="32"/>
        </w:rPr>
        <w:t>（三）法治</w:t>
      </w:r>
      <w:r>
        <w:rPr>
          <w:rFonts w:hint="eastAsia" w:ascii="楷体" w:hAnsi="楷体" w:eastAsia="楷体"/>
          <w:sz w:val="32"/>
          <w:szCs w:val="32"/>
          <w:lang w:val="zh-CN"/>
        </w:rPr>
        <w:t>政府</w:t>
      </w:r>
      <w:r>
        <w:rPr>
          <w:rFonts w:hint="eastAsia" w:ascii="楷体" w:hAnsi="楷体" w:eastAsia="楷体"/>
          <w:sz w:val="32"/>
          <w:szCs w:val="32"/>
        </w:rPr>
        <w:t>建设纵深</w:t>
      </w:r>
      <w:r>
        <w:rPr>
          <w:rFonts w:hint="eastAsia" w:ascii="楷体" w:hAnsi="楷体" w:eastAsia="楷体"/>
          <w:sz w:val="32"/>
          <w:szCs w:val="32"/>
          <w:lang w:val="zh-CN"/>
        </w:rPr>
        <w:t>推进，</w:t>
      </w:r>
      <w:r>
        <w:rPr>
          <w:rFonts w:hint="eastAsia" w:ascii="楷体" w:hAnsi="楷体" w:eastAsia="楷体"/>
          <w:sz w:val="32"/>
          <w:szCs w:val="32"/>
        </w:rPr>
        <w:t>推进全面依法治县</w:t>
      </w:r>
      <w:r>
        <w:rPr>
          <w:rFonts w:hint="eastAsia" w:ascii="楷体" w:hAnsi="楷体" w:eastAsia="楷体"/>
          <w:sz w:val="32"/>
          <w:szCs w:val="32"/>
          <w:lang w:val="zh-CN"/>
        </w:rPr>
        <w:t>。</w:t>
      </w:r>
      <w:r>
        <w:rPr>
          <w:rFonts w:hint="eastAsia" w:ascii="仿宋" w:hAnsi="仿宋" w:eastAsia="仿宋" w:cs="仿宋"/>
          <w:sz w:val="32"/>
          <w:szCs w:val="32"/>
        </w:rPr>
        <w:t>成功召开县委全面依法治县工作会议和县委全面依法治县委员会第三次会议。</w:t>
      </w:r>
      <w:r>
        <w:rPr>
          <w:rFonts w:ascii="仿宋" w:hAnsi="仿宋" w:eastAsia="仿宋" w:cs="仿宋"/>
          <w:sz w:val="32"/>
          <w:szCs w:val="32"/>
        </w:rPr>
        <w:t>加强法治乡村建设，坚持自治、法治、德治相结合，有效创新基层社会治理方式，不断推进基层治理体系和治理能力现代化</w:t>
      </w:r>
      <w:r>
        <w:rPr>
          <w:rFonts w:hint="eastAsia" w:ascii="仿宋" w:hAnsi="仿宋" w:eastAsia="仿宋" w:cs="仿宋"/>
          <w:sz w:val="32"/>
          <w:szCs w:val="32"/>
        </w:rPr>
        <w:t>，茶林镇桐子坳村获第八批“全国民主法治示范村（社区）”命名。行政复议体制改革基本完成。成立了双牌县人民政府行政复议办公</w:t>
      </w:r>
      <w:r>
        <w:rPr>
          <w:rFonts w:hint="eastAsia" w:ascii="仿宋" w:hAnsi="仿宋" w:eastAsia="仿宋" w:cs="华文仿宋"/>
          <w:color w:val="333333"/>
          <w:sz w:val="32"/>
          <w:szCs w:val="32"/>
          <w:highlight w:val="white"/>
        </w:rPr>
        <w:t>室，办公室设在司法局，并新</w:t>
      </w:r>
      <w:r>
        <w:rPr>
          <w:rFonts w:hint="eastAsia" w:ascii="仿宋" w:hAnsi="仿宋" w:eastAsia="仿宋" w:cs="华文仿宋"/>
          <w:color w:val="333333"/>
          <w:sz w:val="32"/>
          <w:szCs w:val="32"/>
        </w:rPr>
        <w:t>增2名行</w:t>
      </w:r>
      <w:r>
        <w:rPr>
          <w:rFonts w:hint="eastAsia" w:ascii="仿宋" w:hAnsi="仿宋" w:eastAsia="仿宋" w:cs="华文仿宋"/>
          <w:color w:val="333333"/>
          <w:sz w:val="32"/>
          <w:szCs w:val="32"/>
          <w:highlight w:val="white"/>
        </w:rPr>
        <w:t>政复议工作人员。</w:t>
      </w:r>
      <w:r>
        <w:rPr>
          <w:rFonts w:hint="eastAsia" w:ascii="仿宋" w:hAnsi="仿宋" w:eastAsia="仿宋" w:cs="华文仿宋"/>
          <w:color w:val="333333"/>
          <w:sz w:val="32"/>
          <w:szCs w:val="32"/>
        </w:rPr>
        <w:t>我局今年新收行政复议14件，撤销2件，不予受理4件，确认违法1件，未审结4件。按照《湖南省规范性文件管理办法》，严格规范性文件管理上报，累计审查县政府、县政府办公室文件18件，出具合法性审查报告文件18件，按规范性文件“三统一”规定办理12件；向县人大及市政府报备规范性文件9件，县直部门规范性文件备案审查3件，非规范性文件出具法律意见8件，合同协议合法性审查24件，出具合法性审查报告24件。</w:t>
      </w:r>
      <w:r>
        <w:rPr>
          <w:rFonts w:hint="eastAsia" w:ascii="仿宋" w:hAnsi="仿宋" w:eastAsia="仿宋" w:cs="华文仿宋"/>
          <w:color w:val="333333"/>
          <w:sz w:val="32"/>
          <w:szCs w:val="32"/>
          <w:highlight w:val="white"/>
        </w:rPr>
        <w:t>认真开展行政执法监督，实行执法人员资格动态管理，换发证件135本。</w:t>
      </w:r>
    </w:p>
    <w:p>
      <w:pPr>
        <w:keepNext w:val="0"/>
        <w:keepLines w:val="0"/>
        <w:pageBreakBefore w:val="0"/>
        <w:kinsoku/>
        <w:wordWrap/>
        <w:overflowPunct/>
        <w:topLinePunct w:val="0"/>
        <w:autoSpaceDE/>
        <w:autoSpaceDN/>
        <w:bidi w:val="0"/>
        <w:adjustRightInd/>
        <w:spacing w:line="560" w:lineRule="exact"/>
        <w:ind w:firstLine="640"/>
        <w:rPr>
          <w:rFonts w:ascii="仿宋" w:hAnsi="仿宋" w:eastAsia="仿宋" w:cs="仿宋"/>
          <w:color w:val="191919"/>
          <w:sz w:val="32"/>
          <w:szCs w:val="32"/>
          <w:shd w:val="clear" w:color="auto" w:fill="FFFFFF"/>
        </w:rPr>
      </w:pPr>
      <w:r>
        <w:rPr>
          <w:rFonts w:hint="eastAsia" w:ascii="楷体" w:hAnsi="楷体" w:eastAsia="楷体"/>
          <w:sz w:val="32"/>
          <w:szCs w:val="32"/>
        </w:rPr>
        <w:t>（四）筑牢监管防线，强化特殊人群管控。</w:t>
      </w:r>
      <w:r>
        <w:rPr>
          <w:rFonts w:hint="eastAsia" w:ascii="仿宋" w:hAnsi="仿宋" w:eastAsia="仿宋" w:cs="仿宋"/>
          <w:color w:val="191919"/>
          <w:sz w:val="32"/>
          <w:szCs w:val="32"/>
          <w:shd w:val="clear" w:color="auto" w:fill="FFFFFF"/>
        </w:rPr>
        <w:t>根据教育整顿统一部署，强化重点案件梳理评查。开展对社区矫正案件的自评和道县司法局来双牌交叉评查活动，并对结果进行汇总梳理，对共性问题立行立改，对个别问题限时整改，对疑点问题深挖病根，对违法违纪问题不护短、不手软，发现一起，查处一起，绝不姑息迁就，同时建立长效机制。累计接收社区矫正人员87人，解矫90人，死亡1人，变更居住地0人，办理调查评估41件全年，入矫宣告87人次，入矫教育87人次，心理测评87人次，手机定位81人，电子腕带0人，开展集中教育700人次，690人次参加集中劳动。</w:t>
      </w:r>
    </w:p>
    <w:p>
      <w:pPr>
        <w:keepNext w:val="0"/>
        <w:keepLines w:val="0"/>
        <w:pageBreakBefore w:val="0"/>
        <w:kinsoku/>
        <w:wordWrap/>
        <w:overflowPunct/>
        <w:topLinePunct w:val="0"/>
        <w:autoSpaceDE/>
        <w:autoSpaceDN/>
        <w:bidi w:val="0"/>
        <w:adjustRightInd/>
        <w:spacing w:line="560" w:lineRule="exact"/>
        <w:ind w:firstLine="640"/>
        <w:rPr>
          <w:rFonts w:ascii="仿宋" w:hAnsi="仿宋" w:eastAsia="仿宋" w:cs="仿宋"/>
          <w:sz w:val="32"/>
          <w:szCs w:val="32"/>
        </w:rPr>
      </w:pPr>
      <w:r>
        <w:rPr>
          <w:rFonts w:hint="eastAsia" w:ascii="楷体" w:hAnsi="楷体" w:eastAsia="楷体" w:cs="仿宋"/>
          <w:color w:val="191919"/>
          <w:sz w:val="32"/>
          <w:szCs w:val="32"/>
          <w:shd w:val="clear" w:color="auto" w:fill="FFFFFF"/>
        </w:rPr>
        <w:t>（五）提升法律服务，便民措施暖人心。</w:t>
      </w:r>
      <w:r>
        <w:rPr>
          <w:rFonts w:hint="eastAsia" w:ascii="仿宋" w:hAnsi="仿宋" w:eastAsia="仿宋" w:cs="仿宋"/>
          <w:sz w:val="32"/>
          <w:szCs w:val="32"/>
        </w:rPr>
        <w:t>深化“放管服”，为打通改革堵点注入强大推力。出台《双牌县公共法律服务便民利民十条措施》，提供更为优质、高效的法律服务和法治保障，回应群众的新期盼，提升群众的获得感、幸福感和安全感。全年累计办理公证共166件（其中上门服务12件），办理法律援助112件（其中上门服务5件），司法鉴定案件95件（其中上门服务5 件），解答法律咨询100余人次（其中现场答疑解惑45件）。受到了当地群众的好评。</w:t>
      </w:r>
    </w:p>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601"/>
        <w:jc w:val="both"/>
        <w:rPr>
          <w:rFonts w:ascii="仿宋" w:hAnsi="仿宋" w:eastAsia="仿宋" w:cs="华文仿宋"/>
          <w:sz w:val="32"/>
          <w:szCs w:val="32"/>
        </w:rPr>
      </w:pPr>
      <w:r>
        <w:rPr>
          <w:rFonts w:hint="eastAsia" w:ascii="楷体" w:hAnsi="楷体" w:eastAsia="楷体" w:cs="仿宋"/>
          <w:color w:val="191919"/>
          <w:kern w:val="2"/>
          <w:sz w:val="32"/>
          <w:szCs w:val="32"/>
          <w:shd w:val="clear" w:color="auto" w:fill="FFFFFF"/>
        </w:rPr>
        <w:t>（六）</w:t>
      </w:r>
      <w:r>
        <w:rPr>
          <w:rFonts w:hint="eastAsia" w:ascii="楷体" w:hAnsi="楷体" w:eastAsia="楷体" w:cs="仿宋"/>
          <w:color w:val="191919"/>
          <w:kern w:val="2"/>
          <w:sz w:val="32"/>
          <w:szCs w:val="32"/>
          <w:shd w:val="clear" w:color="auto" w:fill="FFFFFF"/>
          <w:lang w:val="zh-CN"/>
        </w:rPr>
        <w:t>牵头整改反馈意见，依法行政水平的整体提升。</w:t>
      </w:r>
      <w:r>
        <w:rPr>
          <w:rFonts w:hint="eastAsia" w:ascii="仿宋" w:hAnsi="仿宋" w:eastAsia="仿宋" w:cs="华文仿宋"/>
          <w:sz w:val="32"/>
          <w:szCs w:val="32"/>
        </w:rPr>
        <w:t>市委第三巡察组对我县开展了营商环境专项巡察，实事求是的指出我县行政执法工作中存在的违法行动问题，针对市委第三巡察组指出我县8个行政执法单位在行政执法中存在的乱执法等13问题，县委常委、政法委书记数次组织相关执法单位召开调度会议研究部署整改落实，我局作为牵头整改单位积极作为，抓细抓实相关整改工作，取得了较好成效。1月13日组织</w:t>
      </w:r>
      <w:r>
        <w:rPr>
          <w:rFonts w:hint="eastAsia" w:ascii="仿宋" w:hAnsi="仿宋" w:eastAsia="仿宋" w:cs="华文仿宋"/>
          <w:color w:val="333333"/>
          <w:sz w:val="32"/>
          <w:szCs w:val="32"/>
          <w:highlight w:val="white"/>
          <w:lang w:val="zh-CN"/>
        </w:rPr>
        <w:t>开展全县</w:t>
      </w:r>
      <w:r>
        <w:rPr>
          <w:rFonts w:hint="eastAsia" w:ascii="仿宋" w:hAnsi="仿宋" w:eastAsia="仿宋" w:cs="华文仿宋"/>
          <w:sz w:val="32"/>
          <w:szCs w:val="32"/>
          <w:lang w:val="zh-CN"/>
        </w:rPr>
        <w:t>行政执法“三项制度”培训，对来自县直执法单位和乡镇（管理局）的86名执法骨干进行培训，</w:t>
      </w:r>
      <w:r>
        <w:rPr>
          <w:rFonts w:hint="eastAsia" w:ascii="仿宋" w:hAnsi="仿宋" w:eastAsia="仿宋" w:cs="华文仿宋"/>
          <w:sz w:val="32"/>
          <w:szCs w:val="32"/>
        </w:rPr>
        <w:t>后期陆续制作了三项制度相关内容PPT通过微信群、QQ群发送给有需要的执法单位，以供参考。7月针对全县法治营商环境做了满意度调查，从结果来看，我县群众、企业对我县法治营商环境是满意的。</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lang w:val="en-US"/>
        </w:rPr>
      </w:pPr>
      <w:r>
        <w:rPr>
          <w:rFonts w:hint="eastAsia" w:ascii="楷体" w:hAnsi="楷体" w:eastAsia="楷体" w:cs="华文仿宋"/>
          <w:kern w:val="0"/>
          <w:sz w:val="32"/>
          <w:szCs w:val="32"/>
        </w:rPr>
        <w:t>（七）强化党建引领促工作，接受巡察狠抓队伍廉洁。</w:t>
      </w:r>
      <w:r>
        <w:rPr>
          <w:rFonts w:hint="eastAsia" w:ascii="仿宋" w:hAnsi="仿宋" w:eastAsia="仿宋" w:cs="华文仿宋"/>
          <w:kern w:val="0"/>
          <w:sz w:val="32"/>
          <w:szCs w:val="32"/>
        </w:rPr>
        <w:t>一是始终坚持把学习教育贯穿始终。充分发挥党组理论学习中心组、三会一课、主题党日等载体作用，重点学习习近平新时代中国特色社会主义思想和党的十九届五中全会精神、“七一”重要讲话精神，全面系统学习习近平法治思想、习近平总书记关于加强政法队伍建设的重要指示和训词精神，提高思想认识，加强理论修养，做到德配其位。二是持续深化“四史”学习教育。引导干警大力弘扬党的光荣传统和优良作风，切实做到学史明理、学史增信、学史崇德、学史力行。三是坚持把英模教育和警示教育相结合，把英模教育作为弘扬正气的载体，把廉政教育、警示教育作为警示和警醒的手段，坚持正面引领与反面警示统筹开展，引导干警心存敬畏、守住底线。四是自觉接受县委第二巡察组常规巡察，局党组正确认识和认真对待巡察组的监督，对发现的问题，照单全收，深刻剖析原因，认真制定整改措施，对巡察组提出的意见建议，主动认领、认真抓好落实，确保整改任务条条有着落、事事有回音、件件有落实。局党组以巡察为契机，与深入学习党的十九届五中、六中全会精神结合起来，与贯彻落实好县委县政府中心工作、重点工作结合起来，与司法行政主业结合起来，进一步完善措施、压实责任、狠抓落实，真正把巡察工作的成效体现到司法行政改革发展的实践中，落实到真抓实干的具体工作中。通过队伍教育整顿，狠抓党风廉政建设和接受政治巡察，深挖并清除了队伍中不纯不洁的个别人员。</w:t>
      </w:r>
    </w:p>
    <w:p>
      <w:pPr>
        <w:pStyle w:val="9"/>
        <w:keepNext w:val="0"/>
        <w:keepLines w:val="0"/>
        <w:pageBreakBefore w:val="0"/>
        <w:kinsoku/>
        <w:wordWrap/>
        <w:overflowPunct/>
        <w:topLinePunct w:val="0"/>
        <w:autoSpaceDE/>
        <w:autoSpaceDN/>
        <w:bidi w:val="0"/>
        <w:adjustRightInd/>
        <w:spacing w:line="560" w:lineRule="exact"/>
        <w:ind w:firstLine="640"/>
        <w:rPr>
          <w:rFonts w:hint="eastAsia" w:ascii="楷体_GB2312" w:hAnsi="楷体_GB2312" w:eastAsia="楷体_GB2312" w:cs="Times New Roman"/>
          <w:kern w:val="2"/>
          <w:sz w:val="32"/>
          <w:szCs w:val="32"/>
          <w:lang w:val="en-US" w:eastAsia="zh-CN" w:bidi="ar-SA"/>
        </w:rPr>
      </w:pPr>
      <w:r>
        <w:rPr>
          <w:rFonts w:ascii="黑体" w:hAnsi="黑体" w:eastAsia="黑体"/>
          <w:sz w:val="32"/>
          <w:szCs w:val="32"/>
        </w:rPr>
        <w:t>七、存在的问题及原因分析</w:t>
      </w:r>
    </w:p>
    <w:p>
      <w:pPr>
        <w:pStyle w:val="5"/>
        <w:keepNext w:val="0"/>
        <w:keepLines w:val="0"/>
        <w:pageBreakBefore w:val="0"/>
        <w:kinsoku/>
        <w:wordWrap/>
        <w:overflowPunct/>
        <w:topLinePunct w:val="0"/>
        <w:autoSpaceDE/>
        <w:autoSpaceDN/>
        <w:bidi w:val="0"/>
        <w:adjustRightInd/>
        <w:spacing w:before="0" w:beforeAutospacing="0" w:after="0" w:afterAutospacing="0" w:line="560" w:lineRule="exact"/>
        <w:ind w:firstLine="627" w:firstLineChars="196"/>
        <w:jc w:val="both"/>
        <w:textAlignment w:val="baseline"/>
        <w:rPr>
          <w:rFonts w:hint="eastAsia" w:ascii="仿宋_GB2312" w:hAnsi="仿宋_GB2312" w:eastAsia="仿宋_GB2312" w:cs="Times New Roman"/>
          <w:kern w:val="2"/>
          <w:sz w:val="32"/>
          <w:szCs w:val="21"/>
          <w:lang w:val="en-US" w:eastAsia="zh-CN" w:bidi="ar-SA"/>
        </w:rPr>
      </w:pPr>
      <w:r>
        <w:rPr>
          <w:rFonts w:hint="eastAsia" w:ascii="楷体_GB2312" w:hAnsi="楷体_GB2312" w:eastAsia="楷体_GB2312" w:cs="Times New Roman"/>
          <w:kern w:val="2"/>
          <w:sz w:val="32"/>
          <w:szCs w:val="32"/>
          <w:lang w:val="en-US" w:eastAsia="zh-CN" w:bidi="ar-SA"/>
        </w:rPr>
        <w:t>1.</w:t>
      </w:r>
      <w:r>
        <w:rPr>
          <w:rFonts w:hint="eastAsia" w:ascii="仿宋_GB2312" w:hAnsi="仿宋_GB2312" w:eastAsia="仿宋_GB2312" w:cs="Times New Roman"/>
          <w:kern w:val="2"/>
          <w:sz w:val="32"/>
          <w:szCs w:val="21"/>
          <w:lang w:val="en-US" w:eastAsia="zh-CN" w:bidi="ar-SA"/>
        </w:rPr>
        <w:t>专项资金少，资金压力大。经费缺口日益增大，现在经费全部投入都只能完成基本的工作目标。</w:t>
      </w:r>
    </w:p>
    <w:p>
      <w:pPr>
        <w:keepNext w:val="0"/>
        <w:keepLines w:val="0"/>
        <w:pageBreakBefore w:val="0"/>
        <w:kinsoku/>
        <w:wordWrap/>
        <w:overflowPunct/>
        <w:topLinePunct w:val="0"/>
        <w:autoSpaceDE/>
        <w:autoSpaceDN/>
        <w:bidi w:val="0"/>
        <w:adjustRightInd/>
        <w:spacing w:line="560" w:lineRule="exact"/>
        <w:ind w:firstLine="640" w:firstLineChars="200"/>
        <w:rPr>
          <w:rFonts w:hint="default" w:ascii="仿宋_GB2312" w:hAnsi="仿宋_GB2312" w:eastAsia="仿宋_GB2312" w:cs="Times New Roman"/>
          <w:kern w:val="2"/>
          <w:sz w:val="32"/>
          <w:szCs w:val="21"/>
          <w:lang w:val="en-US" w:eastAsia="zh-CN" w:bidi="ar-SA"/>
        </w:rPr>
      </w:pPr>
      <w:r>
        <w:rPr>
          <w:rFonts w:hint="eastAsia" w:ascii="仿宋_GB2312" w:hAnsi="仿宋_GB2312" w:eastAsia="仿宋_GB2312" w:cs="Times New Roman"/>
          <w:kern w:val="2"/>
          <w:sz w:val="32"/>
          <w:szCs w:val="21"/>
          <w:lang w:val="en-US" w:eastAsia="zh-CN" w:bidi="ar-SA"/>
        </w:rPr>
        <w:t>2.预算编制不够准确。预算编制的合理性需要提高，资金使用效益有待进一步提高。-</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Times New Roman"/>
          <w:kern w:val="2"/>
          <w:sz w:val="32"/>
          <w:szCs w:val="21"/>
          <w:lang w:val="en-US" w:eastAsia="zh-CN" w:bidi="ar-SA"/>
        </w:rPr>
      </w:pPr>
      <w:r>
        <w:rPr>
          <w:rFonts w:hint="eastAsia" w:ascii="仿宋_GB2312" w:hAnsi="仿宋_GB2312" w:eastAsia="仿宋_GB2312" w:cs="Times New Roman"/>
          <w:kern w:val="2"/>
          <w:sz w:val="32"/>
          <w:szCs w:val="21"/>
          <w:lang w:val="en-US" w:eastAsia="zh-CN" w:bidi="ar-SA"/>
        </w:rPr>
        <w:t>3.人员严重缺编与工作任务繁重矛盾日益突出。</w:t>
      </w:r>
    </w:p>
    <w:p>
      <w:pPr>
        <w:keepNext w:val="0"/>
        <w:keepLines w:val="0"/>
        <w:pageBreakBefore w:val="0"/>
        <w:kinsoku/>
        <w:wordWrap/>
        <w:overflowPunct/>
        <w:topLinePunct w:val="0"/>
        <w:autoSpaceDE/>
        <w:autoSpaceDN/>
        <w:bidi w:val="0"/>
        <w:adjustRightInd/>
        <w:spacing w:line="560" w:lineRule="exact"/>
        <w:ind w:firstLine="640" w:firstLineChars="200"/>
        <w:rPr>
          <w:rFonts w:ascii="黑体" w:hAnsi="黑体" w:eastAsia="黑体"/>
          <w:sz w:val="32"/>
          <w:szCs w:val="32"/>
        </w:rPr>
      </w:pPr>
      <w:r>
        <w:rPr>
          <w:rFonts w:ascii="黑体" w:hAnsi="黑体" w:eastAsia="黑体"/>
          <w:sz w:val="32"/>
          <w:szCs w:val="32"/>
        </w:rPr>
        <w:t>八、下一步改进措施</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Times New Roman"/>
          <w:kern w:val="2"/>
          <w:sz w:val="32"/>
          <w:szCs w:val="21"/>
          <w:lang w:val="en-US" w:eastAsia="zh-CN" w:bidi="ar-SA"/>
        </w:rPr>
      </w:pPr>
      <w:r>
        <w:rPr>
          <w:rFonts w:hint="eastAsia" w:ascii="仿宋_GB2312" w:hAnsi="仿宋_GB2312" w:eastAsia="仿宋_GB2312" w:cs="Times New Roman"/>
          <w:kern w:val="2"/>
          <w:sz w:val="32"/>
          <w:szCs w:val="21"/>
          <w:lang w:val="en-US" w:eastAsia="zh-CN" w:bidi="ar-SA"/>
        </w:rPr>
        <w:t>1.细化预算编制工作，认真做好预算的编制。进一步加强内设机构的预算管理意识，严格按照预算编制的相关制度和要求进行预算编制。</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Times New Roman"/>
          <w:kern w:val="2"/>
          <w:sz w:val="32"/>
          <w:szCs w:val="21"/>
          <w:lang w:val="en-US" w:eastAsia="zh-CN" w:bidi="ar-SA"/>
        </w:rPr>
      </w:pPr>
      <w:r>
        <w:rPr>
          <w:rFonts w:hint="eastAsia" w:ascii="仿宋_GB2312" w:hAnsi="仿宋_GB2312" w:eastAsia="仿宋_GB2312" w:cs="Times New Roman"/>
          <w:kern w:val="2"/>
          <w:sz w:val="32"/>
          <w:szCs w:val="21"/>
          <w:lang w:val="en-US" w:eastAsia="zh-CN" w:bidi="ar-SA"/>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Times New Roman"/>
          <w:kern w:val="2"/>
          <w:sz w:val="32"/>
          <w:szCs w:val="21"/>
          <w:lang w:val="en-US" w:eastAsia="zh-CN" w:bidi="ar-SA"/>
        </w:rPr>
      </w:pPr>
      <w:r>
        <w:rPr>
          <w:rFonts w:hint="eastAsia" w:ascii="仿宋_GB2312" w:hAnsi="仿宋_GB2312" w:eastAsia="仿宋_GB2312" w:cs="Times New Roman"/>
          <w:kern w:val="2"/>
          <w:sz w:val="32"/>
          <w:szCs w:val="21"/>
          <w:lang w:val="en-US" w:eastAsia="zh-CN" w:bidi="ar-SA"/>
        </w:rPr>
        <w:t>3.严格编制政府采购年初预算和计划，规范各类资产的购置审批制度、资产采购制度、使用管理制度、资产处置和报废审批制度、资产管理岗位职责制度等。严格控制“三公”经费的规模和比例，把关“三公”经费支出的审核、审批，进一步细化“三公”经费的管理，合理压缩“三公”经费支出。</w:t>
      </w:r>
    </w:p>
    <w:p>
      <w:pPr>
        <w:keepNext w:val="0"/>
        <w:keepLines w:val="0"/>
        <w:pageBreakBefore w:val="0"/>
        <w:kinsoku/>
        <w:wordWrap/>
        <w:overflowPunct/>
        <w:topLinePunct w:val="0"/>
        <w:autoSpaceDE/>
        <w:autoSpaceDN/>
        <w:bidi w:val="0"/>
        <w:adjustRightInd/>
        <w:spacing w:line="560" w:lineRule="exact"/>
        <w:ind w:firstLine="640" w:firstLineChars="200"/>
        <w:rPr>
          <w:rFonts w:ascii="黑体" w:hAnsi="黑体" w:eastAsia="黑体"/>
          <w:sz w:val="32"/>
          <w:szCs w:val="32"/>
        </w:rPr>
      </w:pPr>
      <w:r>
        <w:rPr>
          <w:rFonts w:ascii="黑体" w:hAnsi="黑体" w:eastAsia="黑体"/>
          <w:sz w:val="32"/>
          <w:szCs w:val="32"/>
        </w:rPr>
        <w:t>九、绩效自评结果拟应用和公开情况</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楷体_GB2312" w:hAnsi="楷体_GB2312" w:eastAsia="楷体_GB2312" w:cs="Times New Roman"/>
          <w:kern w:val="2"/>
          <w:sz w:val="32"/>
          <w:szCs w:val="32"/>
          <w:lang w:val="en-US" w:eastAsia="zh-CN" w:bidi="ar-SA"/>
        </w:rPr>
      </w:pPr>
      <w:r>
        <w:rPr>
          <w:rFonts w:hint="eastAsia" w:ascii="仿宋_GB2312" w:hAnsi="仿宋_GB2312" w:eastAsia="仿宋_GB2312" w:cs="Times New Roman"/>
          <w:kern w:val="2"/>
          <w:sz w:val="32"/>
          <w:szCs w:val="21"/>
          <w:lang w:val="en-US" w:eastAsia="zh-CN" w:bidi="ar-SA"/>
        </w:rPr>
        <w:t>根据部门整体支出绩效评价指标体系，我单位2021年度评价得分为98分。</w:t>
      </w:r>
    </w:p>
    <w:p>
      <w:pPr>
        <w:keepNext w:val="0"/>
        <w:keepLines w:val="0"/>
        <w:pageBreakBefore w:val="0"/>
        <w:kinsoku/>
        <w:wordWrap/>
        <w:overflowPunct/>
        <w:topLinePunct w:val="0"/>
        <w:autoSpaceDE/>
        <w:autoSpaceDN/>
        <w:bidi w:val="0"/>
        <w:adjustRightInd/>
        <w:spacing w:line="560" w:lineRule="exact"/>
        <w:ind w:firstLine="640" w:firstLineChars="200"/>
        <w:rPr>
          <w:rFonts w:ascii="黑体" w:hAnsi="黑体" w:eastAsia="黑体"/>
          <w:sz w:val="32"/>
          <w:szCs w:val="32"/>
        </w:rPr>
      </w:pPr>
      <w:r>
        <w:rPr>
          <w:rFonts w:ascii="黑体" w:hAnsi="黑体" w:eastAsia="黑体"/>
          <w:sz w:val="32"/>
          <w:szCs w:val="32"/>
        </w:rPr>
        <w:t>其他需要说明的情况</w:t>
      </w:r>
    </w:p>
    <w:p>
      <w:pPr>
        <w:pStyle w:val="9"/>
        <w:keepNext w:val="0"/>
        <w:keepLines w:val="0"/>
        <w:pageBreakBefore w:val="0"/>
        <w:numPr>
          <w:ilvl w:val="0"/>
          <w:numId w:val="0"/>
        </w:numPr>
        <w:kinsoku/>
        <w:wordWrap/>
        <w:overflowPunct/>
        <w:topLinePunct w:val="0"/>
        <w:autoSpaceDE/>
        <w:autoSpaceDN/>
        <w:bidi w:val="0"/>
        <w:adjustRightInd/>
        <w:spacing w:line="560" w:lineRule="exact"/>
        <w:ind w:firstLine="640" w:firstLineChars="200"/>
        <w:rPr>
          <w:rFonts w:ascii="黑体" w:hAnsi="黑体" w:eastAsia="黑体"/>
          <w:sz w:val="32"/>
          <w:szCs w:val="32"/>
        </w:rPr>
      </w:pPr>
      <w:r>
        <w:rPr>
          <w:rFonts w:hint="eastAsia" w:ascii="楷体_GB2312" w:hAnsi="楷体_GB2312" w:eastAsia="楷体_GB2312" w:cs="Times New Roman"/>
          <w:sz w:val="32"/>
          <w:szCs w:val="32"/>
          <w:lang w:val="en-US" w:eastAsia="zh-CN"/>
        </w:rPr>
        <w:t>无</w:t>
      </w:r>
    </w:p>
    <w:p>
      <w:pPr>
        <w:keepNext w:val="0"/>
        <w:keepLines w:val="0"/>
        <w:pageBreakBefore w:val="0"/>
        <w:kinsoku/>
        <w:wordWrap/>
        <w:overflowPunct/>
        <w:topLinePunct w:val="0"/>
        <w:autoSpaceDE/>
        <w:autoSpaceDN/>
        <w:bidi w:val="0"/>
        <w:adjustRightInd/>
        <w:spacing w:line="560" w:lineRule="exact"/>
        <w:rPr>
          <w:rFonts w:eastAsia="仿宋_GB2312"/>
          <w:sz w:val="32"/>
          <w:szCs w:val="32"/>
        </w:rPr>
      </w:pPr>
      <w:r>
        <w:rPr>
          <w:rFonts w:ascii="仿宋_GB2312" w:hAnsi="仿宋_GB2312" w:eastAsia="仿宋_GB2312"/>
          <w:sz w:val="32"/>
          <w:szCs w:val="32"/>
        </w:rPr>
        <w:t>附件：</w:t>
      </w:r>
    </w:p>
    <w:p>
      <w:pPr>
        <w:keepNext w:val="0"/>
        <w:keepLines w:val="0"/>
        <w:pageBreakBefore w:val="0"/>
        <w:kinsoku/>
        <w:wordWrap/>
        <w:overflowPunct/>
        <w:topLinePunct w:val="0"/>
        <w:autoSpaceDE/>
        <w:autoSpaceDN/>
        <w:bidi w:val="0"/>
        <w:adjustRightInd/>
        <w:spacing w:line="560" w:lineRule="exact"/>
        <w:ind w:firstLine="640" w:firstLineChars="200"/>
        <w:rPr>
          <w:rFonts w:eastAsia="仿宋_GB2312"/>
          <w:sz w:val="32"/>
          <w:szCs w:val="32"/>
        </w:rPr>
      </w:pPr>
      <w:r>
        <w:rPr>
          <w:rFonts w:eastAsia="仿宋_GB2312"/>
          <w:sz w:val="32"/>
          <w:szCs w:val="32"/>
        </w:rPr>
        <w:t>1</w:t>
      </w:r>
      <w:r>
        <w:rPr>
          <w:rFonts w:ascii="仿宋_GB2312" w:hAnsi="仿宋_GB2312" w:eastAsia="仿宋_GB2312"/>
          <w:sz w:val="32"/>
          <w:szCs w:val="32"/>
        </w:rPr>
        <w:t>、部门整体支出绩效评价基础数据表</w:t>
      </w:r>
    </w:p>
    <w:p>
      <w:pPr>
        <w:keepNext w:val="0"/>
        <w:keepLines w:val="0"/>
        <w:pageBreakBefore w:val="0"/>
        <w:kinsoku/>
        <w:wordWrap/>
        <w:overflowPunct/>
        <w:topLinePunct w:val="0"/>
        <w:autoSpaceDE/>
        <w:autoSpaceDN/>
        <w:bidi w:val="0"/>
        <w:adjustRightInd/>
        <w:spacing w:line="560" w:lineRule="exact"/>
        <w:ind w:firstLine="640" w:firstLineChars="200"/>
        <w:rPr>
          <w:rFonts w:eastAsia="仿宋_GB2312"/>
          <w:sz w:val="32"/>
          <w:szCs w:val="32"/>
        </w:rPr>
      </w:pPr>
      <w:r>
        <w:rPr>
          <w:rFonts w:eastAsia="仿宋_GB2312"/>
          <w:sz w:val="32"/>
          <w:szCs w:val="32"/>
        </w:rPr>
        <w:t>2</w:t>
      </w:r>
      <w:r>
        <w:rPr>
          <w:rFonts w:ascii="仿宋_GB2312" w:hAnsi="仿宋_GB2312" w:eastAsia="仿宋_GB2312"/>
          <w:sz w:val="32"/>
          <w:szCs w:val="32"/>
        </w:rPr>
        <w:t>、部门整体支出绩效自评表</w:t>
      </w:r>
    </w:p>
    <w:p>
      <w:pPr>
        <w:keepNext w:val="0"/>
        <w:keepLines w:val="0"/>
        <w:pageBreakBefore w:val="0"/>
        <w:kinsoku/>
        <w:wordWrap/>
        <w:overflowPunct/>
        <w:topLinePunct w:val="0"/>
        <w:autoSpaceDE/>
        <w:autoSpaceDN/>
        <w:bidi w:val="0"/>
        <w:adjustRightInd/>
        <w:spacing w:line="560" w:lineRule="exact"/>
        <w:ind w:firstLine="640" w:firstLineChars="200"/>
        <w:rPr>
          <w:rFonts w:eastAsia="仿宋_GB2312"/>
          <w:sz w:val="32"/>
          <w:szCs w:val="32"/>
        </w:rPr>
      </w:pPr>
      <w:r>
        <w:rPr>
          <w:rFonts w:eastAsia="仿宋_GB2312"/>
          <w:sz w:val="32"/>
          <w:szCs w:val="32"/>
        </w:rPr>
        <w:t>3</w:t>
      </w:r>
      <w:r>
        <w:rPr>
          <w:rFonts w:ascii="仿宋_GB2312" w:hAnsi="仿宋_GB2312" w:eastAsia="仿宋_GB2312"/>
          <w:sz w:val="32"/>
          <w:szCs w:val="32"/>
        </w:rPr>
        <w:t>、项目支出绩效自评表</w:t>
      </w:r>
    </w:p>
    <w:p>
      <w:pPr>
        <w:keepNext w:val="0"/>
        <w:keepLines w:val="0"/>
        <w:widowControl/>
        <w:suppressLineNumbers w:val="0"/>
        <w:jc w:val="left"/>
        <w:rPr>
          <w:rFonts w:ascii="仿宋_GB2312" w:hAnsi="仿宋_GB2312" w:eastAsia="仿宋_GB2312"/>
          <w:sz w:val="32"/>
          <w:szCs w:val="32"/>
          <w:lang w:val="en-US" w:eastAsia="zh-CN"/>
        </w:rPr>
      </w:pPr>
    </w:p>
    <w:p>
      <w:pPr>
        <w:keepNext w:val="0"/>
        <w:keepLines w:val="0"/>
        <w:widowControl/>
        <w:suppressLineNumbers w:val="0"/>
        <w:jc w:val="left"/>
        <w:rPr>
          <w:rFonts w:ascii="仿宋_GB2312" w:hAnsi="仿宋_GB2312" w:eastAsia="仿宋_GB2312"/>
          <w:sz w:val="32"/>
          <w:szCs w:val="32"/>
          <w:lang w:val="en-US" w:eastAsia="zh-CN"/>
        </w:rPr>
      </w:pPr>
    </w:p>
    <w:p>
      <w:pPr>
        <w:keepNext w:val="0"/>
        <w:keepLines w:val="0"/>
        <w:widowControl/>
        <w:suppressLineNumbers w:val="0"/>
        <w:jc w:val="left"/>
        <w:rPr>
          <w:rFonts w:ascii="仿宋_GB2312" w:hAnsi="仿宋_GB2312" w:eastAsia="仿宋_GB2312"/>
          <w:sz w:val="32"/>
          <w:szCs w:val="32"/>
          <w:lang w:val="en-US" w:eastAsia="zh-CN"/>
        </w:rPr>
      </w:pPr>
    </w:p>
    <w:p>
      <w:pPr>
        <w:keepNext w:val="0"/>
        <w:keepLines w:val="0"/>
        <w:widowControl/>
        <w:suppressLineNumbers w:val="0"/>
        <w:jc w:val="left"/>
        <w:rPr>
          <w:rFonts w:ascii="仿宋_GB2312" w:hAnsi="仿宋_GB2312" w:eastAsia="仿宋_GB2312"/>
          <w:sz w:val="32"/>
          <w:szCs w:val="32"/>
          <w:lang w:val="en-US" w:eastAsia="zh-CN"/>
        </w:rPr>
      </w:pPr>
    </w:p>
    <w:p>
      <w:pPr>
        <w:keepNext w:val="0"/>
        <w:keepLines w:val="0"/>
        <w:widowControl/>
        <w:suppressLineNumbers w:val="0"/>
        <w:jc w:val="left"/>
        <w:rPr>
          <w:rFonts w:ascii="仿宋_GB2312" w:hAnsi="仿宋_GB2312" w:eastAsia="仿宋_GB2312"/>
          <w:sz w:val="32"/>
          <w:szCs w:val="32"/>
          <w:lang w:val="en-US" w:eastAsia="zh-CN"/>
        </w:rPr>
      </w:pPr>
    </w:p>
    <w:p>
      <w:pPr>
        <w:spacing w:line="560" w:lineRule="exact"/>
        <w:rPr>
          <w:rFonts w:hint="eastAsia" w:ascii="黑体" w:hAnsi="黑体" w:eastAsia="黑体" w:cs="宋体"/>
          <w:kern w:val="0"/>
          <w:sz w:val="32"/>
          <w:szCs w:val="32"/>
        </w:rPr>
      </w:pPr>
    </w:p>
    <w:p>
      <w:pPr>
        <w:spacing w:line="560" w:lineRule="exact"/>
        <w:rPr>
          <w:rFonts w:hint="eastAsia" w:ascii="黑体" w:hAnsi="黑体" w:eastAsia="黑体" w:cs="宋体"/>
          <w:kern w:val="0"/>
          <w:sz w:val="32"/>
          <w:szCs w:val="32"/>
        </w:rPr>
      </w:pPr>
    </w:p>
    <w:p>
      <w:pPr>
        <w:spacing w:line="560" w:lineRule="exact"/>
        <w:rPr>
          <w:rFonts w:hint="eastAsia" w:ascii="黑体" w:hAnsi="黑体" w:eastAsia="黑体" w:cs="宋体"/>
          <w:kern w:val="0"/>
          <w:sz w:val="32"/>
          <w:szCs w:val="32"/>
        </w:rPr>
      </w:pPr>
    </w:p>
    <w:p>
      <w:pPr>
        <w:spacing w:line="560" w:lineRule="exact"/>
        <w:rPr>
          <w:rFonts w:hint="eastAsia" w:ascii="黑体" w:hAnsi="黑体" w:eastAsia="黑体" w:cs="宋体"/>
          <w:kern w:val="0"/>
          <w:sz w:val="32"/>
          <w:szCs w:val="32"/>
        </w:rPr>
      </w:pPr>
    </w:p>
    <w:p>
      <w:pPr>
        <w:spacing w:line="560" w:lineRule="exact"/>
        <w:rPr>
          <w:rFonts w:hint="eastAsia" w:ascii="黑体" w:hAnsi="黑体" w:eastAsia="黑体" w:cs="宋体"/>
          <w:kern w:val="0"/>
          <w:sz w:val="32"/>
          <w:szCs w:val="32"/>
        </w:rPr>
      </w:pPr>
    </w:p>
    <w:p>
      <w:pPr>
        <w:spacing w:line="560" w:lineRule="exact"/>
        <w:rPr>
          <w:rFonts w:hint="eastAsia" w:ascii="黑体" w:hAnsi="黑体" w:eastAsia="黑体" w:cs="宋体"/>
          <w:kern w:val="0"/>
          <w:sz w:val="32"/>
          <w:szCs w:val="32"/>
        </w:rPr>
      </w:pPr>
    </w:p>
    <w:p>
      <w:pPr>
        <w:pStyle w:val="2"/>
        <w:rPr>
          <w:rFonts w:hint="eastAsia" w:ascii="黑体" w:hAnsi="黑体" w:eastAsia="黑体" w:cs="宋体"/>
          <w:kern w:val="0"/>
          <w:sz w:val="32"/>
          <w:szCs w:val="32"/>
        </w:rPr>
      </w:pPr>
    </w:p>
    <w:p>
      <w:pPr>
        <w:pStyle w:val="2"/>
        <w:rPr>
          <w:rFonts w:hint="eastAsia" w:ascii="黑体" w:hAnsi="黑体" w:eastAsia="黑体" w:cs="宋体"/>
          <w:kern w:val="0"/>
          <w:sz w:val="32"/>
          <w:szCs w:val="32"/>
        </w:rPr>
      </w:pPr>
    </w:p>
    <w:p>
      <w:pPr>
        <w:pStyle w:val="2"/>
        <w:rPr>
          <w:rFonts w:hint="eastAsia" w:ascii="黑体" w:hAnsi="黑体" w:eastAsia="黑体" w:cs="宋体"/>
          <w:kern w:val="0"/>
          <w:sz w:val="32"/>
          <w:szCs w:val="32"/>
        </w:rPr>
      </w:pPr>
    </w:p>
    <w:p>
      <w:pPr>
        <w:pStyle w:val="2"/>
        <w:rPr>
          <w:rFonts w:hint="eastAsia" w:ascii="黑体" w:hAnsi="黑体" w:eastAsia="黑体" w:cs="宋体"/>
          <w:kern w:val="0"/>
          <w:sz w:val="32"/>
          <w:szCs w:val="32"/>
        </w:rPr>
      </w:pPr>
    </w:p>
    <w:p>
      <w:pPr>
        <w:spacing w:line="560" w:lineRule="exact"/>
        <w:rPr>
          <w:rFonts w:ascii="黑体" w:hAnsi="黑体" w:eastAsia="黑体" w:cs="宋体"/>
          <w:kern w:val="0"/>
          <w:sz w:val="32"/>
          <w:szCs w:val="32"/>
        </w:rPr>
      </w:pPr>
      <w:r>
        <w:rPr>
          <w:rFonts w:hint="eastAsia" w:ascii="黑体" w:hAnsi="黑体" w:eastAsia="黑体" w:cs="宋体"/>
          <w:kern w:val="0"/>
          <w:sz w:val="32"/>
          <w:szCs w:val="32"/>
        </w:rPr>
        <w:t>附件1</w:t>
      </w:r>
      <w:r>
        <w:rPr>
          <w:rFonts w:hint="eastAsia" w:ascii="黑体" w:hAnsi="黑体" w:eastAsia="黑体" w:cs="宋体"/>
          <w:kern w:val="0"/>
          <w:sz w:val="32"/>
          <w:szCs w:val="32"/>
        </w:rPr>
        <w:tab/>
      </w:r>
      <w:r>
        <w:rPr>
          <w:rFonts w:hint="eastAsia" w:ascii="黑体" w:hAnsi="黑体" w:eastAsia="黑体" w:cs="宋体"/>
          <w:kern w:val="0"/>
          <w:sz w:val="32"/>
          <w:szCs w:val="32"/>
        </w:rPr>
        <w:tab/>
      </w:r>
    </w:p>
    <w:p>
      <w:pPr>
        <w:spacing w:line="560" w:lineRule="exact"/>
        <w:jc w:val="center"/>
        <w:rPr>
          <w:rFonts w:hint="eastAsia" w:eastAsia="方正小标宋_GBK"/>
          <w:kern w:val="0"/>
          <w:sz w:val="36"/>
          <w:szCs w:val="36"/>
        </w:rPr>
      </w:pPr>
      <w:r>
        <w:rPr>
          <w:rFonts w:ascii="方正小标宋_GBK" w:hAnsi="方正小标宋_GBK" w:eastAsia="方正小标宋_GBK"/>
          <w:kern w:val="0"/>
          <w:sz w:val="36"/>
          <w:szCs w:val="36"/>
        </w:rPr>
        <w:t>部门整体支出绩效评价基础数据表</w:t>
      </w:r>
    </w:p>
    <w:p>
      <w:pPr>
        <w:widowControl/>
        <w:ind w:left="91"/>
        <w:jc w:val="center"/>
        <w:rPr>
          <w:rFonts w:eastAsia="仿宋_GB2312"/>
          <w:kern w:val="0"/>
          <w:sz w:val="24"/>
          <w:szCs w:val="24"/>
        </w:rPr>
      </w:pPr>
      <w:r>
        <w:rPr>
          <w:rFonts w:eastAsia="仿宋_GB2312"/>
          <w:kern w:val="0"/>
          <w:sz w:val="24"/>
          <w:szCs w:val="24"/>
        </w:rPr>
        <w:tab/>
      </w:r>
    </w:p>
    <w:tbl>
      <w:tblPr>
        <w:tblStyle w:val="6"/>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财政供养人员情况</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rPr>
            </w:pPr>
            <w:r>
              <w:rPr>
                <w:rFonts w:eastAsia="仿宋_GB2312"/>
                <w:b/>
                <w:bCs/>
                <w:kern w:val="0"/>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rPr>
            </w:pPr>
            <w:r>
              <w:rPr>
                <w:rFonts w:eastAsia="仿宋_GB2312"/>
                <w:b/>
                <w:bCs/>
                <w:kern w:val="0"/>
              </w:rPr>
              <w:t>20</w:t>
            </w:r>
            <w:r>
              <w:rPr>
                <w:b/>
                <w:bCs/>
                <w:kern w:val="0"/>
              </w:rPr>
              <w:t>2</w:t>
            </w:r>
            <w:r>
              <w:rPr>
                <w:rFonts w:hint="eastAsia"/>
                <w:b/>
                <w:bCs/>
                <w:kern w:val="0"/>
                <w:lang w:val="en-US" w:eastAsia="zh-CN"/>
              </w:rPr>
              <w:t>1</w:t>
            </w:r>
            <w:r>
              <w:rPr>
                <w:rFonts w:eastAsia="仿宋_GB2312"/>
                <w:b/>
                <w:bCs/>
                <w:kern w:val="0"/>
              </w:rPr>
              <w:t>年实际在职人数</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rPr>
            </w:pPr>
            <w:r>
              <w:rPr>
                <w:rFonts w:eastAsia="仿宋_GB2312"/>
                <w:b/>
                <w:bCs/>
                <w:kern w:val="0"/>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lang w:val="en-US" w:eastAsia="zh-CN"/>
              </w:rPr>
            </w:pPr>
            <w:r>
              <w:rPr>
                <w:rFonts w:hint="eastAsia" w:eastAsia="仿宋_GB2312"/>
                <w:kern w:val="0"/>
                <w:lang w:val="en-US" w:eastAsia="zh-CN"/>
              </w:rPr>
              <w:t>75</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lang w:val="en-US" w:eastAsia="zh-CN"/>
              </w:rPr>
            </w:pPr>
            <w:r>
              <w:rPr>
                <w:rFonts w:hint="eastAsia" w:eastAsia="仿宋_GB2312"/>
                <w:kern w:val="0"/>
                <w:lang w:val="en-US" w:eastAsia="zh-CN"/>
              </w:rPr>
              <w:t>62</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82.67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经费控制情况</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rPr>
            </w:pPr>
            <w:r>
              <w:rPr>
                <w:rFonts w:eastAsia="仿宋_GB2312"/>
                <w:b/>
                <w:bCs/>
                <w:kern w:val="0"/>
              </w:rPr>
              <w:t>20</w:t>
            </w:r>
            <w:r>
              <w:rPr>
                <w:rFonts w:hint="eastAsia" w:eastAsia="仿宋_GB2312"/>
                <w:b/>
                <w:bCs/>
                <w:kern w:val="0"/>
                <w:lang w:val="en-US" w:eastAsia="zh-CN"/>
              </w:rPr>
              <w:t>20</w:t>
            </w:r>
            <w:r>
              <w:rPr>
                <w:rFonts w:eastAsia="仿宋_GB2312"/>
                <w:b/>
                <w:bCs/>
                <w:kern w:val="0"/>
              </w:rPr>
              <w:t>年决算数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rPr>
            </w:pPr>
            <w:r>
              <w:rPr>
                <w:rFonts w:eastAsia="仿宋_GB2312"/>
                <w:b/>
                <w:bCs/>
                <w:kern w:val="0"/>
              </w:rPr>
              <w:t>20</w:t>
            </w:r>
            <w:r>
              <w:rPr>
                <w:b/>
                <w:bCs/>
                <w:kern w:val="0"/>
              </w:rPr>
              <w:t>2</w:t>
            </w:r>
            <w:r>
              <w:rPr>
                <w:rFonts w:hint="eastAsia"/>
                <w:b/>
                <w:bCs/>
                <w:kern w:val="0"/>
                <w:lang w:val="en-US" w:eastAsia="zh-CN"/>
              </w:rPr>
              <w:t>1</w:t>
            </w:r>
            <w:r>
              <w:rPr>
                <w:rFonts w:eastAsia="仿宋_GB2312"/>
                <w:b/>
                <w:bCs/>
                <w:kern w:val="0"/>
              </w:rPr>
              <w:t>年预算数</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rPr>
            </w:pPr>
            <w:r>
              <w:rPr>
                <w:rFonts w:eastAsia="仿宋_GB2312"/>
                <w:b/>
                <w:bCs/>
                <w:kern w:val="0"/>
              </w:rPr>
              <w:t>20</w:t>
            </w:r>
            <w:r>
              <w:rPr>
                <w:b/>
                <w:bCs/>
                <w:kern w:val="0"/>
              </w:rPr>
              <w:t>2</w:t>
            </w:r>
            <w:r>
              <w:rPr>
                <w:rFonts w:hint="eastAsia"/>
                <w:b/>
                <w:bCs/>
                <w:kern w:val="0"/>
                <w:lang w:val="en-US" w:eastAsia="zh-CN"/>
              </w:rPr>
              <w:t>1</w:t>
            </w:r>
            <w:r>
              <w:rPr>
                <w:rFonts w:eastAsia="仿宋_GB2312"/>
                <w:b/>
                <w:bCs/>
                <w:kern w:val="0"/>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三公经费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kern w:val="0"/>
                <w:lang w:val="en-US" w:eastAsia="zh-CN"/>
              </w:rPr>
            </w:pPr>
            <w:r>
              <w:rPr>
                <w:rFonts w:hint="eastAsia" w:eastAsia="仿宋_GB2312"/>
                <w:kern w:val="0"/>
                <w:lang w:val="en-US" w:eastAsia="zh-CN"/>
              </w:rPr>
              <w:t>4</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7</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1</w:t>
            </w:r>
            <w:r>
              <w:rPr>
                <w:rFonts w:ascii="仿宋_GB2312" w:hAnsi="仿宋_GB2312" w:eastAsia="仿宋_GB2312"/>
                <w:kern w:val="0"/>
              </w:rPr>
              <w:t>、公务用车购置和维护经费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2.37</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kern w:val="0"/>
                <w:lang w:val="en-US" w:eastAsia="zh-CN"/>
              </w:rPr>
            </w:pPr>
            <w:r>
              <w:rPr>
                <w:rFonts w:hint="eastAsia" w:eastAsia="仿宋_GB2312"/>
                <w:kern w:val="0"/>
                <w:lang w:val="en-US" w:eastAsia="zh-CN"/>
              </w:rPr>
              <w:t>4</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其中：公车购置</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公车运行维护</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lang w:val="en-US"/>
              </w:rPr>
            </w:pPr>
            <w:r>
              <w:rPr>
                <w:rFonts w:hint="eastAsia" w:eastAsia="仿宋_GB2312"/>
                <w:kern w:val="0"/>
                <w:lang w:val="en-US" w:eastAsia="zh-CN"/>
              </w:rPr>
              <w:t>2.37</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kern w:val="0"/>
                <w:lang w:val="en-US" w:eastAsia="zh-CN"/>
              </w:rPr>
            </w:pPr>
            <w:r>
              <w:rPr>
                <w:rFonts w:hint="eastAsia" w:eastAsia="仿宋_GB2312"/>
                <w:kern w:val="0"/>
                <w:lang w:val="en-US" w:eastAsia="zh-CN"/>
              </w:rPr>
              <w:t>4</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lang w:val="en-US"/>
              </w:rPr>
            </w:pPr>
            <w:r>
              <w:rPr>
                <w:rFonts w:hint="eastAsia" w:eastAsia="仿宋_GB2312"/>
                <w:kern w:val="0"/>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2</w:t>
            </w:r>
            <w:r>
              <w:rPr>
                <w:rFonts w:ascii="仿宋_GB2312" w:hAnsi="仿宋_GB2312" w:eastAsia="仿宋_GB2312"/>
                <w:kern w:val="0"/>
              </w:rPr>
              <w:t>、出国经费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3</w:t>
            </w:r>
            <w:r>
              <w:rPr>
                <w:rFonts w:ascii="仿宋_GB2312" w:hAnsi="仿宋_GB2312" w:eastAsia="仿宋_GB2312"/>
                <w:kern w:val="0"/>
              </w:rPr>
              <w:t>、公务接待</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1.63</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3</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项目支出：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318.55</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254.7</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lang w:val="en-US" w:eastAsia="zh-CN"/>
              </w:rPr>
            </w:pPr>
            <w:r>
              <w:rPr>
                <w:rFonts w:hint="eastAsia" w:eastAsia="仿宋_GB2312"/>
                <w:kern w:val="0"/>
                <w:lang w:val="en-US" w:eastAsia="zh-CN"/>
              </w:rPr>
              <w:t>317.23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1</w:t>
            </w:r>
            <w:r>
              <w:rPr>
                <w:rFonts w:ascii="仿宋_GB2312" w:hAnsi="仿宋_GB2312" w:eastAsia="仿宋_GB2312"/>
                <w:kern w:val="0"/>
              </w:rPr>
              <w:t>、业务工作经费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2</w:t>
            </w:r>
            <w:r>
              <w:rPr>
                <w:rFonts w:ascii="仿宋_GB2312" w:hAnsi="仿宋_GB2312" w:eastAsia="仿宋_GB2312"/>
                <w:kern w:val="0"/>
              </w:rPr>
              <w:t>、运行维护经费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jc w:val="left"/>
              <w:rPr>
                <w:rFonts w:ascii="仿宋_GB2312" w:hAnsi="仿宋_GB2312"/>
                <w:kern w:val="0"/>
              </w:rPr>
            </w:pPr>
            <w:r>
              <w:rPr>
                <w:rFonts w:eastAsia="仿宋_GB2312"/>
                <w:kern w:val="0"/>
              </w:rPr>
              <w:t>3</w:t>
            </w:r>
            <w:r>
              <w:rPr>
                <w:rFonts w:ascii="仿宋_GB2312" w:hAnsi="仿宋_GB2312" w:eastAsia="仿宋_GB2312"/>
                <w:kern w:val="0"/>
              </w:rPr>
              <w:t>、</w:t>
            </w:r>
            <w:r>
              <w:rPr>
                <w:rFonts w:ascii="仿宋_GB2312" w:hAnsi="仿宋_GB2312"/>
                <w:kern w:val="0"/>
              </w:rPr>
              <w:t>本</w:t>
            </w:r>
            <w:r>
              <w:rPr>
                <w:rFonts w:eastAsia="仿宋_GB2312"/>
                <w:kern w:val="0"/>
              </w:rPr>
              <w:t>级专项资金</w:t>
            </w:r>
          </w:p>
          <w:p>
            <w:pPr>
              <w:widowControl/>
              <w:ind w:firstLine="630" w:firstLineChars="300"/>
              <w:jc w:val="left"/>
              <w:rPr>
                <w:rFonts w:eastAsia="仿宋_GB2312"/>
                <w:kern w:val="0"/>
              </w:rPr>
            </w:pPr>
            <w:r>
              <w:rPr>
                <w:rFonts w:eastAsia="仿宋_GB2312"/>
                <w:kern w:val="0"/>
              </w:rPr>
              <w:t>（一个专项一行）</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jc w:val="left"/>
              <w:rPr>
                <w:rFonts w:eastAsia="仿宋_GB2312"/>
                <w:kern w:val="0"/>
              </w:rPr>
            </w:pPr>
            <w:r>
              <w:rPr>
                <w:rFonts w:eastAsia="仿宋_GB2312"/>
                <w:kern w:val="0"/>
              </w:rPr>
              <w:t>4</w:t>
            </w:r>
            <w:r>
              <w:rPr>
                <w:rFonts w:ascii="仿宋_GB2312" w:hAnsi="仿宋_GB2312" w:eastAsia="仿宋_GB2312"/>
                <w:kern w:val="0"/>
              </w:rPr>
              <w:t>、其他事业类发展资金</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公用经费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75.5</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lang w:val="en-US" w:eastAsia="zh-CN"/>
              </w:rPr>
            </w:pPr>
            <w:r>
              <w:rPr>
                <w:rFonts w:hint="eastAsia" w:eastAsia="仿宋_GB2312"/>
                <w:kern w:val="0"/>
                <w:lang w:val="en-US" w:eastAsia="zh-CN"/>
              </w:rPr>
              <w:t>22.7</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61.38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其中：办公费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lang w:val="en-US" w:eastAsia="zh-CN"/>
              </w:rPr>
            </w:pPr>
            <w:r>
              <w:rPr>
                <w:rFonts w:hint="eastAsia" w:eastAsia="仿宋_GB2312"/>
                <w:kern w:val="0"/>
                <w:lang w:val="en-US" w:eastAsia="zh-CN"/>
              </w:rPr>
              <w:t>9.44</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kern w:val="0"/>
                <w:lang w:val="en-US" w:eastAsia="zh-CN"/>
              </w:rPr>
            </w:pPr>
            <w:r>
              <w:rPr>
                <w:rFonts w:hint="eastAsia" w:eastAsia="仿宋_GB2312"/>
                <w:kern w:val="0"/>
                <w:lang w:val="en-US" w:eastAsia="zh-CN"/>
              </w:rPr>
              <w:t>3</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lang w:val="en-US" w:eastAsia="zh-CN"/>
              </w:rPr>
            </w:pPr>
            <w:r>
              <w:rPr>
                <w:rFonts w:hint="eastAsia" w:eastAsia="仿宋_GB2312"/>
                <w:kern w:val="0"/>
                <w:lang w:val="en-US" w:eastAsia="zh-CN"/>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水费、电费、差旅费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kern w:val="0"/>
                <w:lang w:val="en-US" w:eastAsia="zh-CN"/>
              </w:rPr>
            </w:pPr>
            <w:r>
              <w:rPr>
                <w:rFonts w:hint="eastAsia" w:eastAsia="仿宋_GB2312"/>
                <w:kern w:val="0"/>
                <w:lang w:val="en-US" w:eastAsia="zh-CN"/>
              </w:rPr>
              <w:t>11.94</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kern w:val="0"/>
                <w:lang w:val="en-US" w:eastAsia="zh-CN"/>
              </w:rPr>
            </w:pPr>
            <w:r>
              <w:rPr>
                <w:rFonts w:hint="eastAsia" w:eastAsia="仿宋_GB2312"/>
                <w:kern w:val="0"/>
                <w:lang w:val="en-US" w:eastAsia="zh-CN"/>
              </w:rPr>
              <w:t>5</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kern w:val="0"/>
                <w:lang w:val="en-US" w:eastAsia="zh-CN"/>
              </w:rPr>
            </w:pPr>
            <w:r>
              <w:rPr>
                <w:rFonts w:hint="eastAsia" w:eastAsia="仿宋_GB2312"/>
                <w:kern w:val="0"/>
                <w:lang w:val="en-US" w:eastAsia="zh-CN"/>
              </w:rPr>
              <w:t>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会议费、培训费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lang w:val="en-US" w:eastAsia="zh-CN"/>
              </w:rPr>
            </w:pPr>
            <w:r>
              <w:rPr>
                <w:rFonts w:hint="eastAsia" w:eastAsia="仿宋_GB2312"/>
                <w:kern w:val="0"/>
                <w:lang w:val="en-US" w:eastAsia="zh-CN"/>
              </w:rPr>
              <w:t>0.17</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kern w:val="0"/>
                <w:lang w:val="en-US" w:eastAsia="zh-CN"/>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kern w:val="0"/>
                <w:lang w:val="en-US" w:eastAsia="zh-CN"/>
              </w:rPr>
            </w:pPr>
            <w:r>
              <w:rPr>
                <w:rFonts w:hint="eastAsia" w:eastAsia="仿宋_GB2312"/>
                <w:kern w:val="0"/>
                <w:lang w:val="en-US" w:eastAsia="zh-CN"/>
              </w:rPr>
              <w:t>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政府采购金额</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lang w:val="en-US" w:eastAsia="zh-CN"/>
              </w:rPr>
            </w:pPr>
            <w:r>
              <w:rPr>
                <w:rFonts w:hint="eastAsia" w:eastAsia="仿宋_GB2312"/>
                <w:kern w:val="0"/>
                <w:lang w:val="en-US" w:eastAsia="zh-CN"/>
              </w:rPr>
              <w:t>47.7</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部门基本支出预算调整 </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eastAsia="仿宋_GB2312"/>
                <w:kern w:val="0"/>
                <w:lang w:eastAsia="zh-CN"/>
              </w:rPr>
            </w:pPr>
            <w:r>
              <w:rPr>
                <w:rFonts w:eastAsia="仿宋_GB2312"/>
                <w:kern w:val="0"/>
              </w:rPr>
              <w:t>楼堂馆所控制情况</w:t>
            </w:r>
          </w:p>
          <w:p>
            <w:pPr>
              <w:widowControl/>
              <w:jc w:val="center"/>
              <w:rPr>
                <w:rFonts w:eastAsia="仿宋_GB2312"/>
                <w:kern w:val="0"/>
              </w:rPr>
            </w:pPr>
            <w:r>
              <w:rPr>
                <w:rFonts w:eastAsia="仿宋_GB2312"/>
                <w:kern w:val="0"/>
              </w:rPr>
              <w:t>（20</w:t>
            </w:r>
            <w:r>
              <w:rPr>
                <w:kern w:val="0"/>
              </w:rPr>
              <w:t>2</w:t>
            </w:r>
            <w:r>
              <w:rPr>
                <w:rFonts w:hint="eastAsia"/>
                <w:kern w:val="0"/>
                <w:lang w:val="en-US" w:eastAsia="zh-CN"/>
              </w:rPr>
              <w:t>1</w:t>
            </w:r>
            <w:r>
              <w:rPr>
                <w:rFonts w:eastAsia="仿宋_GB2312"/>
                <w:kern w:val="0"/>
              </w:rPr>
              <w:t>年完工项目）</w:t>
            </w:r>
          </w:p>
        </w:tc>
        <w:tc>
          <w:tcPr>
            <w:tcW w:w="118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eastAsia="仿宋_GB2312"/>
                <w:bCs/>
                <w:kern w:val="0"/>
                <w:lang w:eastAsia="zh-CN"/>
              </w:rPr>
            </w:pPr>
            <w:r>
              <w:rPr>
                <w:rFonts w:eastAsia="仿宋_GB2312"/>
                <w:bCs/>
                <w:kern w:val="0"/>
              </w:rPr>
              <w:t>批复规模</w:t>
            </w:r>
          </w:p>
          <w:p>
            <w:pPr>
              <w:widowControl/>
              <w:spacing w:line="240" w:lineRule="exact"/>
              <w:jc w:val="center"/>
              <w:rPr>
                <w:rFonts w:eastAsia="仿宋_GB2312"/>
                <w:bCs/>
                <w:kern w:val="0"/>
              </w:rPr>
            </w:pPr>
            <w:r>
              <w:rPr>
                <w:rFonts w:eastAsia="仿宋_GB2312"/>
                <w:bCs/>
                <w:kern w:val="0"/>
              </w:rPr>
              <w:t>（</w:t>
            </w:r>
            <w:r>
              <w:rPr>
                <w:rFonts w:eastAsia="Batang"/>
                <w:bCs/>
                <w:kern w:val="0"/>
              </w:rPr>
              <w:t>㎡</w:t>
            </w:r>
            <w:r>
              <w:rPr>
                <w:rFonts w:eastAsia="仿宋_GB2312"/>
                <w:bCs/>
                <w:kern w:val="0"/>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bCs/>
                <w:kern w:val="0"/>
              </w:rPr>
            </w:pPr>
            <w:r>
              <w:rPr>
                <w:rFonts w:eastAsia="仿宋_GB2312"/>
                <w:bCs/>
                <w:kern w:val="0"/>
              </w:rPr>
              <w:t>实际规模（</w:t>
            </w:r>
            <w:r>
              <w:rPr>
                <w:rFonts w:eastAsia="Batang"/>
                <w:bCs/>
                <w:kern w:val="0"/>
              </w:rPr>
              <w:t>㎡</w:t>
            </w:r>
            <w:r>
              <w:rPr>
                <w:rFonts w:eastAsia="仿宋_GB2312"/>
                <w:bCs/>
                <w:kern w:val="0"/>
              </w:rPr>
              <w:t>）</w:t>
            </w:r>
          </w:p>
        </w:tc>
        <w:tc>
          <w:tcPr>
            <w:tcW w:w="112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bCs/>
                <w:kern w:val="0"/>
              </w:rPr>
            </w:pPr>
            <w:r>
              <w:rPr>
                <w:rFonts w:eastAsia="仿宋_GB2312"/>
                <w:bCs/>
                <w:kern w:val="0"/>
              </w:rPr>
              <w:t>规模控制率</w:t>
            </w:r>
          </w:p>
        </w:tc>
        <w:tc>
          <w:tcPr>
            <w:tcW w:w="111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bCs/>
                <w:kern w:val="0"/>
              </w:rPr>
            </w:pPr>
            <w:r>
              <w:rPr>
                <w:rFonts w:eastAsia="仿宋_GB2312"/>
                <w:bCs/>
                <w:kern w:val="0"/>
              </w:rPr>
              <w:t>预算投资（万元）</w:t>
            </w:r>
          </w:p>
        </w:tc>
        <w:tc>
          <w:tcPr>
            <w:tcW w:w="96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bCs/>
                <w:kern w:val="0"/>
              </w:rPr>
            </w:pPr>
            <w:r>
              <w:rPr>
                <w:rFonts w:eastAsia="仿宋_GB2312"/>
                <w:bCs/>
                <w:kern w:val="0"/>
              </w:rPr>
              <w:t>实际投资（万元）</w:t>
            </w:r>
          </w:p>
        </w:tc>
        <w:tc>
          <w:tcPr>
            <w:tcW w:w="86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bCs/>
                <w:kern w:val="0"/>
              </w:rPr>
            </w:pPr>
            <w:r>
              <w:rPr>
                <w:rFonts w:eastAsia="仿宋_GB2312"/>
                <w:bCs/>
                <w:kern w:val="0"/>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rPr>
            </w:pPr>
          </w:p>
        </w:tc>
        <w:tc>
          <w:tcPr>
            <w:tcW w:w="1189"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仿宋_GB2312"/>
                <w:kern w:val="0"/>
                <w:lang w:val="en-US" w:eastAsia="zh-CN"/>
              </w:rPr>
            </w:pPr>
            <w:r>
              <w:rPr>
                <w:rFonts w:hint="eastAsia" w:eastAsia="仿宋_GB2312"/>
                <w:kern w:val="0"/>
                <w:lang w:val="en-US" w:eastAsia="zh-CN"/>
              </w:rPr>
              <w:t>0</w:t>
            </w:r>
          </w:p>
        </w:tc>
        <w:tc>
          <w:tcPr>
            <w:tcW w:w="849"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仿宋_GB2312"/>
                <w:kern w:val="0"/>
                <w:lang w:val="en-US" w:eastAsia="zh-CN"/>
              </w:rPr>
            </w:pPr>
            <w:r>
              <w:rPr>
                <w:rFonts w:eastAsia="仿宋_GB2312"/>
                <w:kern w:val="0"/>
              </w:rPr>
              <w:t>　</w:t>
            </w:r>
            <w:r>
              <w:rPr>
                <w:rFonts w:hint="eastAsia" w:eastAsia="仿宋_GB2312"/>
                <w:kern w:val="0"/>
                <w:lang w:val="en-US" w:eastAsia="zh-CN"/>
              </w:rPr>
              <w:t>0</w:t>
            </w:r>
          </w:p>
        </w:tc>
        <w:tc>
          <w:tcPr>
            <w:tcW w:w="1129"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仿宋_GB2312"/>
                <w:kern w:val="0"/>
                <w:lang w:val="en-US" w:eastAsia="zh-CN"/>
              </w:rPr>
            </w:pPr>
            <w:r>
              <w:rPr>
                <w:rFonts w:eastAsia="仿宋_GB2312"/>
                <w:kern w:val="0"/>
              </w:rPr>
              <w:t>　</w:t>
            </w:r>
            <w:r>
              <w:rPr>
                <w:rFonts w:hint="eastAsia" w:eastAsia="仿宋_GB2312"/>
                <w:kern w:val="0"/>
                <w:lang w:val="en-US" w:eastAsia="zh-CN"/>
              </w:rPr>
              <w:t>0</w:t>
            </w:r>
          </w:p>
        </w:tc>
        <w:tc>
          <w:tcPr>
            <w:tcW w:w="1111"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仿宋_GB2312"/>
                <w:kern w:val="0"/>
                <w:lang w:val="en-US" w:eastAsia="zh-CN"/>
              </w:rPr>
            </w:pPr>
            <w:r>
              <w:rPr>
                <w:rFonts w:eastAsia="仿宋_GB2312"/>
                <w:kern w:val="0"/>
              </w:rPr>
              <w:t>　</w:t>
            </w:r>
            <w:r>
              <w:rPr>
                <w:rFonts w:hint="eastAsia" w:eastAsia="仿宋_GB2312"/>
                <w:kern w:val="0"/>
                <w:lang w:val="en-US" w:eastAsia="zh-CN"/>
              </w:rPr>
              <w:t>0</w:t>
            </w:r>
          </w:p>
        </w:tc>
        <w:tc>
          <w:tcPr>
            <w:tcW w:w="969"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仿宋_GB2312"/>
                <w:kern w:val="0"/>
                <w:lang w:val="en-US" w:eastAsia="zh-CN"/>
              </w:rPr>
            </w:pPr>
            <w:r>
              <w:rPr>
                <w:rFonts w:eastAsia="仿宋_GB2312"/>
                <w:kern w:val="0"/>
              </w:rPr>
              <w:t>　</w:t>
            </w:r>
            <w:r>
              <w:rPr>
                <w:rFonts w:hint="eastAsia" w:eastAsia="仿宋_GB2312"/>
                <w:kern w:val="0"/>
                <w:lang w:val="en-US" w:eastAsia="zh-CN"/>
              </w:rPr>
              <w:t>0</w:t>
            </w:r>
          </w:p>
        </w:tc>
        <w:tc>
          <w:tcPr>
            <w:tcW w:w="863"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仿宋_GB2312"/>
                <w:kern w:val="0"/>
                <w:lang w:val="en-US" w:eastAsia="zh-CN"/>
              </w:rPr>
            </w:pPr>
            <w:r>
              <w:rPr>
                <w:rFonts w:eastAsia="仿宋_GB2312"/>
                <w:kern w:val="0"/>
              </w:rPr>
              <w:t>　</w:t>
            </w:r>
            <w:r>
              <w:rPr>
                <w:rFonts w:hint="eastAsia" w:eastAsia="仿宋_GB2312"/>
                <w:kern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厉行节约保障措施</w:t>
            </w:r>
          </w:p>
        </w:tc>
        <w:tc>
          <w:tcPr>
            <w:tcW w:w="6110" w:type="dxa"/>
            <w:gridSpan w:val="6"/>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eastAsia="zh-CN"/>
              </w:rPr>
              <w:t>压缩开支，厉行节约</w:t>
            </w:r>
            <w:r>
              <w:rPr>
                <w:rFonts w:eastAsia="仿宋_GB2312"/>
                <w:kern w:val="0"/>
              </w:rPr>
              <w:t>　</w:t>
            </w:r>
          </w:p>
        </w:tc>
      </w:tr>
    </w:tbl>
    <w:p>
      <w:pPr>
        <w:spacing w:line="360" w:lineRule="exact"/>
        <w:rPr>
          <w:rFonts w:ascii="仿宋_GB2312" w:hAnsi="仿宋_GB2312" w:eastAsia="仿宋_GB2312"/>
          <w:kern w:val="0"/>
          <w:sz w:val="22"/>
          <w:szCs w:val="22"/>
        </w:rPr>
      </w:pPr>
      <w:r>
        <w:rPr>
          <w:rFonts w:ascii="仿宋_GB2312" w:hAnsi="仿宋_GB2312" w:eastAsia="仿宋_GB2312"/>
          <w:kern w:val="0"/>
          <w:sz w:val="22"/>
          <w:szCs w:val="22"/>
        </w:rPr>
        <w:t>说明：</w:t>
      </w:r>
      <w:r>
        <w:rPr>
          <w:rFonts w:eastAsia="仿宋_GB2312"/>
          <w:kern w:val="0"/>
          <w:sz w:val="22"/>
          <w:szCs w:val="22"/>
        </w:rPr>
        <w:t>“</w:t>
      </w:r>
      <w:r>
        <w:rPr>
          <w:rFonts w:ascii="仿宋_GB2312" w:hAnsi="仿宋_GB2312" w:eastAsia="仿宋_GB2312"/>
          <w:kern w:val="0"/>
          <w:sz w:val="22"/>
          <w:szCs w:val="22"/>
        </w:rPr>
        <w:t>项目支出</w:t>
      </w:r>
      <w:r>
        <w:rPr>
          <w:rFonts w:eastAsia="仿宋_GB2312"/>
          <w:kern w:val="0"/>
          <w:sz w:val="22"/>
          <w:szCs w:val="22"/>
        </w:rPr>
        <w:t>”</w:t>
      </w:r>
      <w:r>
        <w:rPr>
          <w:rFonts w:ascii="仿宋_GB2312" w:hAnsi="仿宋_GB2312" w:eastAsia="仿宋_GB2312"/>
          <w:kern w:val="0"/>
          <w:sz w:val="22"/>
          <w:szCs w:val="22"/>
        </w:rPr>
        <w:t>需要填报基本支出以外的所有项目支出情况，</w:t>
      </w:r>
      <w:r>
        <w:rPr>
          <w:rFonts w:eastAsia="仿宋_GB2312"/>
          <w:kern w:val="0"/>
          <w:sz w:val="22"/>
          <w:szCs w:val="22"/>
        </w:rPr>
        <w:t>“</w:t>
      </w:r>
      <w:r>
        <w:rPr>
          <w:rFonts w:ascii="仿宋_GB2312" w:hAnsi="仿宋_GB2312" w:eastAsia="仿宋_GB2312"/>
          <w:kern w:val="0"/>
          <w:sz w:val="22"/>
          <w:szCs w:val="22"/>
        </w:rPr>
        <w:t>公用经费</w:t>
      </w:r>
      <w:r>
        <w:rPr>
          <w:rFonts w:eastAsia="仿宋_GB2312"/>
          <w:kern w:val="0"/>
          <w:sz w:val="22"/>
          <w:szCs w:val="22"/>
        </w:rPr>
        <w:t>”</w:t>
      </w:r>
      <w:r>
        <w:rPr>
          <w:rFonts w:ascii="仿宋_GB2312" w:hAnsi="仿宋_GB2312" w:eastAsia="仿宋_GB2312"/>
          <w:kern w:val="0"/>
          <w:sz w:val="22"/>
          <w:szCs w:val="22"/>
        </w:rPr>
        <w:t>填报基本支出中的一般商品和服务支出。</w:t>
      </w:r>
    </w:p>
    <w:p>
      <w:pPr>
        <w:widowControl/>
        <w:jc w:val="left"/>
        <w:rPr>
          <w:rFonts w:hint="eastAsia" w:ascii="仿宋_GB2312" w:hAnsi="仿宋_GB2312" w:eastAsia="宋体"/>
          <w:kern w:val="0"/>
          <w:lang w:eastAsia="zh-CN"/>
        </w:rPr>
      </w:pPr>
      <w:r>
        <w:rPr>
          <w:rFonts w:ascii="仿宋_GB2312" w:hAnsi="仿宋_GB2312"/>
          <w:kern w:val="0"/>
        </w:rPr>
        <w:t>填表人：</w:t>
      </w:r>
      <w:r>
        <w:rPr>
          <w:rFonts w:hint="eastAsia" w:ascii="仿宋_GB2312" w:hAnsi="仿宋_GB2312"/>
          <w:kern w:val="0"/>
          <w:lang w:eastAsia="zh-CN"/>
        </w:rPr>
        <w:t>文海娟</w:t>
      </w:r>
      <w:r>
        <w:rPr>
          <w:rFonts w:ascii="仿宋_GB2312" w:hAnsi="仿宋_GB2312"/>
          <w:kern w:val="0"/>
        </w:rPr>
        <w:t xml:space="preserve">    联系电话：</w:t>
      </w:r>
      <w:r>
        <w:rPr>
          <w:rFonts w:hint="eastAsia" w:ascii="仿宋_GB2312" w:hAnsi="仿宋_GB2312"/>
          <w:kern w:val="0"/>
          <w:lang w:val="en-US" w:eastAsia="zh-CN"/>
        </w:rPr>
        <w:t>7723477</w:t>
      </w:r>
      <w:r>
        <w:rPr>
          <w:rFonts w:ascii="仿宋_GB2312" w:hAnsi="仿宋_GB2312"/>
          <w:kern w:val="0"/>
        </w:rPr>
        <w:t xml:space="preserve">  填报日期：</w:t>
      </w:r>
      <w:r>
        <w:rPr>
          <w:rFonts w:hint="eastAsia" w:ascii="仿宋_GB2312" w:hAnsi="仿宋_GB2312"/>
          <w:kern w:val="0"/>
          <w:lang w:val="en-US" w:eastAsia="zh-CN"/>
        </w:rPr>
        <w:t>2022.6.29</w:t>
      </w:r>
      <w:r>
        <w:rPr>
          <w:rFonts w:ascii="仿宋_GB2312" w:hAnsi="仿宋_GB2312"/>
          <w:kern w:val="0"/>
        </w:rPr>
        <w:t xml:space="preserve">  单位负责人签字：</w:t>
      </w:r>
      <w:r>
        <w:rPr>
          <w:rFonts w:hint="eastAsia" w:ascii="仿宋_GB2312" w:hAnsi="仿宋_GB2312"/>
          <w:kern w:val="0"/>
          <w:lang w:eastAsia="zh-CN"/>
        </w:rPr>
        <w:t>黄毅</w:t>
      </w:r>
    </w:p>
    <w:p>
      <w:pPr>
        <w:spacing w:line="360" w:lineRule="exact"/>
        <w:rPr>
          <w:rFonts w:ascii="黑体" w:hAnsi="黑体" w:eastAsia="黑体"/>
          <w:sz w:val="32"/>
          <w:szCs w:val="32"/>
        </w:rPr>
      </w:pPr>
      <w:r>
        <w:rPr>
          <w:rFonts w:ascii="黑体" w:hAnsi="黑体" w:eastAsia="黑体"/>
          <w:sz w:val="32"/>
          <w:szCs w:val="32"/>
        </w:rPr>
        <w:t>附件</w:t>
      </w:r>
      <w:r>
        <w:rPr>
          <w:rFonts w:hint="eastAsia" w:eastAsia="黑体"/>
          <w:sz w:val="32"/>
          <w:szCs w:val="32"/>
        </w:rPr>
        <w:t>2</w:t>
      </w:r>
    </w:p>
    <w:p>
      <w:pPr>
        <w:widowControl/>
        <w:jc w:val="center"/>
        <w:rPr>
          <w:rFonts w:hint="eastAsia" w:eastAsia="方正小标宋_GBK"/>
          <w:color w:val="000000"/>
          <w:kern w:val="0"/>
          <w:sz w:val="36"/>
          <w:szCs w:val="36"/>
        </w:rPr>
      </w:pPr>
      <w:r>
        <w:rPr>
          <w:rFonts w:ascii="方正小标宋_GBK" w:hAnsi="方正小标宋_GBK" w:eastAsia="方正小标宋_GBK"/>
          <w:color w:val="000000"/>
          <w:kern w:val="0"/>
          <w:sz w:val="36"/>
          <w:szCs w:val="36"/>
        </w:rPr>
        <w:t>部门整体支出绩效自评表</w:t>
      </w:r>
    </w:p>
    <w:p>
      <w:pPr>
        <w:widowControl/>
        <w:jc w:val="center"/>
        <w:rPr>
          <w:rFonts w:eastAsia="仿宋_GB2312"/>
          <w:color w:val="000000"/>
          <w:kern w:val="0"/>
        </w:rPr>
      </w:pPr>
      <w:r>
        <w:rPr>
          <w:rFonts w:ascii="仿宋_GB2312" w:hAnsi="仿宋_GB2312" w:eastAsia="仿宋_GB2312"/>
          <w:color w:val="000000"/>
          <w:kern w:val="0"/>
        </w:rPr>
        <w:t>（</w:t>
      </w:r>
      <w:r>
        <w:rPr>
          <w:rFonts w:hint="eastAsia" w:ascii="仿宋_GB2312" w:hAnsi="仿宋_GB2312" w:eastAsia="仿宋_GB2312"/>
          <w:color w:val="000000"/>
          <w:kern w:val="0"/>
          <w:lang w:val="en-US" w:eastAsia="zh-CN"/>
        </w:rPr>
        <w:t>2021</w:t>
      </w:r>
      <w:r>
        <w:rPr>
          <w:rFonts w:ascii="仿宋_GB2312" w:hAnsi="仿宋_GB2312" w:eastAsia="仿宋_GB2312"/>
          <w:color w:val="000000"/>
          <w:kern w:val="0"/>
        </w:rPr>
        <w:t>年度）</w:t>
      </w:r>
    </w:p>
    <w:tbl>
      <w:tblPr>
        <w:tblStyle w:val="6"/>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395"/>
        <w:gridCol w:w="1252"/>
        <w:gridCol w:w="1114"/>
        <w:gridCol w:w="95"/>
        <w:gridCol w:w="1200"/>
        <w:gridCol w:w="1134"/>
        <w:gridCol w:w="709"/>
        <w:gridCol w:w="898"/>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r>
              <w:rPr>
                <w:rFonts w:hint="eastAsia" w:eastAsia="仿宋_GB2312"/>
                <w:color w:val="000000"/>
                <w:kern w:val="0"/>
                <w:lang w:eastAsia="zh-CN"/>
              </w:rPr>
              <w:t>县</w:t>
            </w:r>
            <w:r>
              <w:rPr>
                <w:rFonts w:eastAsia="仿宋_GB2312"/>
                <w:color w:val="000000"/>
                <w:kern w:val="0"/>
              </w:rPr>
              <w:t>级预算部门名称</w:t>
            </w:r>
          </w:p>
        </w:tc>
        <w:tc>
          <w:tcPr>
            <w:tcW w:w="9243" w:type="dxa"/>
            <w:gridSpan w:val="9"/>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eastAsia="zh-CN"/>
              </w:rPr>
              <w:t>双牌县司法局</w:t>
            </w: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年度预</w:t>
            </w:r>
          </w:p>
          <w:p>
            <w:pPr>
              <w:widowControl/>
              <w:jc w:val="center"/>
              <w:rPr>
                <w:rFonts w:hint="eastAsia" w:eastAsia="仿宋_GB2312"/>
                <w:color w:val="000000"/>
                <w:kern w:val="0"/>
                <w:lang w:eastAsia="zh-CN"/>
              </w:rPr>
            </w:pPr>
            <w:r>
              <w:rPr>
                <w:rFonts w:eastAsia="仿宋_GB2312"/>
                <w:color w:val="000000"/>
                <w:kern w:val="0"/>
              </w:rPr>
              <w:t>算申请</w:t>
            </w:r>
          </w:p>
          <w:p>
            <w:pPr>
              <w:widowControl/>
              <w:jc w:val="center"/>
              <w:rPr>
                <w:rFonts w:eastAsia="仿宋_GB2312"/>
                <w:color w:val="000000"/>
                <w:kern w:val="0"/>
              </w:rPr>
            </w:pPr>
            <w:r>
              <w:rPr>
                <w:rFonts w:eastAsia="仿宋_GB2312"/>
                <w:color w:val="000000"/>
                <w:kern w:val="0"/>
              </w:rPr>
              <w:t>（万元）</w:t>
            </w:r>
          </w:p>
        </w:tc>
        <w:tc>
          <w:tcPr>
            <w:tcW w:w="2647" w:type="dxa"/>
            <w:gridSpan w:val="2"/>
            <w:tcBorders>
              <w:top w:val="single" w:color="auto" w:sz="4" w:space="0"/>
              <w:left w:val="nil"/>
              <w:bottom w:val="single" w:color="auto" w:sz="4" w:space="0"/>
              <w:right w:val="single" w:color="auto" w:sz="4" w:space="0"/>
            </w:tcBorders>
            <w:noWrap w:val="0"/>
            <w:vAlign w:val="center"/>
          </w:tcPr>
          <w:p>
            <w:pPr>
              <w:jc w:val="center"/>
              <w:rPr>
                <w:rFonts w:hint="default" w:eastAsia="仿宋_GB2312"/>
                <w:lang w:val="en-US" w:eastAsia="zh-CN"/>
              </w:rPr>
            </w:pPr>
          </w:p>
        </w:tc>
        <w:tc>
          <w:tcPr>
            <w:tcW w:w="111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rPr>
            </w:pPr>
            <w:r>
              <w:rPr>
                <w:rFonts w:eastAsia="仿宋_GB2312"/>
              </w:rPr>
              <w:t>年初</w:t>
            </w:r>
          </w:p>
          <w:p>
            <w:pPr>
              <w:jc w:val="center"/>
              <w:rPr>
                <w:rFonts w:eastAsia="仿宋_GB2312"/>
              </w:rPr>
            </w:pPr>
            <w:r>
              <w:rPr>
                <w:rFonts w:eastAsia="仿宋_GB2312"/>
              </w:rPr>
              <w:t>预算数</w:t>
            </w:r>
          </w:p>
        </w:tc>
        <w:tc>
          <w:tcPr>
            <w:tcW w:w="1295" w:type="dxa"/>
            <w:gridSpan w:val="2"/>
            <w:tcBorders>
              <w:top w:val="single" w:color="auto" w:sz="4" w:space="0"/>
              <w:left w:val="nil"/>
              <w:bottom w:val="single" w:color="auto" w:sz="4" w:space="0"/>
              <w:right w:val="single" w:color="auto" w:sz="4" w:space="0"/>
            </w:tcBorders>
            <w:noWrap w:val="0"/>
            <w:vAlign w:val="center"/>
          </w:tcPr>
          <w:p>
            <w:pPr>
              <w:jc w:val="center"/>
              <w:rPr>
                <w:rFonts w:eastAsia="仿宋_GB2312"/>
              </w:rPr>
            </w:pPr>
            <w:r>
              <w:rPr>
                <w:rFonts w:eastAsia="仿宋_GB2312"/>
              </w:rPr>
              <w:t>全年预算数</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rPr>
            </w:pPr>
            <w:r>
              <w:rPr>
                <w:rFonts w:eastAsia="仿宋_GB2312"/>
              </w:rPr>
              <w:t>全年</w:t>
            </w:r>
          </w:p>
          <w:p>
            <w:pPr>
              <w:jc w:val="center"/>
              <w:rPr>
                <w:rFonts w:eastAsia="仿宋_GB2312"/>
              </w:rPr>
            </w:pPr>
            <w:r>
              <w:rPr>
                <w:rFonts w:eastAsia="仿宋_GB2312"/>
              </w:rPr>
              <w:t>执行数</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eastAsia="仿宋_GB2312"/>
              </w:rPr>
            </w:pPr>
            <w:r>
              <w:rPr>
                <w:rFonts w:eastAsia="仿宋_GB2312"/>
              </w:rPr>
              <w:t>分值</w:t>
            </w:r>
          </w:p>
        </w:tc>
        <w:tc>
          <w:tcPr>
            <w:tcW w:w="898" w:type="dxa"/>
            <w:tcBorders>
              <w:top w:val="single" w:color="auto" w:sz="4" w:space="0"/>
              <w:left w:val="nil"/>
              <w:bottom w:val="single" w:color="auto" w:sz="4" w:space="0"/>
              <w:right w:val="single" w:color="auto" w:sz="4" w:space="0"/>
            </w:tcBorders>
            <w:noWrap w:val="0"/>
            <w:vAlign w:val="center"/>
          </w:tcPr>
          <w:p>
            <w:pPr>
              <w:jc w:val="center"/>
              <w:rPr>
                <w:rFonts w:eastAsia="仿宋_GB2312"/>
              </w:rPr>
            </w:pPr>
            <w:r>
              <w:rPr>
                <w:rFonts w:eastAsia="仿宋_GB2312"/>
              </w:rPr>
              <w:t>执行率</w:t>
            </w:r>
          </w:p>
        </w:tc>
        <w:tc>
          <w:tcPr>
            <w:tcW w:w="1446" w:type="dxa"/>
            <w:tcBorders>
              <w:top w:val="single" w:color="auto" w:sz="4" w:space="0"/>
              <w:left w:val="nil"/>
              <w:bottom w:val="single" w:color="auto" w:sz="4" w:space="0"/>
              <w:right w:val="single" w:color="auto" w:sz="4" w:space="0"/>
            </w:tcBorders>
            <w:noWrap w:val="0"/>
            <w:vAlign w:val="center"/>
          </w:tcPr>
          <w:p>
            <w:pPr>
              <w:jc w:val="center"/>
              <w:rPr>
                <w:rFonts w:eastAsia="仿宋_GB2312"/>
              </w:rPr>
            </w:pPr>
            <w:r>
              <w:rPr>
                <w:rFonts w:eastAsia="仿宋_GB231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2647" w:type="dxa"/>
            <w:gridSpan w:val="2"/>
            <w:tcBorders>
              <w:top w:val="single" w:color="auto" w:sz="4" w:space="0"/>
              <w:left w:val="nil"/>
              <w:bottom w:val="single" w:color="auto" w:sz="4" w:space="0"/>
              <w:right w:val="single" w:color="auto" w:sz="4" w:space="0"/>
            </w:tcBorders>
            <w:noWrap w:val="0"/>
            <w:vAlign w:val="center"/>
          </w:tcPr>
          <w:p>
            <w:pPr>
              <w:jc w:val="center"/>
              <w:rPr>
                <w:rFonts w:eastAsia="仿宋_GB2312"/>
              </w:rPr>
            </w:pPr>
            <w:r>
              <w:rPr>
                <w:rFonts w:eastAsia="仿宋_GB2312"/>
                <w:color w:val="000000"/>
                <w:kern w:val="0"/>
              </w:rPr>
              <w:t>年度资金总额</w:t>
            </w:r>
          </w:p>
        </w:tc>
        <w:tc>
          <w:tcPr>
            <w:tcW w:w="1114" w:type="dxa"/>
            <w:tcBorders>
              <w:top w:val="single" w:color="auto" w:sz="4" w:space="0"/>
              <w:left w:val="nil"/>
              <w:bottom w:val="single" w:color="auto" w:sz="4" w:space="0"/>
              <w:right w:val="single" w:color="auto" w:sz="4" w:space="0"/>
            </w:tcBorders>
            <w:noWrap w:val="0"/>
            <w:vAlign w:val="center"/>
          </w:tcPr>
          <w:p>
            <w:pPr>
              <w:jc w:val="center"/>
              <w:rPr>
                <w:rFonts w:hint="default" w:eastAsia="仿宋_GB2312"/>
                <w:lang w:val="en-US" w:eastAsia="zh-CN"/>
              </w:rPr>
            </w:pPr>
            <w:r>
              <w:rPr>
                <w:rFonts w:hint="eastAsia" w:eastAsia="仿宋_GB2312"/>
                <w:lang w:val="en-US" w:eastAsia="zh-CN"/>
              </w:rPr>
              <w:t>1032.2</w:t>
            </w:r>
          </w:p>
        </w:tc>
        <w:tc>
          <w:tcPr>
            <w:tcW w:w="1295" w:type="dxa"/>
            <w:gridSpan w:val="2"/>
            <w:tcBorders>
              <w:top w:val="single" w:color="auto" w:sz="4" w:space="0"/>
              <w:left w:val="nil"/>
              <w:bottom w:val="single" w:color="auto" w:sz="4" w:space="0"/>
              <w:right w:val="single" w:color="auto" w:sz="4" w:space="0"/>
            </w:tcBorders>
            <w:noWrap w:val="0"/>
            <w:vAlign w:val="center"/>
          </w:tcPr>
          <w:p>
            <w:pPr>
              <w:jc w:val="center"/>
              <w:rPr>
                <w:rFonts w:hint="default" w:eastAsia="仿宋_GB2312"/>
                <w:lang w:val="en-US" w:eastAsia="zh-CN"/>
              </w:rPr>
            </w:pPr>
            <w:r>
              <w:rPr>
                <w:rFonts w:hint="eastAsia" w:eastAsia="仿宋_GB2312"/>
                <w:lang w:val="en-US" w:eastAsia="zh-CN"/>
              </w:rPr>
              <w:t>1032.2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hint="default" w:eastAsia="仿宋_GB2312"/>
                <w:lang w:val="en-US" w:eastAsia="zh-CN"/>
              </w:rPr>
            </w:pPr>
            <w:r>
              <w:rPr>
                <w:rFonts w:hint="eastAsia" w:eastAsia="仿宋_GB2312"/>
                <w:lang w:val="en-US" w:eastAsia="zh-CN"/>
              </w:rPr>
              <w:t>1032.2</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eastAsia="仿宋_GB2312"/>
              </w:rPr>
            </w:pPr>
            <w:r>
              <w:rPr>
                <w:rFonts w:eastAsia="仿宋_GB2312"/>
              </w:rPr>
              <w:t>10</w:t>
            </w:r>
          </w:p>
        </w:tc>
        <w:tc>
          <w:tcPr>
            <w:tcW w:w="898" w:type="dxa"/>
            <w:tcBorders>
              <w:top w:val="single" w:color="auto" w:sz="4" w:space="0"/>
              <w:left w:val="nil"/>
              <w:bottom w:val="single" w:color="auto" w:sz="4" w:space="0"/>
              <w:right w:val="single" w:color="auto" w:sz="4" w:space="0"/>
            </w:tcBorders>
            <w:noWrap w:val="0"/>
            <w:vAlign w:val="center"/>
          </w:tcPr>
          <w:p>
            <w:pPr>
              <w:jc w:val="center"/>
              <w:rPr>
                <w:rFonts w:hint="default" w:eastAsia="仿宋_GB2312"/>
                <w:lang w:val="en-US" w:eastAsia="zh-CN"/>
              </w:rPr>
            </w:pPr>
            <w:r>
              <w:rPr>
                <w:rFonts w:hint="eastAsia" w:eastAsia="仿宋_GB2312"/>
                <w:lang w:val="en-US" w:eastAsia="zh-CN"/>
              </w:rPr>
              <w:t>100%</w:t>
            </w:r>
          </w:p>
        </w:tc>
        <w:tc>
          <w:tcPr>
            <w:tcW w:w="1446" w:type="dxa"/>
            <w:tcBorders>
              <w:top w:val="single" w:color="auto" w:sz="4" w:space="0"/>
              <w:left w:val="nil"/>
              <w:bottom w:val="single" w:color="auto" w:sz="4" w:space="0"/>
              <w:right w:val="single" w:color="auto" w:sz="4" w:space="0"/>
            </w:tcBorders>
            <w:noWrap w:val="0"/>
            <w:vAlign w:val="center"/>
          </w:tcPr>
          <w:p>
            <w:pPr>
              <w:jc w:val="center"/>
              <w:rPr>
                <w:rFonts w:hint="default" w:eastAsia="仿宋_GB2312"/>
                <w:lang w:val="en-US" w:eastAsia="zh-CN"/>
              </w:rPr>
            </w:pPr>
            <w:r>
              <w:rPr>
                <w:rFonts w:hint="eastAsia" w:eastAsia="仿宋_GB231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5056" w:type="dxa"/>
            <w:gridSpan w:val="5"/>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按收入性质分：</w:t>
            </w:r>
          </w:p>
        </w:tc>
        <w:tc>
          <w:tcPr>
            <w:tcW w:w="4187" w:type="dxa"/>
            <w:gridSpan w:val="4"/>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5056" w:type="dxa"/>
            <w:gridSpan w:val="5"/>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color w:val="000000"/>
                <w:kern w:val="0"/>
                <w:lang w:val="en-US" w:eastAsia="zh-CN"/>
              </w:rPr>
            </w:pPr>
            <w:r>
              <w:rPr>
                <w:rFonts w:eastAsia="仿宋_GB2312"/>
                <w:color w:val="000000"/>
                <w:kern w:val="0"/>
              </w:rPr>
              <w:t xml:space="preserve">  其中：  一般公共预算：</w:t>
            </w:r>
            <w:r>
              <w:rPr>
                <w:rFonts w:hint="eastAsia" w:eastAsia="仿宋_GB2312"/>
                <w:color w:val="000000"/>
                <w:kern w:val="0"/>
                <w:lang w:val="en-US" w:eastAsia="zh-CN"/>
              </w:rPr>
              <w:t>1032.2</w:t>
            </w:r>
          </w:p>
        </w:tc>
        <w:tc>
          <w:tcPr>
            <w:tcW w:w="4187" w:type="dxa"/>
            <w:gridSpan w:val="4"/>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color w:val="000000"/>
                <w:kern w:val="0"/>
                <w:lang w:val="en-US" w:eastAsia="zh-CN"/>
              </w:rPr>
            </w:pPr>
            <w:r>
              <w:rPr>
                <w:rFonts w:eastAsia="仿宋_GB2312"/>
                <w:color w:val="000000"/>
                <w:kern w:val="0"/>
              </w:rPr>
              <w:t>其中：基本支出：</w:t>
            </w:r>
            <w:r>
              <w:rPr>
                <w:rFonts w:hint="eastAsia" w:eastAsia="仿宋_GB2312"/>
                <w:color w:val="000000"/>
                <w:kern w:val="0"/>
                <w:lang w:val="en-US" w:eastAsia="zh-CN"/>
              </w:rPr>
              <w:t>714.98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5056" w:type="dxa"/>
            <w:gridSpan w:val="5"/>
            <w:tcBorders>
              <w:top w:val="single" w:color="auto" w:sz="4" w:space="0"/>
              <w:left w:val="nil"/>
              <w:bottom w:val="single" w:color="auto" w:sz="4" w:space="0"/>
              <w:right w:val="single" w:color="auto" w:sz="4" w:space="0"/>
            </w:tcBorders>
            <w:noWrap w:val="0"/>
            <w:vAlign w:val="center"/>
          </w:tcPr>
          <w:p>
            <w:pPr>
              <w:widowControl/>
              <w:ind w:firstLine="840" w:firstLineChars="400"/>
              <w:jc w:val="left"/>
              <w:rPr>
                <w:rFonts w:eastAsia="仿宋_GB2312"/>
                <w:color w:val="000000"/>
                <w:kern w:val="0"/>
              </w:rPr>
            </w:pPr>
            <w:r>
              <w:rPr>
                <w:rFonts w:eastAsia="仿宋_GB2312"/>
                <w:color w:val="000000"/>
                <w:kern w:val="0"/>
              </w:rPr>
              <w:t>政府性基金拨款：</w:t>
            </w:r>
          </w:p>
        </w:tc>
        <w:tc>
          <w:tcPr>
            <w:tcW w:w="4187" w:type="dxa"/>
            <w:gridSpan w:val="4"/>
            <w:tcBorders>
              <w:top w:val="single" w:color="auto" w:sz="4" w:space="0"/>
              <w:left w:val="nil"/>
              <w:bottom w:val="single" w:color="auto" w:sz="4" w:space="0"/>
              <w:right w:val="single" w:color="auto" w:sz="4" w:space="0"/>
            </w:tcBorders>
            <w:noWrap w:val="0"/>
            <w:vAlign w:val="center"/>
          </w:tcPr>
          <w:p>
            <w:pPr>
              <w:widowControl/>
              <w:ind w:firstLine="630" w:firstLineChars="300"/>
              <w:jc w:val="left"/>
              <w:rPr>
                <w:rFonts w:hint="default" w:eastAsia="仿宋_GB2312"/>
                <w:color w:val="000000"/>
                <w:kern w:val="0"/>
                <w:lang w:val="en-US" w:eastAsia="zh-CN"/>
              </w:rPr>
            </w:pPr>
            <w:r>
              <w:rPr>
                <w:rFonts w:eastAsia="仿宋_GB2312"/>
                <w:color w:val="000000"/>
                <w:kern w:val="0"/>
              </w:rPr>
              <w:t>项目支出：</w:t>
            </w:r>
            <w:r>
              <w:rPr>
                <w:rFonts w:hint="eastAsia" w:eastAsia="仿宋_GB2312"/>
                <w:color w:val="000000"/>
                <w:kern w:val="0"/>
                <w:lang w:val="en-US" w:eastAsia="zh-CN"/>
              </w:rPr>
              <w:t>317.23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5056" w:type="dxa"/>
            <w:gridSpan w:val="5"/>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纳入专户管理的非税收入拨款：</w:t>
            </w:r>
          </w:p>
        </w:tc>
        <w:tc>
          <w:tcPr>
            <w:tcW w:w="4187" w:type="dxa"/>
            <w:gridSpan w:val="4"/>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5056" w:type="dxa"/>
            <w:gridSpan w:val="5"/>
            <w:tcBorders>
              <w:top w:val="single" w:color="auto" w:sz="4" w:space="0"/>
              <w:left w:val="nil"/>
              <w:bottom w:val="single" w:color="auto" w:sz="4" w:space="0"/>
              <w:right w:val="single" w:color="auto" w:sz="4" w:space="0"/>
            </w:tcBorders>
            <w:noWrap w:val="0"/>
            <w:vAlign w:val="center"/>
          </w:tcPr>
          <w:p>
            <w:pPr>
              <w:widowControl/>
              <w:ind w:firstLine="1470" w:firstLineChars="700"/>
              <w:jc w:val="left"/>
              <w:rPr>
                <w:rFonts w:eastAsia="仿宋_GB2312"/>
                <w:color w:val="000000"/>
                <w:kern w:val="0"/>
              </w:rPr>
            </w:pPr>
            <w:r>
              <w:rPr>
                <w:rFonts w:eastAsia="仿宋_GB2312"/>
                <w:color w:val="000000"/>
                <w:kern w:val="0"/>
              </w:rPr>
              <w:t>其他资金：</w:t>
            </w:r>
          </w:p>
        </w:tc>
        <w:tc>
          <w:tcPr>
            <w:tcW w:w="4187" w:type="dxa"/>
            <w:gridSpan w:val="4"/>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年度总体目标</w:t>
            </w:r>
          </w:p>
        </w:tc>
        <w:tc>
          <w:tcPr>
            <w:tcW w:w="5056" w:type="dxa"/>
            <w:gridSpan w:val="5"/>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预期目标</w:t>
            </w:r>
          </w:p>
        </w:tc>
        <w:tc>
          <w:tcPr>
            <w:tcW w:w="4187" w:type="dxa"/>
            <w:gridSpan w:val="4"/>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5056" w:type="dxa"/>
            <w:gridSpan w:val="5"/>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lang w:val="en-US" w:eastAsia="zh-CN"/>
              </w:rPr>
              <w:t>1032.2</w:t>
            </w:r>
            <w:r>
              <w:rPr>
                <w:rFonts w:eastAsia="仿宋_GB2312"/>
                <w:color w:val="000000"/>
                <w:kern w:val="0"/>
              </w:rPr>
              <w:t xml:space="preserve">  </w:t>
            </w:r>
          </w:p>
        </w:tc>
        <w:tc>
          <w:tcPr>
            <w:tcW w:w="4187"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000000"/>
                <w:kern w:val="0"/>
                <w:lang w:val="en-US" w:eastAsia="zh-CN"/>
              </w:rPr>
            </w:pPr>
            <w:r>
              <w:rPr>
                <w:rFonts w:hint="eastAsia" w:eastAsia="仿宋_GB2312"/>
                <w:color w:val="000000"/>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绩</w:t>
            </w:r>
          </w:p>
          <w:p>
            <w:pPr>
              <w:widowControl/>
              <w:jc w:val="center"/>
              <w:rPr>
                <w:rFonts w:eastAsia="仿宋_GB2312"/>
                <w:color w:val="000000"/>
                <w:kern w:val="0"/>
              </w:rPr>
            </w:pPr>
            <w:r>
              <w:rPr>
                <w:rFonts w:eastAsia="仿宋_GB2312"/>
                <w:color w:val="000000"/>
                <w:kern w:val="0"/>
              </w:rPr>
              <w:t>效</w:t>
            </w:r>
          </w:p>
          <w:p>
            <w:pPr>
              <w:widowControl/>
              <w:jc w:val="center"/>
              <w:rPr>
                <w:rFonts w:eastAsia="仿宋_GB2312"/>
                <w:color w:val="000000"/>
                <w:kern w:val="0"/>
              </w:rPr>
            </w:pPr>
            <w:r>
              <w:rPr>
                <w:rFonts w:eastAsia="仿宋_GB2312"/>
                <w:color w:val="000000"/>
                <w:kern w:val="0"/>
              </w:rPr>
              <w:t>指</w:t>
            </w:r>
          </w:p>
          <w:p>
            <w:pPr>
              <w:widowControl/>
              <w:jc w:val="center"/>
              <w:rPr>
                <w:rFonts w:eastAsia="仿宋_GB2312"/>
                <w:color w:val="000000"/>
                <w:kern w:val="0"/>
              </w:rPr>
            </w:pPr>
            <w:r>
              <w:rPr>
                <w:rFonts w:eastAsia="仿宋_GB2312"/>
                <w:color w:val="000000"/>
                <w:kern w:val="0"/>
              </w:rPr>
              <w:t>标</w:t>
            </w:r>
          </w:p>
        </w:tc>
        <w:tc>
          <w:tcPr>
            <w:tcW w:w="139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rPr>
            </w:pPr>
            <w:r>
              <w:rPr>
                <w:rFonts w:eastAsia="仿宋_GB2312"/>
                <w:color w:val="000000"/>
                <w:kern w:val="0"/>
              </w:rPr>
              <w:t>一级指标</w:t>
            </w:r>
          </w:p>
        </w:tc>
        <w:tc>
          <w:tcPr>
            <w:tcW w:w="125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rPr>
            </w:pPr>
            <w:r>
              <w:rPr>
                <w:rFonts w:eastAsia="仿宋_GB2312"/>
                <w:color w:val="000000"/>
                <w:kern w:val="0"/>
              </w:rPr>
              <w:t>二级指标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rPr>
            </w:pPr>
            <w:r>
              <w:rPr>
                <w:rFonts w:eastAsia="仿宋_GB2312"/>
                <w:color w:val="000000"/>
                <w:kern w:val="0"/>
              </w:rPr>
              <w:t>三级指标</w:t>
            </w:r>
          </w:p>
        </w:tc>
        <w:tc>
          <w:tcPr>
            <w:tcW w:w="120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仿宋_GB2312"/>
                <w:color w:val="000000"/>
                <w:kern w:val="0"/>
              </w:rPr>
            </w:pPr>
            <w:r>
              <w:rPr>
                <w:rFonts w:eastAsia="仿宋_GB2312"/>
                <w:color w:val="000000"/>
                <w:kern w:val="0"/>
              </w:rPr>
              <w:t>年度</w:t>
            </w:r>
          </w:p>
          <w:p>
            <w:pPr>
              <w:widowControl/>
              <w:spacing w:line="240" w:lineRule="exact"/>
              <w:jc w:val="center"/>
              <w:rPr>
                <w:rFonts w:eastAsia="仿宋_GB2312"/>
                <w:color w:val="000000"/>
                <w:kern w:val="0"/>
              </w:rPr>
            </w:pPr>
            <w:r>
              <w:rPr>
                <w:rFonts w:eastAsia="仿宋_GB2312"/>
                <w:color w:val="000000"/>
                <w:kern w:val="0"/>
              </w:rPr>
              <w:t>指标值</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仿宋_GB2312"/>
                <w:color w:val="000000"/>
                <w:kern w:val="0"/>
              </w:rPr>
            </w:pPr>
            <w:r>
              <w:rPr>
                <w:rFonts w:eastAsia="仿宋_GB2312"/>
                <w:color w:val="000000"/>
                <w:kern w:val="0"/>
              </w:rPr>
              <w:t>实际</w:t>
            </w:r>
          </w:p>
          <w:p>
            <w:pPr>
              <w:widowControl/>
              <w:spacing w:line="240" w:lineRule="exact"/>
              <w:jc w:val="center"/>
              <w:rPr>
                <w:rFonts w:eastAsia="仿宋_GB2312"/>
                <w:color w:val="000000"/>
                <w:kern w:val="0"/>
              </w:rPr>
            </w:pPr>
            <w:r>
              <w:rPr>
                <w:rFonts w:eastAsia="仿宋_GB2312"/>
                <w:color w:val="000000"/>
                <w:kern w:val="0"/>
              </w:rPr>
              <w:t>完成值</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rPr>
            </w:pPr>
            <w:r>
              <w:rPr>
                <w:rFonts w:eastAsia="仿宋_GB2312"/>
                <w:color w:val="000000"/>
                <w:kern w:val="0"/>
              </w:rPr>
              <w:t>分值</w:t>
            </w:r>
          </w:p>
        </w:tc>
        <w:tc>
          <w:tcPr>
            <w:tcW w:w="8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color w:val="000000"/>
                <w:kern w:val="0"/>
              </w:rPr>
            </w:pPr>
            <w:r>
              <w:rPr>
                <w:rFonts w:eastAsia="仿宋_GB2312"/>
                <w:color w:val="000000"/>
                <w:kern w:val="0"/>
              </w:rPr>
              <w:t>得分</w:t>
            </w:r>
          </w:p>
        </w:tc>
        <w:tc>
          <w:tcPr>
            <w:tcW w:w="1446" w:type="dxa"/>
            <w:tcBorders>
              <w:top w:val="single" w:color="auto" w:sz="4" w:space="0"/>
              <w:left w:val="nil"/>
              <w:bottom w:val="single" w:color="auto" w:sz="4" w:space="0"/>
              <w:right w:val="single" w:color="auto" w:sz="4" w:space="0"/>
            </w:tcBorders>
            <w:noWrap w:val="0"/>
            <w:vAlign w:val="top"/>
          </w:tcPr>
          <w:p>
            <w:pPr>
              <w:widowControl/>
              <w:spacing w:line="240" w:lineRule="exact"/>
              <w:jc w:val="center"/>
              <w:rPr>
                <w:rFonts w:ascii="仿宋_GB2312" w:hAnsi="仿宋_GB2312"/>
                <w:color w:val="000000"/>
                <w:kern w:val="0"/>
              </w:rPr>
            </w:pPr>
            <w:r>
              <w:rPr>
                <w:rFonts w:eastAsia="仿宋_GB2312"/>
                <w:color w:val="000000"/>
                <w:kern w:val="0"/>
              </w:rPr>
              <w:t>偏差原因</w:t>
            </w:r>
          </w:p>
          <w:p>
            <w:pPr>
              <w:widowControl/>
              <w:spacing w:line="240" w:lineRule="exact"/>
              <w:jc w:val="center"/>
              <w:rPr>
                <w:rFonts w:ascii="仿宋_GB2312" w:hAnsi="仿宋_GB2312"/>
                <w:color w:val="000000"/>
                <w:kern w:val="0"/>
              </w:rPr>
            </w:pPr>
            <w:r>
              <w:rPr>
                <w:rFonts w:eastAsia="仿宋_GB2312"/>
                <w:color w:val="000000"/>
                <w:kern w:val="0"/>
              </w:rPr>
              <w:t>分析及</w:t>
            </w:r>
          </w:p>
          <w:p>
            <w:pPr>
              <w:widowControl/>
              <w:spacing w:line="240" w:lineRule="exact"/>
              <w:jc w:val="center"/>
              <w:rPr>
                <w:rFonts w:eastAsia="仿宋_GB2312"/>
                <w:color w:val="000000"/>
                <w:kern w:val="0"/>
              </w:rPr>
            </w:pPr>
            <w:r>
              <w:rPr>
                <w:rFonts w:eastAsia="仿宋_GB2312"/>
                <w:color w:val="000000"/>
                <w:kern w:val="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1395" w:type="dxa"/>
            <w:vMerge w:val="restart"/>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产出指标</w:t>
            </w:r>
          </w:p>
          <w:p>
            <w:pPr>
              <w:widowControl/>
              <w:jc w:val="center"/>
              <w:rPr>
                <w:rFonts w:eastAsia="仿宋_GB2312"/>
                <w:color w:val="000000"/>
                <w:kern w:val="0"/>
              </w:rPr>
            </w:pPr>
            <w:r>
              <w:rPr>
                <w:rFonts w:eastAsia="仿宋_GB2312"/>
                <w:color w:val="000000"/>
                <w:kern w:val="0"/>
              </w:rPr>
              <w:t>(50</w:t>
            </w:r>
            <w:r>
              <w:rPr>
                <w:rFonts w:ascii="仿宋_GB2312" w:hAnsi="仿宋_GB2312" w:eastAsia="仿宋_GB2312"/>
                <w:color w:val="000000"/>
                <w:kern w:val="0"/>
              </w:rPr>
              <w:t>分</w:t>
            </w:r>
            <w:r>
              <w:rPr>
                <w:rFonts w:eastAsia="仿宋_GB2312"/>
                <w:color w:val="000000"/>
                <w:kern w:val="0"/>
              </w:rPr>
              <w:t>)</w:t>
            </w:r>
          </w:p>
        </w:tc>
        <w:tc>
          <w:tcPr>
            <w:tcW w:w="1252" w:type="dxa"/>
            <w:vMerge w:val="restart"/>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数量</w:t>
            </w:r>
          </w:p>
          <w:p>
            <w:pPr>
              <w:widowControl/>
              <w:jc w:val="center"/>
              <w:rPr>
                <w:rFonts w:eastAsia="仿宋_GB2312"/>
                <w:color w:val="000000"/>
                <w:kern w:val="0"/>
              </w:rPr>
            </w:pPr>
            <w:r>
              <w:rPr>
                <w:rFonts w:eastAsia="仿宋_GB2312"/>
                <w:color w:val="000000"/>
                <w:kern w:val="0"/>
              </w:rPr>
              <w:t>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hint="eastAsia" w:eastAsia="仿宋_GB2312"/>
                <w:b w:val="0"/>
                <w:i w:val="0"/>
                <w:caps w:val="0"/>
                <w:color w:val="000000"/>
                <w:spacing w:val="0"/>
                <w:w w:val="100"/>
                <w:kern w:val="0"/>
                <w:sz w:val="20"/>
              </w:rPr>
              <w:t>调处矛盾纠纷</w:t>
            </w:r>
          </w:p>
        </w:tc>
        <w:tc>
          <w:tcPr>
            <w:tcW w:w="1200"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hint="default" w:eastAsia="仿宋_GB2312"/>
                <w:color w:val="000000"/>
                <w:kern w:val="0"/>
                <w:lang w:val="en-US"/>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1"/>
                <w:lang w:val="en-US" w:eastAsia="zh-CN"/>
              </w:rPr>
              <w:t>1676</w:t>
            </w:r>
          </w:p>
        </w:tc>
        <w:tc>
          <w:tcPr>
            <w:tcW w:w="1134"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1"/>
                <w:lang w:val="en-US" w:eastAsia="zh-CN"/>
              </w:rPr>
              <w:t>1676</w:t>
            </w:r>
            <w:r>
              <w:rPr>
                <w:rFonts w:hint="eastAsia" w:eastAsia="仿宋_GB2312"/>
                <w:b w:val="0"/>
                <w:i w:val="0"/>
                <w:caps w:val="0"/>
                <w:color w:val="000000"/>
                <w:spacing w:val="0"/>
                <w:w w:val="100"/>
                <w:kern w:val="0"/>
                <w:sz w:val="20"/>
              </w:rPr>
              <w:t>起</w:t>
            </w:r>
          </w:p>
        </w:tc>
        <w:tc>
          <w:tcPr>
            <w:tcW w:w="709"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hint="default" w:eastAsia="仿宋_GB2312"/>
                <w:color w:val="000000"/>
                <w:kern w:val="0"/>
                <w:lang w:val="en-US"/>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1"/>
                <w:lang w:val="en-US" w:eastAsia="zh-CN"/>
              </w:rPr>
              <w:t>10</w:t>
            </w:r>
          </w:p>
        </w:tc>
        <w:tc>
          <w:tcPr>
            <w:tcW w:w="89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hint="default" w:eastAsia="仿宋_GB2312"/>
                <w:color w:val="000000"/>
                <w:kern w:val="0"/>
                <w:lang w:val="en-US"/>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1"/>
                <w:lang w:val="en-US" w:eastAsia="zh-CN"/>
              </w:rPr>
              <w:t>10</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209" w:type="dxa"/>
            <w:gridSpan w:val="2"/>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hint="eastAsia" w:eastAsia="仿宋_GB2312"/>
                <w:b w:val="0"/>
                <w:i w:val="0"/>
                <w:caps w:val="0"/>
                <w:color w:val="000000"/>
                <w:spacing w:val="0"/>
                <w:w w:val="100"/>
                <w:kern w:val="0"/>
                <w:sz w:val="20"/>
              </w:rPr>
              <w:t>受理并提供法律援助案件</w:t>
            </w:r>
          </w:p>
        </w:tc>
        <w:tc>
          <w:tcPr>
            <w:tcW w:w="1200"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eastAsia="仿宋_GB2312"/>
                <w:color w:val="000000"/>
                <w:kern w:val="0"/>
                <w:lang w:val="en-US" w:eastAsia="zh-CN"/>
              </w:rPr>
            </w:pPr>
            <w:r>
              <w:rPr>
                <w:rFonts w:hint="eastAsia" w:eastAsia="仿宋_GB2312"/>
                <w:b w:val="0"/>
                <w:i w:val="0"/>
                <w:caps w:val="0"/>
                <w:color w:val="000000"/>
                <w:spacing w:val="0"/>
                <w:w w:val="100"/>
                <w:kern w:val="0"/>
                <w:sz w:val="21"/>
                <w:lang w:val="en-US" w:eastAsia="zh-CN"/>
              </w:rPr>
              <w:t>112件</w:t>
            </w:r>
          </w:p>
        </w:tc>
        <w:tc>
          <w:tcPr>
            <w:tcW w:w="1134"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eastAsia="仿宋_GB2312"/>
                <w:b w:val="0"/>
                <w:i w:val="0"/>
                <w:caps w:val="0"/>
                <w:color w:val="000000"/>
                <w:spacing w:val="0"/>
                <w:w w:val="100"/>
                <w:kern w:val="0"/>
                <w:sz w:val="21"/>
                <w:lang w:val="en-US" w:eastAsia="zh-CN"/>
              </w:rPr>
            </w:pPr>
          </w:p>
          <w:p>
            <w:pPr>
              <w:widowControl/>
              <w:snapToGrid/>
              <w:spacing w:before="0" w:beforeAutospacing="0" w:after="0" w:afterAutospacing="0" w:line="240" w:lineRule="auto"/>
              <w:jc w:val="center"/>
              <w:textAlignment w:val="baseline"/>
              <w:rPr>
                <w:rFonts w:hint="default" w:eastAsia="仿宋_GB2312"/>
                <w:b w:val="0"/>
                <w:i w:val="0"/>
                <w:caps w:val="0"/>
                <w:color w:val="000000"/>
                <w:spacing w:val="0"/>
                <w:w w:val="100"/>
                <w:kern w:val="0"/>
                <w:sz w:val="21"/>
                <w:lang w:val="en-US" w:eastAsia="zh-CN"/>
              </w:rPr>
            </w:pPr>
            <w:r>
              <w:rPr>
                <w:rFonts w:hint="eastAsia" w:eastAsia="仿宋_GB2312"/>
                <w:b w:val="0"/>
                <w:i w:val="0"/>
                <w:caps w:val="0"/>
                <w:color w:val="000000"/>
                <w:spacing w:val="0"/>
                <w:w w:val="100"/>
                <w:kern w:val="0"/>
                <w:sz w:val="21"/>
                <w:lang w:val="en-US" w:eastAsia="zh-CN"/>
              </w:rPr>
              <w:t>112件</w:t>
            </w:r>
          </w:p>
          <w:p>
            <w:pPr>
              <w:bidi w:val="0"/>
              <w:ind w:firstLine="210" w:firstLineChars="100"/>
              <w:jc w:val="both"/>
              <w:rPr>
                <w:rFonts w:eastAsia="仿宋_GB2312"/>
                <w:color w:val="000000"/>
                <w:kern w:val="0"/>
              </w:rPr>
            </w:pPr>
          </w:p>
        </w:tc>
        <w:tc>
          <w:tcPr>
            <w:tcW w:w="709"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eastAsia="仿宋_GB2312"/>
                <w:color w:val="000000"/>
                <w:kern w:val="0"/>
                <w:lang w:val="en-US"/>
              </w:rPr>
            </w:pPr>
            <w:r>
              <w:rPr>
                <w:rFonts w:hint="eastAsia" w:eastAsia="仿宋_GB2312"/>
                <w:b w:val="0"/>
                <w:i w:val="0"/>
                <w:caps w:val="0"/>
                <w:color w:val="000000"/>
                <w:spacing w:val="0"/>
                <w:w w:val="100"/>
                <w:kern w:val="0"/>
                <w:sz w:val="21"/>
                <w:lang w:val="en-US" w:eastAsia="zh-CN"/>
              </w:rPr>
              <w:t>10</w:t>
            </w:r>
          </w:p>
        </w:tc>
        <w:tc>
          <w:tcPr>
            <w:tcW w:w="89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eastAsia="仿宋_GB2312"/>
                <w:color w:val="000000"/>
                <w:kern w:val="0"/>
                <w:lang w:val="en-US"/>
              </w:rPr>
            </w:pPr>
            <w:r>
              <w:rPr>
                <w:rFonts w:hint="eastAsia" w:eastAsia="仿宋_GB2312"/>
                <w:b w:val="0"/>
                <w:i w:val="0"/>
                <w:caps w:val="0"/>
                <w:color w:val="000000"/>
                <w:spacing w:val="0"/>
                <w:w w:val="100"/>
                <w:kern w:val="0"/>
                <w:sz w:val="21"/>
                <w:lang w:val="en-US" w:eastAsia="zh-CN"/>
              </w:rPr>
              <w:t>10</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252" w:type="dxa"/>
            <w:vMerge w:val="restart"/>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质量</w:t>
            </w:r>
          </w:p>
          <w:p>
            <w:pPr>
              <w:widowControl/>
              <w:jc w:val="center"/>
              <w:rPr>
                <w:rFonts w:eastAsia="仿宋_GB2312"/>
                <w:color w:val="000000"/>
                <w:kern w:val="0"/>
              </w:rPr>
            </w:pPr>
            <w:r>
              <w:rPr>
                <w:rFonts w:eastAsia="仿宋_GB2312"/>
                <w:color w:val="000000"/>
                <w:kern w:val="0"/>
              </w:rPr>
              <w:t>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hint="eastAsia" w:ascii="Times New Roman" w:hAnsi="Times New Roman" w:eastAsia="仿宋_GB2312" w:cs="Times New Roman"/>
                <w:b w:val="0"/>
                <w:i w:val="0"/>
                <w:caps w:val="0"/>
                <w:color w:val="000000"/>
                <w:spacing w:val="0"/>
                <w:w w:val="100"/>
                <w:kern w:val="0"/>
                <w:sz w:val="20"/>
              </w:rPr>
              <w:t>调解成功率</w:t>
            </w:r>
          </w:p>
        </w:tc>
        <w:tc>
          <w:tcPr>
            <w:tcW w:w="1200"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1"/>
                <w:lang w:val="en-US" w:eastAsia="zh-CN"/>
              </w:rPr>
              <w:t>90%</w:t>
            </w:r>
          </w:p>
        </w:tc>
        <w:tc>
          <w:tcPr>
            <w:tcW w:w="1134"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eastAsia="仿宋_GB2312"/>
                <w:color w:val="000000"/>
                <w:kern w:val="0"/>
              </w:rPr>
            </w:pPr>
            <w:r>
              <w:rPr>
                <w:rFonts w:hint="eastAsia" w:eastAsia="仿宋_GB2312"/>
                <w:b w:val="0"/>
                <w:i w:val="0"/>
                <w:caps w:val="0"/>
                <w:color w:val="000000"/>
                <w:spacing w:val="0"/>
                <w:w w:val="100"/>
                <w:kern w:val="0"/>
                <w:sz w:val="21"/>
                <w:lang w:val="en-US" w:eastAsia="zh-CN"/>
              </w:rPr>
              <w:t>97.6</w:t>
            </w:r>
            <w:r>
              <w:rPr>
                <w:rFonts w:hint="eastAsia" w:eastAsia="仿宋_GB2312"/>
                <w:b w:val="0"/>
                <w:i w:val="0"/>
                <w:caps w:val="0"/>
                <w:color w:val="000000"/>
                <w:spacing w:val="0"/>
                <w:w w:val="100"/>
                <w:kern w:val="0"/>
                <w:sz w:val="21"/>
              </w:rPr>
              <w:t>%</w:t>
            </w:r>
          </w:p>
        </w:tc>
        <w:tc>
          <w:tcPr>
            <w:tcW w:w="709"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1"/>
                <w:lang w:val="en-US" w:eastAsia="zh-CN"/>
              </w:rPr>
              <w:t>10</w:t>
            </w:r>
          </w:p>
        </w:tc>
        <w:tc>
          <w:tcPr>
            <w:tcW w:w="89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hint="eastAsia" w:eastAsia="仿宋_GB2312"/>
                <w:color w:val="000000"/>
                <w:kern w:val="0"/>
                <w:lang w:val="en-US" w:eastAsia="zh-CN"/>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1"/>
                <w:lang w:val="en-US" w:eastAsia="zh-CN"/>
              </w:rPr>
              <w:t>8</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209" w:type="dxa"/>
            <w:gridSpan w:val="2"/>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hint="eastAsia" w:eastAsia="仿宋_GB2312"/>
                <w:b w:val="0"/>
                <w:i w:val="0"/>
                <w:caps w:val="0"/>
                <w:color w:val="000000"/>
                <w:spacing w:val="0"/>
                <w:w w:val="100"/>
                <w:kern w:val="0"/>
                <w:sz w:val="20"/>
              </w:rPr>
              <w:t>法律援助案卷审核合格率</w:t>
            </w:r>
          </w:p>
        </w:tc>
        <w:tc>
          <w:tcPr>
            <w:tcW w:w="1200"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1"/>
                <w:lang w:val="en-US" w:eastAsia="zh-CN"/>
              </w:rPr>
              <w:t>96%</w:t>
            </w:r>
          </w:p>
        </w:tc>
        <w:tc>
          <w:tcPr>
            <w:tcW w:w="1134"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0"/>
              </w:rPr>
              <w:t>100%</w:t>
            </w:r>
          </w:p>
        </w:tc>
        <w:tc>
          <w:tcPr>
            <w:tcW w:w="709"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hint="eastAsia" w:eastAsia="仿宋_GB2312"/>
                <w:color w:val="000000"/>
                <w:kern w:val="0"/>
                <w:lang w:val="en-US" w:eastAsia="zh-CN"/>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1"/>
                <w:lang w:val="en-US" w:eastAsia="zh-CN"/>
              </w:rPr>
              <w:t>5</w:t>
            </w:r>
          </w:p>
        </w:tc>
        <w:tc>
          <w:tcPr>
            <w:tcW w:w="89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hint="eastAsia" w:eastAsia="仿宋_GB2312"/>
                <w:color w:val="000000"/>
                <w:kern w:val="0"/>
                <w:lang w:eastAsia="zh-CN"/>
              </w:rPr>
            </w:pPr>
            <w:r>
              <w:rPr>
                <w:rFonts w:hint="eastAsia" w:eastAsia="仿宋_GB2312"/>
                <w:b w:val="0"/>
                <w:i w:val="0"/>
                <w:caps w:val="0"/>
                <w:color w:val="000000"/>
                <w:spacing w:val="0"/>
                <w:w w:val="100"/>
                <w:kern w:val="0"/>
                <w:sz w:val="21"/>
                <w:lang w:val="en-US" w:eastAsia="zh-CN"/>
              </w:rPr>
              <w:t>5</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252" w:type="dxa"/>
            <w:vMerge w:val="restart"/>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时效</w:t>
            </w:r>
          </w:p>
          <w:p>
            <w:pPr>
              <w:widowControl/>
              <w:jc w:val="center"/>
              <w:rPr>
                <w:rFonts w:eastAsia="仿宋_GB2312"/>
                <w:color w:val="000000"/>
                <w:kern w:val="0"/>
              </w:rPr>
            </w:pPr>
            <w:r>
              <w:rPr>
                <w:rFonts w:eastAsia="仿宋_GB2312"/>
                <w:color w:val="000000"/>
                <w:kern w:val="0"/>
              </w:rPr>
              <w:t>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hint="eastAsia" w:eastAsia="仿宋_GB2312"/>
                <w:b w:val="0"/>
                <w:i w:val="0"/>
                <w:caps w:val="0"/>
                <w:color w:val="000000"/>
                <w:spacing w:val="0"/>
                <w:w w:val="100"/>
                <w:kern w:val="0"/>
                <w:sz w:val="20"/>
                <w:lang w:val="en-US" w:eastAsia="zh-CN"/>
              </w:rPr>
              <w:t>调解</w:t>
            </w:r>
            <w:r>
              <w:rPr>
                <w:rFonts w:hint="eastAsia" w:eastAsia="仿宋_GB2312"/>
                <w:b w:val="0"/>
                <w:i w:val="0"/>
                <w:caps w:val="0"/>
                <w:color w:val="000000"/>
                <w:spacing w:val="0"/>
                <w:w w:val="100"/>
                <w:kern w:val="0"/>
                <w:sz w:val="20"/>
              </w:rPr>
              <w:t>案件有效投诉发生率</w:t>
            </w:r>
          </w:p>
        </w:tc>
        <w:tc>
          <w:tcPr>
            <w:tcW w:w="120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rPr>
              <w:t>全年完成</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rPr>
              <w:t>100%</w:t>
            </w:r>
          </w:p>
        </w:tc>
        <w:tc>
          <w:tcPr>
            <w:tcW w:w="709"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hint="eastAsia" w:eastAsia="仿宋_GB2312"/>
                <w:color w:val="000000"/>
                <w:kern w:val="0"/>
                <w:lang w:val="en-US" w:eastAsia="zh-CN"/>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1"/>
                <w:lang w:val="en-US" w:eastAsia="zh-CN"/>
              </w:rPr>
              <w:t>5</w:t>
            </w:r>
          </w:p>
        </w:tc>
        <w:tc>
          <w:tcPr>
            <w:tcW w:w="89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hint="eastAsia" w:eastAsia="仿宋_GB2312"/>
                <w:color w:val="000000"/>
                <w:kern w:val="0"/>
                <w:lang w:val="en-US" w:eastAsia="zh-CN"/>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1"/>
                <w:lang w:val="en-US" w:eastAsia="zh-CN"/>
              </w:rPr>
              <w:t>5</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209" w:type="dxa"/>
            <w:gridSpan w:val="2"/>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hint="eastAsia" w:eastAsia="仿宋_GB2312"/>
                <w:b w:val="0"/>
                <w:i w:val="0"/>
                <w:caps w:val="0"/>
                <w:color w:val="000000"/>
                <w:spacing w:val="0"/>
                <w:w w:val="100"/>
                <w:kern w:val="0"/>
                <w:sz w:val="20"/>
              </w:rPr>
              <w:t>法律援助案件有效投诉发生率</w:t>
            </w:r>
          </w:p>
        </w:tc>
        <w:tc>
          <w:tcPr>
            <w:tcW w:w="120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rPr>
              <w:t>全年完成</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rPr>
              <w:t>100%</w:t>
            </w:r>
          </w:p>
        </w:tc>
        <w:tc>
          <w:tcPr>
            <w:tcW w:w="709"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1"/>
                <w:lang w:val="en-US" w:eastAsia="zh-CN"/>
              </w:rPr>
              <w:t>5</w:t>
            </w:r>
          </w:p>
        </w:tc>
        <w:tc>
          <w:tcPr>
            <w:tcW w:w="89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1"/>
                <w:lang w:val="en-US" w:eastAsia="zh-CN"/>
              </w:rPr>
              <w:t>5</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252"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成本</w:t>
            </w:r>
          </w:p>
          <w:p>
            <w:pPr>
              <w:widowControl/>
              <w:jc w:val="center"/>
              <w:rPr>
                <w:rFonts w:eastAsia="仿宋_GB2312"/>
                <w:color w:val="000000"/>
                <w:kern w:val="0"/>
              </w:rPr>
            </w:pPr>
            <w:r>
              <w:rPr>
                <w:rFonts w:eastAsia="仿宋_GB2312"/>
                <w:color w:val="000000"/>
                <w:kern w:val="0"/>
              </w:rPr>
              <w:t>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hint="eastAsia" w:eastAsia="仿宋_GB2312"/>
                <w:color w:val="000000"/>
                <w:kern w:val="0"/>
                <w:lang w:eastAsia="zh-CN"/>
              </w:rPr>
              <w:t>压缩非正常开支</w:t>
            </w:r>
          </w:p>
        </w:tc>
        <w:tc>
          <w:tcPr>
            <w:tcW w:w="120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rPr>
              <w:t>100%</w:t>
            </w:r>
          </w:p>
        </w:tc>
        <w:tc>
          <w:tcPr>
            <w:tcW w:w="1134" w:type="dxa"/>
            <w:tcBorders>
              <w:top w:val="single" w:color="auto" w:sz="4" w:space="0"/>
              <w:left w:val="nil"/>
              <w:bottom w:val="single" w:color="auto" w:sz="4" w:space="0"/>
              <w:right w:val="single" w:color="auto" w:sz="4" w:space="0"/>
            </w:tcBorders>
            <w:noWrap w:val="0"/>
            <w:vAlign w:val="center"/>
          </w:tcPr>
          <w:p>
            <w:pPr>
              <w:widowControl/>
              <w:ind w:firstLine="210" w:firstLineChars="100"/>
              <w:jc w:val="center"/>
              <w:rPr>
                <w:rFonts w:eastAsia="仿宋_GB2312"/>
                <w:color w:val="000000"/>
                <w:kern w:val="0"/>
              </w:rPr>
            </w:pPr>
            <w:r>
              <w:rPr>
                <w:rFonts w:hint="eastAsia" w:eastAsia="仿宋_GB2312"/>
                <w:color w:val="000000"/>
                <w:kern w:val="0"/>
              </w:rPr>
              <w:t>100%</w:t>
            </w:r>
          </w:p>
        </w:tc>
        <w:tc>
          <w:tcPr>
            <w:tcW w:w="709"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5</w:t>
            </w:r>
          </w:p>
        </w:tc>
        <w:tc>
          <w:tcPr>
            <w:tcW w:w="898"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5</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1395" w:type="dxa"/>
            <w:vMerge w:val="restart"/>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效益指标</w:t>
            </w:r>
          </w:p>
          <w:p>
            <w:pPr>
              <w:widowControl/>
              <w:ind w:firstLine="210" w:firstLineChars="100"/>
              <w:jc w:val="left"/>
              <w:rPr>
                <w:rFonts w:eastAsia="仿宋_GB2312"/>
                <w:color w:val="000000"/>
                <w:kern w:val="0"/>
              </w:rPr>
            </w:pPr>
            <w:r>
              <w:rPr>
                <w:rFonts w:eastAsia="仿宋_GB2312"/>
                <w:color w:val="000000"/>
                <w:kern w:val="0"/>
              </w:rPr>
              <w:t>（30</w:t>
            </w:r>
            <w:r>
              <w:rPr>
                <w:rFonts w:ascii="仿宋_GB2312" w:hAnsi="仿宋_GB2312" w:eastAsia="仿宋_GB2312"/>
                <w:color w:val="000000"/>
                <w:kern w:val="0"/>
              </w:rPr>
              <w:t xml:space="preserve">分） </w:t>
            </w:r>
          </w:p>
        </w:tc>
        <w:tc>
          <w:tcPr>
            <w:tcW w:w="1252"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经济效</w:t>
            </w:r>
          </w:p>
          <w:p>
            <w:pPr>
              <w:widowControl/>
              <w:jc w:val="center"/>
              <w:rPr>
                <w:rFonts w:eastAsia="仿宋_GB2312"/>
                <w:color w:val="000000"/>
                <w:kern w:val="0"/>
              </w:rPr>
            </w:pPr>
            <w:r>
              <w:rPr>
                <w:rFonts w:eastAsia="仿宋_GB2312"/>
                <w:color w:val="000000"/>
                <w:kern w:val="0"/>
              </w:rPr>
              <w:t>益指标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hint="eastAsia" w:eastAsia="仿宋_GB2312"/>
                <w:b w:val="0"/>
                <w:i w:val="0"/>
                <w:caps w:val="0"/>
                <w:color w:val="000000"/>
                <w:spacing w:val="0"/>
                <w:w w:val="100"/>
                <w:kern w:val="0"/>
                <w:sz w:val="20"/>
                <w:lang w:val="en-US" w:eastAsia="zh-CN"/>
              </w:rPr>
              <w:t>调解涉及金额</w:t>
            </w:r>
          </w:p>
        </w:tc>
        <w:tc>
          <w:tcPr>
            <w:tcW w:w="1200"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eastAsia="仿宋_GB2312"/>
                <w:b w:val="0"/>
                <w:i w:val="0"/>
                <w:caps w:val="0"/>
                <w:color w:val="000000"/>
                <w:spacing w:val="0"/>
                <w:w w:val="100"/>
                <w:kern w:val="0"/>
                <w:sz w:val="21"/>
              </w:rPr>
              <w:t>　</w:t>
            </w:r>
          </w:p>
        </w:tc>
        <w:tc>
          <w:tcPr>
            <w:tcW w:w="1134"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hint="eastAsia" w:eastAsia="仿宋_GB2312"/>
                <w:b w:val="0"/>
                <w:i w:val="0"/>
                <w:caps w:val="0"/>
                <w:color w:val="000000"/>
                <w:spacing w:val="0"/>
                <w:w w:val="100"/>
                <w:kern w:val="0"/>
                <w:sz w:val="21"/>
                <w:lang w:val="en-US" w:eastAsia="zh-CN"/>
              </w:rPr>
              <w:t>354.85</w:t>
            </w:r>
            <w:r>
              <w:rPr>
                <w:rFonts w:hint="eastAsia" w:eastAsia="仿宋_GB2312"/>
                <w:b w:val="0"/>
                <w:i w:val="0"/>
                <w:caps w:val="0"/>
                <w:color w:val="000000"/>
                <w:spacing w:val="0"/>
                <w:w w:val="100"/>
                <w:kern w:val="0"/>
                <w:sz w:val="21"/>
              </w:rPr>
              <w:t>万元</w:t>
            </w:r>
          </w:p>
        </w:tc>
        <w:tc>
          <w:tcPr>
            <w:tcW w:w="709"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hint="default" w:eastAsia="仿宋_GB2312"/>
                <w:color w:val="000000"/>
                <w:kern w:val="0"/>
                <w:lang w:val="en-US" w:eastAsia="zh-CN"/>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1"/>
                <w:lang w:val="en-US" w:eastAsia="zh-CN"/>
              </w:rPr>
              <w:t>10</w:t>
            </w:r>
          </w:p>
        </w:tc>
        <w:tc>
          <w:tcPr>
            <w:tcW w:w="89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hint="default" w:eastAsia="仿宋_GB2312"/>
                <w:color w:val="000000"/>
                <w:kern w:val="0"/>
                <w:lang w:val="en-US" w:eastAsia="zh-CN"/>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1"/>
                <w:lang w:val="en-US" w:eastAsia="zh-CN"/>
              </w:rPr>
              <w:t>10</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252" w:type="dxa"/>
            <w:vMerge w:val="restart"/>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社会效</w:t>
            </w:r>
          </w:p>
          <w:p>
            <w:pPr>
              <w:widowControl/>
              <w:jc w:val="center"/>
              <w:rPr>
                <w:rFonts w:eastAsia="仿宋_GB2312"/>
                <w:color w:val="000000"/>
                <w:kern w:val="0"/>
              </w:rPr>
            </w:pPr>
            <w:r>
              <w:rPr>
                <w:rFonts w:eastAsia="仿宋_GB2312"/>
                <w:color w:val="000000"/>
                <w:kern w:val="0"/>
              </w:rPr>
              <w:t>益指标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hint="eastAsia" w:eastAsia="仿宋_GB2312"/>
                <w:b w:val="0"/>
                <w:i w:val="0"/>
                <w:caps w:val="0"/>
                <w:color w:val="000000"/>
                <w:spacing w:val="0"/>
                <w:w w:val="100"/>
                <w:kern w:val="0"/>
                <w:sz w:val="20"/>
              </w:rPr>
              <w:t>越级上访</w:t>
            </w:r>
          </w:p>
        </w:tc>
        <w:tc>
          <w:tcPr>
            <w:tcW w:w="1200"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eastAsia="仿宋_GB2312"/>
                <w:b w:val="0"/>
                <w:i w:val="0"/>
                <w:caps w:val="0"/>
                <w:color w:val="000000"/>
                <w:spacing w:val="0"/>
                <w:w w:val="100"/>
                <w:kern w:val="0"/>
                <w:sz w:val="21"/>
              </w:rPr>
              <w:t>　</w:t>
            </w:r>
          </w:p>
        </w:tc>
        <w:tc>
          <w:tcPr>
            <w:tcW w:w="1134"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1"/>
                <w:lang w:val="en-US" w:eastAsia="zh-CN"/>
              </w:rPr>
              <w:t>0</w:t>
            </w:r>
          </w:p>
        </w:tc>
        <w:tc>
          <w:tcPr>
            <w:tcW w:w="709"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hint="eastAsia" w:eastAsia="仿宋_GB2312"/>
                <w:color w:val="000000"/>
                <w:kern w:val="0"/>
                <w:lang w:val="en-US" w:eastAsia="zh-CN"/>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1"/>
                <w:lang w:val="en-US" w:eastAsia="zh-CN"/>
              </w:rPr>
              <w:t>5</w:t>
            </w:r>
          </w:p>
        </w:tc>
        <w:tc>
          <w:tcPr>
            <w:tcW w:w="89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hint="eastAsia" w:eastAsia="仿宋_GB2312"/>
                <w:color w:val="000000"/>
                <w:kern w:val="0"/>
                <w:lang w:val="en-US" w:eastAsia="zh-CN"/>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1"/>
                <w:lang w:val="en-US" w:eastAsia="zh-CN"/>
              </w:rPr>
              <w:t>5</w:t>
            </w:r>
          </w:p>
        </w:tc>
        <w:tc>
          <w:tcPr>
            <w:tcW w:w="1446"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209" w:type="dxa"/>
            <w:gridSpan w:val="2"/>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hint="eastAsia" w:eastAsia="仿宋_GB2312"/>
                <w:b w:val="0"/>
                <w:i w:val="0"/>
                <w:caps w:val="0"/>
                <w:color w:val="000000"/>
                <w:spacing w:val="0"/>
                <w:w w:val="100"/>
                <w:kern w:val="0"/>
                <w:sz w:val="20"/>
                <w:lang w:val="en-US" w:eastAsia="zh-CN"/>
              </w:rPr>
              <w:t>因</w:t>
            </w:r>
            <w:r>
              <w:rPr>
                <w:rFonts w:hint="eastAsia" w:eastAsia="仿宋_GB2312"/>
                <w:b w:val="0"/>
                <w:i w:val="0"/>
                <w:caps w:val="0"/>
                <w:color w:val="000000"/>
                <w:spacing w:val="0"/>
                <w:w w:val="100"/>
                <w:kern w:val="0"/>
                <w:sz w:val="20"/>
              </w:rPr>
              <w:t>矛盾纠纷引发的“民转刑”非正常死亡群体性械斗和群体性上访事件</w:t>
            </w:r>
          </w:p>
        </w:tc>
        <w:tc>
          <w:tcPr>
            <w:tcW w:w="1200"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eastAsia="仿宋_GB2312"/>
                <w:b w:val="0"/>
                <w:i w:val="0"/>
                <w:caps w:val="0"/>
                <w:color w:val="000000"/>
                <w:spacing w:val="0"/>
                <w:w w:val="100"/>
                <w:kern w:val="0"/>
                <w:sz w:val="21"/>
              </w:rPr>
              <w:t>　</w:t>
            </w:r>
          </w:p>
        </w:tc>
        <w:tc>
          <w:tcPr>
            <w:tcW w:w="1134"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1"/>
                <w:lang w:val="en-US" w:eastAsia="zh-CN"/>
              </w:rPr>
              <w:t>0</w:t>
            </w:r>
          </w:p>
        </w:tc>
        <w:tc>
          <w:tcPr>
            <w:tcW w:w="709"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hint="eastAsia" w:eastAsia="仿宋_GB2312"/>
                <w:color w:val="000000"/>
                <w:kern w:val="0"/>
                <w:lang w:val="en-US" w:eastAsia="zh-CN"/>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1"/>
                <w:lang w:val="en-US" w:eastAsia="zh-CN"/>
              </w:rPr>
              <w:t>5</w:t>
            </w:r>
          </w:p>
        </w:tc>
        <w:tc>
          <w:tcPr>
            <w:tcW w:w="89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hint="eastAsia" w:eastAsia="仿宋_GB2312"/>
                <w:color w:val="000000"/>
                <w:kern w:val="0"/>
                <w:lang w:val="en-US" w:eastAsia="zh-CN"/>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1"/>
                <w:lang w:val="en-US" w:eastAsia="zh-CN"/>
              </w:rPr>
              <w:t>5</w:t>
            </w:r>
          </w:p>
        </w:tc>
        <w:tc>
          <w:tcPr>
            <w:tcW w:w="1446"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252"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生态效</w:t>
            </w:r>
          </w:p>
          <w:p>
            <w:pPr>
              <w:widowControl/>
              <w:jc w:val="center"/>
              <w:rPr>
                <w:rFonts w:eastAsia="仿宋_GB2312"/>
                <w:color w:val="000000"/>
                <w:kern w:val="0"/>
              </w:rPr>
            </w:pPr>
            <w:r>
              <w:rPr>
                <w:rFonts w:eastAsia="仿宋_GB2312"/>
                <w:color w:val="000000"/>
                <w:kern w:val="0"/>
              </w:rPr>
              <w:t>益指标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hint="eastAsia" w:ascii="宋体" w:hAnsi="宋体" w:eastAsia="宋体" w:cs="宋体"/>
                <w:i w:val="0"/>
                <w:caps w:val="0"/>
                <w:color w:val="333333"/>
                <w:spacing w:val="0"/>
                <w:sz w:val="21"/>
                <w:szCs w:val="21"/>
                <w:shd w:val="clear" w:color="auto" w:fill="FFFFFF"/>
                <w:lang w:eastAsia="zh-CN"/>
              </w:rPr>
              <w:t>坚持枫桥经验，维护社会稳定。</w:t>
            </w:r>
          </w:p>
        </w:tc>
        <w:tc>
          <w:tcPr>
            <w:tcW w:w="1200" w:type="dxa"/>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100%</w:t>
            </w:r>
          </w:p>
        </w:tc>
        <w:tc>
          <w:tcPr>
            <w:tcW w:w="709"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5</w:t>
            </w:r>
          </w:p>
        </w:tc>
        <w:tc>
          <w:tcPr>
            <w:tcW w:w="898"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5</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252"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可持续影响指标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hint="eastAsia" w:eastAsia="仿宋_GB2312"/>
                <w:b w:val="0"/>
                <w:i w:val="0"/>
                <w:caps w:val="0"/>
                <w:color w:val="000000"/>
                <w:spacing w:val="0"/>
                <w:w w:val="100"/>
                <w:kern w:val="0"/>
                <w:sz w:val="20"/>
                <w:lang w:eastAsia="zh-CN"/>
              </w:rPr>
              <w:t>法治</w:t>
            </w:r>
            <w:r>
              <w:rPr>
                <w:rFonts w:hint="eastAsia" w:eastAsia="仿宋_GB2312"/>
                <w:b w:val="0"/>
                <w:i w:val="0"/>
                <w:caps w:val="0"/>
                <w:color w:val="000000"/>
                <w:spacing w:val="0"/>
                <w:w w:val="100"/>
                <w:kern w:val="0"/>
                <w:sz w:val="20"/>
                <w:lang w:val="zh-CN" w:eastAsia="zh-CN"/>
              </w:rPr>
              <w:t>政府</w:t>
            </w:r>
            <w:r>
              <w:rPr>
                <w:rFonts w:hint="eastAsia" w:eastAsia="仿宋_GB2312"/>
                <w:b w:val="0"/>
                <w:i w:val="0"/>
                <w:caps w:val="0"/>
                <w:color w:val="000000"/>
                <w:spacing w:val="0"/>
                <w:w w:val="100"/>
                <w:kern w:val="0"/>
                <w:sz w:val="20"/>
                <w:lang w:eastAsia="zh-CN"/>
              </w:rPr>
              <w:t>建设纵深</w:t>
            </w:r>
            <w:r>
              <w:rPr>
                <w:rFonts w:hint="eastAsia" w:eastAsia="仿宋_GB2312"/>
                <w:b w:val="0"/>
                <w:i w:val="0"/>
                <w:caps w:val="0"/>
                <w:color w:val="000000"/>
                <w:spacing w:val="0"/>
                <w:w w:val="100"/>
                <w:kern w:val="0"/>
                <w:sz w:val="20"/>
                <w:lang w:val="zh-CN" w:eastAsia="zh-CN"/>
              </w:rPr>
              <w:t>推进，</w:t>
            </w:r>
            <w:r>
              <w:rPr>
                <w:rFonts w:hint="eastAsia" w:eastAsia="仿宋_GB2312"/>
                <w:b w:val="0"/>
                <w:i w:val="0"/>
                <w:caps w:val="0"/>
                <w:color w:val="000000"/>
                <w:spacing w:val="0"/>
                <w:w w:val="100"/>
                <w:kern w:val="0"/>
                <w:sz w:val="20"/>
                <w:lang w:eastAsia="zh-CN"/>
              </w:rPr>
              <w:t>推进全面依法治县。</w:t>
            </w:r>
          </w:p>
        </w:tc>
        <w:tc>
          <w:tcPr>
            <w:tcW w:w="1200" w:type="dxa"/>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100%</w:t>
            </w:r>
          </w:p>
        </w:tc>
        <w:tc>
          <w:tcPr>
            <w:tcW w:w="709"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5</w:t>
            </w:r>
          </w:p>
        </w:tc>
        <w:tc>
          <w:tcPr>
            <w:tcW w:w="898"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5</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1395" w:type="dxa"/>
            <w:vMerge w:val="restart"/>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满意度</w:t>
            </w:r>
          </w:p>
          <w:p>
            <w:pPr>
              <w:widowControl/>
              <w:jc w:val="center"/>
              <w:rPr>
                <w:rFonts w:eastAsia="仿宋_GB2312"/>
                <w:color w:val="000000"/>
                <w:kern w:val="0"/>
              </w:rPr>
            </w:pPr>
            <w:r>
              <w:rPr>
                <w:rFonts w:eastAsia="仿宋_GB2312"/>
                <w:color w:val="000000"/>
                <w:kern w:val="0"/>
              </w:rPr>
              <w:t>指标</w:t>
            </w:r>
          </w:p>
          <w:p>
            <w:pPr>
              <w:widowControl/>
              <w:jc w:val="center"/>
              <w:rPr>
                <w:rFonts w:eastAsia="仿宋_GB2312"/>
                <w:color w:val="000000"/>
                <w:kern w:val="0"/>
              </w:rPr>
            </w:pPr>
            <w:r>
              <w:rPr>
                <w:rFonts w:eastAsia="仿宋_GB2312"/>
                <w:color w:val="000000"/>
                <w:kern w:val="0"/>
              </w:rPr>
              <w:t>（10</w:t>
            </w:r>
            <w:r>
              <w:rPr>
                <w:rFonts w:ascii="仿宋_GB2312" w:hAnsi="仿宋_GB2312" w:eastAsia="仿宋_GB2312"/>
                <w:color w:val="000000"/>
                <w:kern w:val="0"/>
              </w:rPr>
              <w:t>分）</w:t>
            </w:r>
          </w:p>
        </w:tc>
        <w:tc>
          <w:tcPr>
            <w:tcW w:w="1252" w:type="dxa"/>
            <w:vMerge w:val="restart"/>
            <w:tcBorders>
              <w:top w:val="nil"/>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服务对象满意度指标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hint="eastAsia" w:eastAsia="仿宋_GB2312"/>
                <w:b w:val="0"/>
                <w:i w:val="0"/>
                <w:caps w:val="0"/>
                <w:color w:val="000000"/>
                <w:spacing w:val="0"/>
                <w:w w:val="100"/>
                <w:kern w:val="0"/>
                <w:sz w:val="20"/>
                <w:lang w:val="en-US" w:eastAsia="zh-CN"/>
              </w:rPr>
              <w:t>人民群众对机关履职评价</w:t>
            </w:r>
          </w:p>
        </w:tc>
        <w:tc>
          <w:tcPr>
            <w:tcW w:w="1200" w:type="dxa"/>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lang w:val="en-US" w:eastAsia="zh-CN"/>
              </w:rPr>
              <w:t>100%</w:t>
            </w:r>
          </w:p>
        </w:tc>
        <w:tc>
          <w:tcPr>
            <w:tcW w:w="709"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hint="default" w:eastAsia="仿宋_GB2312"/>
                <w:color w:val="000000"/>
                <w:kern w:val="0"/>
                <w:lang w:val="en-US" w:eastAsia="zh-CN"/>
              </w:rPr>
            </w:pPr>
            <w:r>
              <w:rPr>
                <w:rFonts w:hint="eastAsia" w:eastAsia="仿宋_GB2312"/>
                <w:color w:val="000000"/>
                <w:kern w:val="0"/>
                <w:lang w:val="en-US" w:eastAsia="zh-CN"/>
              </w:rPr>
              <w:t>5</w:t>
            </w:r>
          </w:p>
        </w:tc>
        <w:tc>
          <w:tcPr>
            <w:tcW w:w="89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hint="eastAsia" w:eastAsia="仿宋_GB2312"/>
                <w:color w:val="000000"/>
                <w:kern w:val="0"/>
                <w:lang w:eastAsia="zh-CN"/>
              </w:rPr>
            </w:pPr>
            <w:r>
              <w:rPr>
                <w:rFonts w:hint="eastAsia" w:eastAsia="仿宋_GB2312"/>
                <w:b w:val="0"/>
                <w:i w:val="0"/>
                <w:caps w:val="0"/>
                <w:color w:val="000000"/>
                <w:spacing w:val="0"/>
                <w:w w:val="100"/>
                <w:kern w:val="0"/>
                <w:sz w:val="21"/>
                <w:lang w:val="en-US" w:eastAsia="zh-CN"/>
              </w:rPr>
              <w:t>5</w:t>
            </w:r>
          </w:p>
        </w:tc>
        <w:tc>
          <w:tcPr>
            <w:tcW w:w="1446"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eastAsia="仿宋_GB2312"/>
                <w:b w:val="0"/>
                <w:i w:val="0"/>
                <w:caps w:val="0"/>
                <w:color w:val="000000"/>
                <w:spacing w:val="0"/>
                <w:w w:val="100"/>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rPr>
            </w:pPr>
          </w:p>
        </w:tc>
        <w:tc>
          <w:tcPr>
            <w:tcW w:w="1209" w:type="dxa"/>
            <w:gridSpan w:val="2"/>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hint="eastAsia" w:eastAsia="仿宋_GB2312"/>
                <w:b w:val="0"/>
                <w:i w:val="0"/>
                <w:caps w:val="0"/>
                <w:color w:val="000000"/>
                <w:spacing w:val="0"/>
                <w:w w:val="100"/>
                <w:kern w:val="0"/>
                <w:sz w:val="20"/>
                <w:lang w:val="en-US" w:eastAsia="zh-CN"/>
              </w:rPr>
              <w:t>人民群众对业务工作评价</w:t>
            </w:r>
          </w:p>
        </w:tc>
        <w:tc>
          <w:tcPr>
            <w:tcW w:w="1200"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lang w:val="en-US" w:eastAsia="zh-CN"/>
              </w:rPr>
              <w:t>100%</w:t>
            </w:r>
          </w:p>
        </w:tc>
        <w:tc>
          <w:tcPr>
            <w:tcW w:w="709"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hint="eastAsia" w:eastAsia="仿宋_GB2312"/>
                <w:color w:val="000000"/>
                <w:kern w:val="0"/>
                <w:lang w:val="en-US" w:eastAsia="zh-CN"/>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1"/>
                <w:lang w:val="en-US" w:eastAsia="zh-CN"/>
              </w:rPr>
              <w:t>5</w:t>
            </w:r>
          </w:p>
        </w:tc>
        <w:tc>
          <w:tcPr>
            <w:tcW w:w="89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hint="eastAsia" w:eastAsia="仿宋_GB2312"/>
                <w:color w:val="000000"/>
                <w:kern w:val="0"/>
                <w:lang w:eastAsia="zh-CN"/>
              </w:rPr>
            </w:pPr>
            <w:r>
              <w:rPr>
                <w:rFonts w:hint="eastAsia" w:eastAsia="仿宋_GB2312"/>
                <w:b w:val="0"/>
                <w:i w:val="0"/>
                <w:caps w:val="0"/>
                <w:color w:val="000000"/>
                <w:spacing w:val="0"/>
                <w:w w:val="100"/>
                <w:kern w:val="0"/>
                <w:sz w:val="21"/>
                <w:lang w:val="en-US" w:eastAsia="zh-CN"/>
              </w:rPr>
              <w:t>5</w:t>
            </w:r>
          </w:p>
        </w:tc>
        <w:tc>
          <w:tcPr>
            <w:tcW w:w="1446"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eastAsia="仿宋_GB2312"/>
                <w:b w:val="0"/>
                <w:i w:val="0"/>
                <w:caps w:val="0"/>
                <w:color w:val="000000"/>
                <w:spacing w:val="0"/>
                <w:w w:val="100"/>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0"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总分</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eastAsia="仿宋_GB2312"/>
                <w:color w:val="000000"/>
                <w:kern w:val="0"/>
              </w:rPr>
              <w:t>100</w:t>
            </w:r>
          </w:p>
        </w:tc>
        <w:tc>
          <w:tcPr>
            <w:tcW w:w="898" w:type="dxa"/>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98</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p>
        </w:tc>
      </w:tr>
    </w:tbl>
    <w:p>
      <w:pPr>
        <w:widowControl/>
        <w:spacing w:line="340" w:lineRule="exact"/>
        <w:jc w:val="left"/>
        <w:rPr>
          <w:rFonts w:hint="eastAsia" w:eastAsia="黑体"/>
          <w:sz w:val="32"/>
          <w:szCs w:val="32"/>
        </w:rPr>
      </w:pPr>
      <w:r>
        <w:rPr>
          <w:rFonts w:eastAsia="黑体"/>
          <w:sz w:val="32"/>
          <w:szCs w:val="32"/>
        </w:rPr>
        <w:t xml:space="preserve"> </w:t>
      </w:r>
    </w:p>
    <w:p>
      <w:pPr>
        <w:widowControl/>
        <w:jc w:val="left"/>
        <w:rPr>
          <w:rFonts w:hint="eastAsia" w:ascii="仿宋_GB2312" w:hAnsi="仿宋_GB2312" w:eastAsia="宋体"/>
          <w:kern w:val="0"/>
          <w:lang w:eastAsia="zh-CN"/>
        </w:rPr>
      </w:pPr>
      <w:r>
        <w:rPr>
          <w:rFonts w:ascii="仿宋_GB2312" w:hAnsi="仿宋_GB2312"/>
          <w:kern w:val="0"/>
        </w:rPr>
        <w:t>填表人：</w:t>
      </w:r>
      <w:r>
        <w:rPr>
          <w:rFonts w:hint="eastAsia" w:ascii="仿宋_GB2312" w:hAnsi="仿宋_GB2312"/>
          <w:kern w:val="0"/>
          <w:lang w:eastAsia="zh-CN"/>
        </w:rPr>
        <w:t>文海娟</w:t>
      </w:r>
      <w:r>
        <w:rPr>
          <w:rFonts w:ascii="仿宋_GB2312" w:hAnsi="仿宋_GB2312"/>
          <w:kern w:val="0"/>
        </w:rPr>
        <w:t xml:space="preserve">   联系电话：</w:t>
      </w:r>
      <w:r>
        <w:rPr>
          <w:rFonts w:hint="eastAsia" w:ascii="仿宋_GB2312" w:hAnsi="仿宋_GB2312"/>
          <w:kern w:val="0"/>
          <w:lang w:val="en-US" w:eastAsia="zh-CN"/>
        </w:rPr>
        <w:t>7723477</w:t>
      </w:r>
      <w:r>
        <w:rPr>
          <w:rFonts w:ascii="仿宋_GB2312" w:hAnsi="仿宋_GB2312"/>
          <w:kern w:val="0"/>
        </w:rPr>
        <w:t xml:space="preserve">    填报日期：</w:t>
      </w:r>
      <w:r>
        <w:rPr>
          <w:rFonts w:hint="eastAsia" w:ascii="仿宋_GB2312" w:hAnsi="仿宋_GB2312"/>
          <w:kern w:val="0"/>
          <w:lang w:val="en-US" w:eastAsia="zh-CN"/>
        </w:rPr>
        <w:t>2022.6.29</w:t>
      </w:r>
      <w:r>
        <w:rPr>
          <w:rFonts w:ascii="仿宋_GB2312" w:hAnsi="仿宋_GB2312"/>
          <w:kern w:val="0"/>
        </w:rPr>
        <w:t xml:space="preserve">    位负责人签字：</w:t>
      </w:r>
      <w:r>
        <w:rPr>
          <w:rFonts w:hint="eastAsia" w:ascii="仿宋_GB2312" w:hAnsi="仿宋_GB2312"/>
          <w:kern w:val="0"/>
          <w:lang w:eastAsia="zh-CN"/>
        </w:rPr>
        <w:t>黄毅</w:t>
      </w:r>
    </w:p>
    <w:p>
      <w:pPr>
        <w:widowControl/>
        <w:jc w:val="left"/>
        <w:rPr>
          <w:rFonts w:hint="eastAsia" w:ascii="仿宋_GB2312" w:hAnsi="仿宋_GB2312"/>
          <w:kern w:val="0"/>
        </w:rPr>
      </w:pPr>
    </w:p>
    <w:p>
      <w:pPr>
        <w:pStyle w:val="2"/>
        <w:rPr>
          <w:rFonts w:hint="eastAsia" w:ascii="仿宋_GB2312" w:hAnsi="仿宋_GB2312"/>
          <w:kern w:val="0"/>
        </w:rPr>
      </w:pPr>
    </w:p>
    <w:p>
      <w:pPr>
        <w:pStyle w:val="2"/>
        <w:rPr>
          <w:rFonts w:hint="eastAsia" w:ascii="仿宋_GB2312" w:hAnsi="仿宋_GB2312"/>
          <w:kern w:val="0"/>
        </w:rPr>
      </w:pPr>
    </w:p>
    <w:p>
      <w:pPr>
        <w:pStyle w:val="2"/>
        <w:rPr>
          <w:rFonts w:hint="eastAsia" w:ascii="仿宋_GB2312" w:hAnsi="仿宋_GB2312"/>
          <w:kern w:val="0"/>
        </w:rPr>
      </w:pPr>
    </w:p>
    <w:p>
      <w:pPr>
        <w:pStyle w:val="2"/>
        <w:rPr>
          <w:rFonts w:hint="eastAsia" w:ascii="仿宋_GB2312" w:hAnsi="仿宋_GB2312"/>
          <w:kern w:val="0"/>
        </w:rPr>
      </w:pPr>
    </w:p>
    <w:p>
      <w:pPr>
        <w:pStyle w:val="2"/>
        <w:rPr>
          <w:rFonts w:hint="eastAsia" w:ascii="仿宋_GB2312" w:hAnsi="仿宋_GB2312"/>
          <w:kern w:val="0"/>
        </w:rPr>
      </w:pPr>
    </w:p>
    <w:p>
      <w:pPr>
        <w:pStyle w:val="2"/>
        <w:rPr>
          <w:rFonts w:hint="eastAsia" w:ascii="仿宋_GB2312" w:hAnsi="仿宋_GB2312"/>
          <w:kern w:val="0"/>
        </w:rPr>
      </w:pPr>
    </w:p>
    <w:p>
      <w:pPr>
        <w:pStyle w:val="2"/>
        <w:rPr>
          <w:rFonts w:hint="eastAsia" w:ascii="仿宋_GB2312" w:hAnsi="仿宋_GB2312"/>
          <w:kern w:val="0"/>
        </w:rPr>
      </w:pPr>
    </w:p>
    <w:p>
      <w:pPr>
        <w:pStyle w:val="2"/>
        <w:rPr>
          <w:rFonts w:hint="eastAsia" w:ascii="仿宋_GB2312" w:hAnsi="仿宋_GB2312"/>
          <w:kern w:val="0"/>
        </w:rPr>
      </w:pPr>
    </w:p>
    <w:p>
      <w:pPr>
        <w:pStyle w:val="2"/>
        <w:rPr>
          <w:rFonts w:hint="eastAsia" w:ascii="仿宋_GB2312" w:hAnsi="仿宋_GB2312"/>
          <w:kern w:val="0"/>
        </w:rPr>
      </w:pPr>
    </w:p>
    <w:p>
      <w:pPr>
        <w:pStyle w:val="2"/>
        <w:rPr>
          <w:rFonts w:hint="eastAsia" w:ascii="仿宋_GB2312" w:hAnsi="仿宋_GB2312"/>
          <w:kern w:val="0"/>
        </w:rPr>
      </w:pPr>
    </w:p>
    <w:p>
      <w:pPr>
        <w:pStyle w:val="2"/>
        <w:rPr>
          <w:rFonts w:hint="eastAsia" w:ascii="仿宋_GB2312" w:hAnsi="仿宋_GB2312"/>
          <w:kern w:val="0"/>
        </w:rPr>
      </w:pPr>
    </w:p>
    <w:p>
      <w:pPr>
        <w:pStyle w:val="2"/>
        <w:rPr>
          <w:rFonts w:hint="eastAsia" w:ascii="仿宋_GB2312" w:hAnsi="仿宋_GB2312"/>
          <w:kern w:val="0"/>
        </w:rPr>
      </w:pPr>
    </w:p>
    <w:p>
      <w:pPr>
        <w:pStyle w:val="2"/>
        <w:rPr>
          <w:rFonts w:hint="eastAsia" w:ascii="仿宋_GB2312" w:hAnsi="仿宋_GB2312"/>
          <w:kern w:val="0"/>
        </w:rPr>
      </w:pPr>
    </w:p>
    <w:p>
      <w:pPr>
        <w:pStyle w:val="2"/>
        <w:rPr>
          <w:rFonts w:hint="eastAsia" w:ascii="仿宋_GB2312" w:hAnsi="仿宋_GB2312"/>
          <w:kern w:val="0"/>
        </w:rPr>
      </w:pPr>
    </w:p>
    <w:p>
      <w:pPr>
        <w:pStyle w:val="2"/>
        <w:rPr>
          <w:rFonts w:hint="eastAsia" w:ascii="仿宋_GB2312" w:hAnsi="仿宋_GB2312"/>
          <w:kern w:val="0"/>
        </w:rPr>
      </w:pPr>
    </w:p>
    <w:p>
      <w:pPr>
        <w:pStyle w:val="2"/>
        <w:rPr>
          <w:rFonts w:hint="eastAsia" w:ascii="仿宋_GB2312" w:hAnsi="仿宋_GB2312"/>
          <w:kern w:val="0"/>
        </w:rPr>
      </w:pPr>
    </w:p>
    <w:p>
      <w:pPr>
        <w:pStyle w:val="2"/>
        <w:rPr>
          <w:rFonts w:hint="eastAsia" w:ascii="仿宋_GB2312" w:hAnsi="仿宋_GB2312"/>
          <w:kern w:val="0"/>
        </w:rPr>
      </w:pPr>
    </w:p>
    <w:p>
      <w:pPr>
        <w:pStyle w:val="2"/>
        <w:rPr>
          <w:rFonts w:hint="eastAsia" w:ascii="仿宋_GB2312" w:hAnsi="仿宋_GB2312"/>
          <w:kern w:val="0"/>
        </w:rPr>
      </w:pPr>
    </w:p>
    <w:p>
      <w:pPr>
        <w:widowControl/>
        <w:jc w:val="left"/>
        <w:rPr>
          <w:rFonts w:hint="eastAsia" w:ascii="仿宋_GB2312" w:hAnsi="仿宋_GB2312"/>
          <w:kern w:val="0"/>
        </w:rPr>
      </w:pPr>
    </w:p>
    <w:p>
      <w:pPr>
        <w:widowControl/>
        <w:spacing w:line="300" w:lineRule="exact"/>
        <w:jc w:val="left"/>
        <w:rPr>
          <w:rFonts w:eastAsia="黑体"/>
          <w:sz w:val="32"/>
          <w:szCs w:val="32"/>
        </w:rPr>
      </w:pPr>
      <w:r>
        <w:rPr>
          <w:rFonts w:ascii="黑体" w:hAnsi="黑体" w:eastAsia="黑体"/>
          <w:sz w:val="32"/>
          <w:szCs w:val="32"/>
        </w:rPr>
        <w:t>附件</w:t>
      </w:r>
      <w:r>
        <w:rPr>
          <w:rFonts w:hint="eastAsia" w:eastAsia="黑体"/>
          <w:sz w:val="32"/>
          <w:szCs w:val="32"/>
        </w:rPr>
        <w:t>3</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eastAsia="方正小标宋_GBK"/>
          <w:color w:val="000000"/>
          <w:kern w:val="0"/>
          <w:sz w:val="36"/>
          <w:szCs w:val="36"/>
        </w:rPr>
      </w:pPr>
      <w:r>
        <w:rPr>
          <w:rFonts w:ascii="方正小标宋_GBK" w:hAnsi="方正小标宋_GBK" w:eastAsia="方正小标宋_GBK"/>
          <w:color w:val="000000"/>
          <w:kern w:val="0"/>
          <w:sz w:val="36"/>
          <w:szCs w:val="36"/>
        </w:rPr>
        <w:t>项目支出绩效自评表</w:t>
      </w:r>
    </w:p>
    <w:p>
      <w:pPr>
        <w:widowControl/>
        <w:spacing w:line="300" w:lineRule="exact"/>
        <w:jc w:val="center"/>
        <w:rPr>
          <w:rFonts w:eastAsia="仿宋_GB2312"/>
          <w:color w:val="000000"/>
          <w:kern w:val="0"/>
        </w:rPr>
      </w:pPr>
      <w:r>
        <w:rPr>
          <w:rFonts w:ascii="仿宋_GB2312" w:hAnsi="仿宋_GB2312" w:eastAsia="仿宋_GB2312"/>
          <w:color w:val="000000"/>
          <w:kern w:val="0"/>
        </w:rPr>
        <w:t>（</w:t>
      </w:r>
      <w:r>
        <w:rPr>
          <w:rFonts w:hint="eastAsia" w:ascii="仿宋_GB2312" w:hAnsi="仿宋_GB2312" w:eastAsia="仿宋_GB2312"/>
          <w:color w:val="000000"/>
          <w:kern w:val="0"/>
          <w:lang w:val="en-US" w:eastAsia="zh-CN"/>
        </w:rPr>
        <w:t>2021</w:t>
      </w:r>
      <w:r>
        <w:rPr>
          <w:rFonts w:ascii="仿宋_GB2312" w:hAnsi="仿宋_GB2312" w:eastAsia="仿宋_GB2312"/>
          <w:color w:val="000000"/>
          <w:kern w:val="0"/>
        </w:rPr>
        <w:t>年度）</w:t>
      </w:r>
    </w:p>
    <w:tbl>
      <w:tblPr>
        <w:tblStyle w:val="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项目支</w:t>
            </w:r>
          </w:p>
          <w:p>
            <w:pPr>
              <w:widowControl/>
              <w:spacing w:line="300" w:lineRule="exact"/>
              <w:jc w:val="center"/>
              <w:rPr>
                <w:rFonts w:eastAsia="仿宋_GB2312"/>
                <w:color w:val="000000"/>
                <w:kern w:val="0"/>
              </w:rPr>
            </w:pPr>
            <w:r>
              <w:rPr>
                <w:rFonts w:eastAsia="仿宋_GB2312"/>
                <w:color w:val="000000"/>
                <w:kern w:val="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hint="eastAsia" w:eastAsia="仿宋_GB2312"/>
                <w:b w:val="0"/>
                <w:i w:val="0"/>
                <w:caps w:val="0"/>
                <w:color w:val="000000"/>
                <w:spacing w:val="0"/>
                <w:w w:val="100"/>
                <w:kern w:val="0"/>
                <w:sz w:val="21"/>
                <w:lang w:val="en-US" w:eastAsia="zh-CN"/>
              </w:rPr>
              <w:t>法律援助</w:t>
            </w: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eastAsia="仿宋_GB2312"/>
                <w:color w:val="000000"/>
                <w:kern w:val="0"/>
                <w:lang w:eastAsia="zh-CN"/>
              </w:rPr>
            </w:pPr>
            <w:r>
              <w:rPr>
                <w:rFonts w:eastAsia="仿宋_GB2312"/>
                <w:color w:val="000000"/>
                <w:kern w:val="0"/>
              </w:rPr>
              <w:t>　</w:t>
            </w:r>
            <w:r>
              <w:rPr>
                <w:rFonts w:hint="eastAsia" w:eastAsia="仿宋_GB2312"/>
                <w:color w:val="000000"/>
                <w:kern w:val="0"/>
                <w:lang w:eastAsia="zh-CN"/>
              </w:rPr>
              <w:t>双牌县财政局</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r>
              <w:rPr>
                <w:rFonts w:hint="eastAsia" w:eastAsia="仿宋_GB2312"/>
                <w:b w:val="0"/>
                <w:i w:val="0"/>
                <w:caps w:val="0"/>
                <w:color w:val="000000"/>
                <w:spacing w:val="0"/>
                <w:w w:val="100"/>
                <w:kern w:val="0"/>
                <w:sz w:val="21"/>
                <w:lang w:val="en-US" w:eastAsia="zh-CN"/>
              </w:rPr>
              <w:t>双牌县司法局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eastAsia="仿宋_GB2312"/>
                <w:color w:val="000000"/>
                <w:kern w:val="0"/>
                <w:lang w:eastAsia="zh-CN"/>
              </w:rPr>
            </w:pPr>
            <w:r>
              <w:rPr>
                <w:rFonts w:eastAsia="仿宋_GB2312"/>
                <w:color w:val="000000"/>
                <w:kern w:val="0"/>
              </w:rPr>
              <w:t>项目资金</w:t>
            </w:r>
          </w:p>
          <w:p>
            <w:pPr>
              <w:widowControl/>
              <w:spacing w:line="300" w:lineRule="exact"/>
              <w:jc w:val="center"/>
              <w:rPr>
                <w:rFonts w:eastAsia="仿宋_GB2312"/>
                <w:color w:val="000000"/>
                <w:kern w:val="0"/>
              </w:rPr>
            </w:pPr>
            <w:r>
              <w:rPr>
                <w:rFonts w:eastAsia="仿宋_GB2312"/>
                <w:color w:val="000000"/>
                <w:kern w:val="0"/>
              </w:rPr>
              <w:t>（万元）</w:t>
            </w: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000000"/>
                <w:kern w:val="0"/>
                <w:lang w:val="en-US" w:eastAsia="zh-CN"/>
              </w:rPr>
            </w:pP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仿宋_GB2312"/>
                <w:color w:val="000000"/>
                <w:kern w:val="0"/>
              </w:rPr>
            </w:pPr>
            <w:r>
              <w:rPr>
                <w:rFonts w:eastAsia="仿宋_GB2312"/>
                <w:color w:val="000000"/>
                <w:kern w:val="0"/>
              </w:rPr>
              <w:t>年初</w:t>
            </w:r>
          </w:p>
          <w:p>
            <w:pPr>
              <w:widowControl/>
              <w:spacing w:line="300" w:lineRule="exact"/>
              <w:jc w:val="center"/>
              <w:rPr>
                <w:rFonts w:eastAsia="仿宋_GB2312"/>
                <w:color w:val="000000"/>
                <w:kern w:val="0"/>
              </w:rPr>
            </w:pPr>
            <w:r>
              <w:rPr>
                <w:rFonts w:eastAsia="仿宋_GB2312"/>
                <w:color w:val="000000"/>
                <w:kern w:val="0"/>
              </w:rPr>
              <w:t>预算数</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仿宋_GB2312"/>
                <w:color w:val="000000"/>
                <w:kern w:val="0"/>
              </w:rPr>
            </w:pPr>
            <w:r>
              <w:rPr>
                <w:rFonts w:eastAsia="仿宋_GB2312"/>
                <w:color w:val="000000"/>
                <w:kern w:val="0"/>
              </w:rPr>
              <w:t>全年</w:t>
            </w:r>
          </w:p>
          <w:p>
            <w:pPr>
              <w:widowControl/>
              <w:spacing w:line="300" w:lineRule="exact"/>
              <w:jc w:val="center"/>
              <w:rPr>
                <w:rFonts w:eastAsia="仿宋_GB2312"/>
                <w:color w:val="000000"/>
                <w:kern w:val="0"/>
              </w:rPr>
            </w:pPr>
            <w:r>
              <w:rPr>
                <w:rFonts w:eastAsia="仿宋_GB2312"/>
                <w:color w:val="000000"/>
                <w:kern w:val="0"/>
              </w:rPr>
              <w:t>预算数</w:t>
            </w:r>
          </w:p>
        </w:tc>
        <w:tc>
          <w:tcPr>
            <w:tcW w:w="113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_GB2312"/>
              </w:rPr>
            </w:pPr>
            <w:r>
              <w:rPr>
                <w:rFonts w:eastAsia="仿宋_GB2312"/>
              </w:rPr>
              <w:t>全年</w:t>
            </w:r>
          </w:p>
          <w:p>
            <w:pPr>
              <w:spacing w:line="300" w:lineRule="exact"/>
              <w:jc w:val="center"/>
              <w:rPr>
                <w:rFonts w:eastAsia="仿宋_GB2312"/>
              </w:rPr>
            </w:pPr>
            <w:r>
              <w:rPr>
                <w:rFonts w:eastAsia="仿宋_GB2312"/>
              </w:rPr>
              <w:t>执行数</w:t>
            </w:r>
          </w:p>
        </w:tc>
        <w:tc>
          <w:tcPr>
            <w:tcW w:w="828"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仿宋_GB2312"/>
              </w:rPr>
            </w:pPr>
            <w:r>
              <w:rPr>
                <w:rFonts w:eastAsia="仿宋_GB2312"/>
              </w:rPr>
              <w:t>分值</w:t>
            </w:r>
          </w:p>
        </w:tc>
        <w:tc>
          <w:tcPr>
            <w:tcW w:w="87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仿宋_GB2312"/>
              </w:rPr>
            </w:pPr>
            <w:r>
              <w:rPr>
                <w:rFonts w:eastAsia="仿宋_GB2312"/>
              </w:rPr>
              <w:t>执行率</w:t>
            </w:r>
          </w:p>
        </w:tc>
        <w:tc>
          <w:tcPr>
            <w:tcW w:w="1418"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仿宋_GB2312"/>
              </w:rPr>
            </w:pPr>
            <w:r>
              <w:rPr>
                <w:rFonts w:eastAsia="仿宋_GB231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xml:space="preserve">年度资金总额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000000"/>
                <w:kern w:val="0"/>
                <w:lang w:val="en-US" w:eastAsia="zh-CN"/>
              </w:rPr>
            </w:pPr>
            <w:r>
              <w:rPr>
                <w:rFonts w:hint="eastAsia" w:eastAsia="仿宋_GB2312"/>
                <w:color w:val="000000"/>
                <w:kern w:val="0"/>
                <w:lang w:val="en-US" w:eastAsia="zh-CN"/>
              </w:rPr>
              <w:t>317.23</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000000"/>
                <w:kern w:val="0"/>
                <w:lang w:val="en-US" w:eastAsia="zh-CN"/>
              </w:rPr>
            </w:pPr>
            <w:r>
              <w:rPr>
                <w:rFonts w:hint="eastAsia" w:eastAsia="仿宋_GB2312"/>
                <w:color w:val="000000"/>
                <w:kern w:val="0"/>
                <w:lang w:val="en-US" w:eastAsia="zh-CN"/>
              </w:rPr>
              <w:t>317.23</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000000"/>
                <w:kern w:val="0"/>
                <w:lang w:val="en-US" w:eastAsia="zh-CN"/>
              </w:rPr>
            </w:pPr>
            <w:r>
              <w:rPr>
                <w:rFonts w:hint="eastAsia" w:eastAsia="仿宋_GB2312"/>
                <w:color w:val="000000"/>
                <w:kern w:val="0"/>
                <w:lang w:val="en-US" w:eastAsia="zh-CN"/>
              </w:rPr>
              <w:t>317.23</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000000"/>
                <w:kern w:val="0"/>
                <w:lang w:val="en-US" w:eastAsia="zh-CN"/>
              </w:rPr>
            </w:pPr>
            <w:r>
              <w:rPr>
                <w:rFonts w:hint="eastAsia" w:eastAsia="仿宋_GB2312"/>
                <w:color w:val="000000"/>
                <w:kern w:val="0"/>
                <w:lang w:val="en-US" w:eastAsia="zh-CN"/>
              </w:rPr>
              <w:t>100%</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000000"/>
                <w:kern w:val="0"/>
                <w:lang w:val="en-US" w:eastAsia="zh-CN"/>
              </w:rPr>
            </w:pPr>
            <w:r>
              <w:rPr>
                <w:rFonts w:hint="eastAsia" w:eastAsia="仿宋_GB2312"/>
                <w:color w:val="000000"/>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xml:space="preserve">其中：当年财政拨款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hint="eastAsia" w:eastAsia="仿宋_GB2312"/>
                <w:color w:val="000000"/>
                <w:kern w:val="0"/>
                <w:lang w:val="en-US" w:eastAsia="zh-CN"/>
              </w:rPr>
              <w:t>317.23</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hint="eastAsia" w:eastAsia="仿宋_GB2312"/>
                <w:color w:val="000000"/>
                <w:kern w:val="0"/>
                <w:lang w:val="en-US" w:eastAsia="zh-CN"/>
              </w:rPr>
              <w:t>317.23</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hint="eastAsia" w:eastAsia="仿宋_GB2312"/>
                <w:color w:val="000000"/>
                <w:kern w:val="0"/>
                <w:lang w:val="en-US" w:eastAsia="zh-CN"/>
              </w:rPr>
              <w:t>317.23</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000000"/>
                <w:kern w:val="0"/>
                <w:lang w:val="en-US" w:eastAsia="zh-CN"/>
              </w:rPr>
            </w:pPr>
            <w:r>
              <w:rPr>
                <w:rFonts w:hint="eastAsia" w:eastAsia="仿宋_GB2312"/>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000000"/>
                <w:kern w:val="0"/>
                <w:lang w:val="en-US" w:eastAsia="zh-CN"/>
              </w:rPr>
            </w:pPr>
            <w:r>
              <w:rPr>
                <w:rFonts w:hint="eastAsia" w:eastAsia="仿宋_GB2312"/>
                <w:color w:val="000000"/>
                <w:kern w:val="0"/>
                <w:lang w:val="en-US" w:eastAsia="zh-CN"/>
              </w:rPr>
              <w:t>100%</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000000"/>
                <w:kern w:val="0"/>
                <w:lang w:val="en-US" w:eastAsia="zh-CN"/>
              </w:rPr>
            </w:pPr>
            <w:r>
              <w:rPr>
                <w:rFonts w:hint="eastAsia" w:eastAsia="仿宋_GB2312"/>
                <w:color w:val="000000"/>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ind w:firstLine="630" w:firstLineChars="300"/>
              <w:jc w:val="left"/>
              <w:rPr>
                <w:rFonts w:eastAsia="仿宋_GB2312"/>
                <w:color w:val="000000"/>
                <w:kern w:val="0"/>
              </w:rPr>
            </w:pPr>
            <w:r>
              <w:rPr>
                <w:rFonts w:eastAsia="仿宋_GB2312"/>
                <w:color w:val="000000"/>
                <w:kern w:val="0"/>
              </w:rPr>
              <w:t xml:space="preserve">上年结转资金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ind w:firstLine="630" w:firstLineChars="300"/>
              <w:jc w:val="left"/>
              <w:rPr>
                <w:rFonts w:eastAsia="仿宋_GB2312"/>
                <w:color w:val="000000"/>
                <w:kern w:val="0"/>
              </w:rPr>
            </w:pPr>
            <w:r>
              <w:rPr>
                <w:rFonts w:eastAsia="仿宋_GB2312"/>
                <w:color w:val="000000"/>
                <w:kern w:val="0"/>
              </w:rPr>
              <w:t>其他资金</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年度总体目标</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4518"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hint="eastAsia" w:eastAsia="仿宋_GB2312"/>
                <w:color w:val="000000"/>
                <w:kern w:val="0"/>
                <w:lang w:val="en-US" w:eastAsia="zh-CN"/>
              </w:rPr>
              <w:t>317.23</w:t>
            </w:r>
            <w:r>
              <w:rPr>
                <w:rFonts w:ascii="Times New Roman" w:hAnsi="Times New Roman" w:eastAsia="仿宋_GB2312" w:cs="Times New Roman"/>
                <w:color w:val="000000"/>
                <w:kern w:val="0"/>
              </w:rPr>
              <w:t xml:space="preserve">  </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r>
              <w:rPr>
                <w:rFonts w:hint="eastAsia" w:eastAsia="仿宋_GB2312"/>
                <w:color w:val="000000"/>
                <w:kern w:val="0"/>
                <w:lang w:val="en-US" w:eastAsia="zh-CN"/>
              </w:rPr>
              <w:t>317.23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绩</w:t>
            </w:r>
          </w:p>
          <w:p>
            <w:pPr>
              <w:widowControl/>
              <w:spacing w:line="300" w:lineRule="exact"/>
              <w:jc w:val="center"/>
              <w:rPr>
                <w:rFonts w:eastAsia="仿宋_GB2312"/>
                <w:color w:val="000000"/>
                <w:kern w:val="0"/>
              </w:rPr>
            </w:pPr>
            <w:r>
              <w:rPr>
                <w:rFonts w:eastAsia="仿宋_GB2312"/>
                <w:color w:val="000000"/>
                <w:kern w:val="0"/>
              </w:rPr>
              <w:t>效</w:t>
            </w:r>
          </w:p>
          <w:p>
            <w:pPr>
              <w:widowControl/>
              <w:spacing w:line="300" w:lineRule="exact"/>
              <w:jc w:val="center"/>
              <w:rPr>
                <w:rFonts w:eastAsia="仿宋_GB2312"/>
                <w:color w:val="000000"/>
                <w:kern w:val="0"/>
              </w:rPr>
            </w:pPr>
            <w:r>
              <w:rPr>
                <w:rFonts w:eastAsia="仿宋_GB2312"/>
                <w:color w:val="000000"/>
                <w:kern w:val="0"/>
              </w:rPr>
              <w:t>指</w:t>
            </w:r>
          </w:p>
          <w:p>
            <w:pPr>
              <w:widowControl/>
              <w:spacing w:line="300" w:lineRule="exact"/>
              <w:jc w:val="center"/>
              <w:rPr>
                <w:rFonts w:eastAsia="仿宋_GB2312"/>
                <w:color w:val="000000"/>
                <w:kern w:val="0"/>
              </w:rPr>
            </w:pPr>
            <w:r>
              <w:rPr>
                <w:rFonts w:eastAsia="仿宋_GB2312"/>
                <w:color w:val="000000"/>
                <w:kern w:val="0"/>
              </w:rPr>
              <w:t>标</w:t>
            </w:r>
          </w:p>
        </w:tc>
        <w:tc>
          <w:tcPr>
            <w:tcW w:w="108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一级指标</w:t>
            </w:r>
          </w:p>
        </w:tc>
        <w:tc>
          <w:tcPr>
            <w:tcW w:w="108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二级指标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三级指标</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仿宋_GB2312"/>
                <w:color w:val="000000"/>
                <w:kern w:val="0"/>
              </w:rPr>
            </w:pPr>
            <w:r>
              <w:rPr>
                <w:rFonts w:eastAsia="仿宋_GB2312"/>
                <w:color w:val="000000"/>
                <w:kern w:val="0"/>
              </w:rPr>
              <w:t>年度</w:t>
            </w:r>
          </w:p>
          <w:p>
            <w:pPr>
              <w:widowControl/>
              <w:spacing w:line="300" w:lineRule="exact"/>
              <w:jc w:val="center"/>
              <w:rPr>
                <w:rFonts w:eastAsia="仿宋_GB2312"/>
                <w:color w:val="000000"/>
                <w:kern w:val="0"/>
              </w:rPr>
            </w:pPr>
            <w:r>
              <w:rPr>
                <w:rFonts w:eastAsia="仿宋_GB2312"/>
                <w:color w:val="000000"/>
                <w:kern w:val="0"/>
              </w:rPr>
              <w:t>指标值</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仿宋_GB2312"/>
                <w:color w:val="000000"/>
                <w:kern w:val="0"/>
              </w:rPr>
            </w:pPr>
            <w:r>
              <w:rPr>
                <w:rFonts w:eastAsia="仿宋_GB2312"/>
                <w:color w:val="000000"/>
                <w:kern w:val="0"/>
              </w:rPr>
              <w:t>实际</w:t>
            </w:r>
          </w:p>
          <w:p>
            <w:pPr>
              <w:widowControl/>
              <w:spacing w:line="300" w:lineRule="exact"/>
              <w:jc w:val="center"/>
              <w:rPr>
                <w:rFonts w:eastAsia="仿宋_GB2312"/>
                <w:color w:val="000000"/>
                <w:kern w:val="0"/>
              </w:rPr>
            </w:pPr>
            <w:r>
              <w:rPr>
                <w:rFonts w:eastAsia="仿宋_GB2312"/>
                <w:color w:val="000000"/>
                <w:kern w:val="0"/>
              </w:rPr>
              <w:t>完成值</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分值</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得分</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仿宋_GB2312"/>
                <w:color w:val="000000"/>
                <w:kern w:val="0"/>
              </w:rPr>
            </w:pPr>
            <w:r>
              <w:rPr>
                <w:rFonts w:eastAsia="仿宋_GB2312"/>
                <w:color w:val="000000"/>
                <w:kern w:val="0"/>
              </w:rPr>
              <w:t>偏差原因</w:t>
            </w:r>
          </w:p>
          <w:p>
            <w:pPr>
              <w:widowControl/>
              <w:spacing w:line="300" w:lineRule="exact"/>
              <w:jc w:val="center"/>
              <w:rPr>
                <w:rFonts w:ascii="仿宋_GB2312" w:hAnsi="仿宋_GB2312"/>
                <w:color w:val="000000"/>
                <w:kern w:val="0"/>
              </w:rPr>
            </w:pPr>
            <w:r>
              <w:rPr>
                <w:rFonts w:eastAsia="仿宋_GB2312"/>
                <w:color w:val="000000"/>
                <w:kern w:val="0"/>
              </w:rPr>
              <w:t>分析及</w:t>
            </w:r>
          </w:p>
          <w:p>
            <w:pPr>
              <w:widowControl/>
              <w:spacing w:line="300" w:lineRule="exact"/>
              <w:jc w:val="center"/>
              <w:rPr>
                <w:rFonts w:eastAsia="仿宋_GB2312"/>
                <w:color w:val="000000"/>
                <w:kern w:val="0"/>
              </w:rPr>
            </w:pPr>
            <w:r>
              <w:rPr>
                <w:rFonts w:eastAsia="仿宋_GB2312"/>
                <w:color w:val="000000"/>
                <w:kern w:val="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产出指标</w:t>
            </w:r>
          </w:p>
          <w:p>
            <w:pPr>
              <w:widowControl/>
              <w:spacing w:line="300" w:lineRule="exact"/>
              <w:jc w:val="center"/>
              <w:rPr>
                <w:rFonts w:eastAsia="仿宋_GB2312"/>
                <w:color w:val="000000"/>
                <w:kern w:val="0"/>
              </w:rPr>
            </w:pPr>
            <w:r>
              <w:rPr>
                <w:rFonts w:eastAsia="仿宋_GB2312"/>
                <w:color w:val="000000"/>
                <w:kern w:val="0"/>
              </w:rPr>
              <w:t>(50</w:t>
            </w:r>
            <w:r>
              <w:rPr>
                <w:rFonts w:ascii="仿宋_GB2312" w:hAnsi="仿宋_GB2312" w:eastAsia="仿宋_GB2312"/>
                <w:color w:val="000000"/>
                <w:kern w:val="0"/>
              </w:rPr>
              <w:t>分</w:t>
            </w:r>
            <w:r>
              <w:rPr>
                <w:rFonts w:eastAsia="仿宋_GB2312"/>
                <w:color w:val="000000"/>
                <w:kern w:val="0"/>
              </w:rPr>
              <w:t>)</w:t>
            </w: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数量指标</w:t>
            </w:r>
          </w:p>
        </w:tc>
        <w:tc>
          <w:tcPr>
            <w:tcW w:w="1149"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ascii="Times New Roman" w:hAnsi="Times New Roman" w:eastAsia="仿宋_GB2312" w:cs="Times New Roman"/>
                <w:b w:val="0"/>
                <w:i w:val="0"/>
                <w:caps w:val="0"/>
                <w:color w:val="000000"/>
                <w:spacing w:val="0"/>
                <w:w w:val="100"/>
                <w:kern w:val="0"/>
                <w:sz w:val="20"/>
                <w:szCs w:val="21"/>
                <w:lang w:val="en-US" w:eastAsia="zh-CN" w:bidi="ar-SA"/>
              </w:rPr>
            </w:pPr>
            <w:r>
              <w:rPr>
                <w:rFonts w:hint="eastAsia" w:eastAsia="仿宋_GB2312"/>
                <w:b w:val="0"/>
                <w:i w:val="0"/>
                <w:caps w:val="0"/>
                <w:color w:val="000000"/>
                <w:spacing w:val="0"/>
                <w:w w:val="100"/>
                <w:kern w:val="0"/>
                <w:sz w:val="20"/>
              </w:rPr>
              <w:t>调处矛盾纠纷</w:t>
            </w:r>
          </w:p>
        </w:tc>
        <w:tc>
          <w:tcPr>
            <w:tcW w:w="1209"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hint="default" w:ascii="Times New Roman" w:hAnsi="Times New Roman" w:eastAsia="仿宋_GB2312" w:cs="Times New Roman"/>
                <w:b w:val="0"/>
                <w:i w:val="0"/>
                <w:caps w:val="0"/>
                <w:color w:val="000000"/>
                <w:spacing w:val="0"/>
                <w:w w:val="100"/>
                <w:kern w:val="0"/>
                <w:sz w:val="20"/>
                <w:szCs w:val="21"/>
                <w:lang w:val="en-US" w:eastAsia="zh-CN" w:bidi="ar-SA"/>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1"/>
                <w:lang w:val="en-US" w:eastAsia="zh-CN"/>
              </w:rPr>
              <w:t>1676</w:t>
            </w:r>
          </w:p>
        </w:tc>
        <w:tc>
          <w:tcPr>
            <w:tcW w:w="1134"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hint="default" w:ascii="Times New Roman" w:hAnsi="Times New Roman" w:eastAsia="仿宋_GB2312" w:cs="Times New Roman"/>
                <w:b w:val="0"/>
                <w:i w:val="0"/>
                <w:caps w:val="0"/>
                <w:color w:val="000000"/>
                <w:spacing w:val="0"/>
                <w:w w:val="100"/>
                <w:kern w:val="0"/>
                <w:sz w:val="20"/>
                <w:szCs w:val="21"/>
                <w:lang w:val="en-US" w:eastAsia="zh-CN" w:bidi="ar-SA"/>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1"/>
                <w:lang w:val="en-US" w:eastAsia="zh-CN"/>
              </w:rPr>
              <w:t>1676</w:t>
            </w:r>
            <w:r>
              <w:rPr>
                <w:rFonts w:hint="eastAsia" w:eastAsia="仿宋_GB2312"/>
                <w:b w:val="0"/>
                <w:i w:val="0"/>
                <w:caps w:val="0"/>
                <w:color w:val="000000"/>
                <w:spacing w:val="0"/>
                <w:w w:val="100"/>
                <w:kern w:val="0"/>
                <w:sz w:val="20"/>
              </w:rPr>
              <w:t>起</w:t>
            </w:r>
          </w:p>
        </w:tc>
        <w:tc>
          <w:tcPr>
            <w:tcW w:w="82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hint="default" w:ascii="Times New Roman" w:hAnsi="Times New Roman" w:eastAsia="仿宋_GB2312" w:cs="Times New Roman"/>
                <w:b w:val="0"/>
                <w:i w:val="0"/>
                <w:caps w:val="0"/>
                <w:color w:val="000000"/>
                <w:spacing w:val="0"/>
                <w:w w:val="100"/>
                <w:kern w:val="0"/>
                <w:sz w:val="20"/>
                <w:szCs w:val="21"/>
                <w:lang w:val="en-US" w:eastAsia="zh-CN" w:bidi="ar-SA"/>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1"/>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hint="default" w:ascii="Times New Roman" w:hAnsi="Times New Roman" w:eastAsia="仿宋_GB2312" w:cs="Times New Roman"/>
                <w:b w:val="0"/>
                <w:i w:val="0"/>
                <w:caps w:val="0"/>
                <w:color w:val="000000"/>
                <w:spacing w:val="0"/>
                <w:w w:val="100"/>
                <w:kern w:val="0"/>
                <w:sz w:val="20"/>
                <w:szCs w:val="21"/>
                <w:lang w:val="en-US" w:eastAsia="zh-CN" w:bidi="ar-SA"/>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1"/>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300" w:lineRule="exact"/>
              <w:jc w:val="left"/>
              <w:textAlignment w:val="baseline"/>
              <w:rPr>
                <w:rFonts w:ascii="Times New Roman" w:hAnsi="Times New Roman" w:eastAsia="仿宋_GB2312" w:cs="Times New Roman"/>
                <w:b w:val="0"/>
                <w:i w:val="0"/>
                <w:caps w:val="0"/>
                <w:color w:val="000000"/>
                <w:spacing w:val="0"/>
                <w:w w:val="100"/>
                <w:kern w:val="0"/>
                <w:sz w:val="20"/>
                <w:szCs w:val="21"/>
                <w:lang w:val="en-US" w:eastAsia="zh-CN" w:bidi="ar-SA"/>
              </w:rPr>
            </w:pPr>
            <w:r>
              <w:rPr>
                <w:rFonts w:eastAsia="仿宋_GB2312"/>
                <w:b w:val="0"/>
                <w:i w:val="0"/>
                <w:caps w:val="0"/>
                <w:color w:val="000000"/>
                <w:spacing w:val="0"/>
                <w:w w:val="100"/>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1149"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hint="eastAsia" w:eastAsia="仿宋_GB2312"/>
                <w:b w:val="0"/>
                <w:i w:val="0"/>
                <w:caps w:val="0"/>
                <w:color w:val="000000"/>
                <w:spacing w:val="0"/>
                <w:w w:val="100"/>
                <w:kern w:val="0"/>
                <w:sz w:val="20"/>
              </w:rPr>
              <w:t>受理并提供法律援助案件</w:t>
            </w:r>
          </w:p>
        </w:tc>
        <w:tc>
          <w:tcPr>
            <w:tcW w:w="1209"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eastAsia="仿宋_GB2312"/>
                <w:color w:val="000000"/>
                <w:kern w:val="0"/>
              </w:rPr>
            </w:pPr>
            <w:r>
              <w:rPr>
                <w:rFonts w:hint="eastAsia" w:eastAsia="仿宋_GB2312"/>
                <w:b w:val="0"/>
                <w:i w:val="0"/>
                <w:caps w:val="0"/>
                <w:color w:val="000000"/>
                <w:spacing w:val="0"/>
                <w:w w:val="100"/>
                <w:kern w:val="0"/>
                <w:sz w:val="21"/>
                <w:lang w:val="en-US" w:eastAsia="zh-CN"/>
              </w:rPr>
              <w:t>112件</w:t>
            </w:r>
          </w:p>
        </w:tc>
        <w:tc>
          <w:tcPr>
            <w:tcW w:w="1134"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eastAsia="仿宋_GB2312"/>
                <w:b w:val="0"/>
                <w:i w:val="0"/>
                <w:caps w:val="0"/>
                <w:color w:val="000000"/>
                <w:spacing w:val="0"/>
                <w:w w:val="100"/>
                <w:kern w:val="0"/>
                <w:sz w:val="21"/>
                <w:lang w:val="en-US" w:eastAsia="zh-CN"/>
              </w:rPr>
            </w:pPr>
          </w:p>
          <w:p>
            <w:pPr>
              <w:widowControl/>
              <w:snapToGrid/>
              <w:spacing w:before="0" w:beforeAutospacing="0" w:after="0" w:afterAutospacing="0" w:line="240" w:lineRule="auto"/>
              <w:jc w:val="center"/>
              <w:textAlignment w:val="baseline"/>
              <w:rPr>
                <w:rFonts w:hint="default" w:eastAsia="仿宋_GB2312"/>
                <w:b w:val="0"/>
                <w:i w:val="0"/>
                <w:caps w:val="0"/>
                <w:color w:val="000000"/>
                <w:spacing w:val="0"/>
                <w:w w:val="100"/>
                <w:kern w:val="0"/>
                <w:sz w:val="21"/>
                <w:lang w:val="en-US" w:eastAsia="zh-CN"/>
              </w:rPr>
            </w:pPr>
            <w:r>
              <w:rPr>
                <w:rFonts w:hint="eastAsia" w:eastAsia="仿宋_GB2312"/>
                <w:b w:val="0"/>
                <w:i w:val="0"/>
                <w:caps w:val="0"/>
                <w:color w:val="000000"/>
                <w:spacing w:val="0"/>
                <w:w w:val="100"/>
                <w:kern w:val="0"/>
                <w:sz w:val="21"/>
                <w:lang w:val="en-US" w:eastAsia="zh-CN"/>
              </w:rPr>
              <w:t>112件</w:t>
            </w:r>
          </w:p>
          <w:p>
            <w:pPr>
              <w:bidi w:val="0"/>
              <w:ind w:firstLine="210" w:firstLineChars="100"/>
              <w:jc w:val="both"/>
              <w:rPr>
                <w:rFonts w:eastAsia="仿宋_GB2312"/>
                <w:color w:val="000000"/>
                <w:kern w:val="0"/>
              </w:rPr>
            </w:pPr>
          </w:p>
        </w:tc>
        <w:tc>
          <w:tcPr>
            <w:tcW w:w="82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eastAsia="仿宋_GB2312"/>
                <w:color w:val="000000"/>
                <w:kern w:val="0"/>
                <w:lang w:val="en-US" w:eastAsia="zh-CN"/>
              </w:rPr>
            </w:pPr>
            <w:r>
              <w:rPr>
                <w:rFonts w:hint="eastAsia" w:eastAsia="仿宋_GB2312"/>
                <w:b w:val="0"/>
                <w:i w:val="0"/>
                <w:caps w:val="0"/>
                <w:color w:val="000000"/>
                <w:spacing w:val="0"/>
                <w:w w:val="100"/>
                <w:kern w:val="0"/>
                <w:sz w:val="21"/>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eastAsia="仿宋_GB2312"/>
                <w:color w:val="000000"/>
                <w:kern w:val="0"/>
                <w:lang w:val="en-US" w:eastAsia="zh-CN"/>
              </w:rPr>
            </w:pPr>
            <w:r>
              <w:rPr>
                <w:rFonts w:hint="eastAsia" w:eastAsia="仿宋_GB2312"/>
                <w:b w:val="0"/>
                <w:i w:val="0"/>
                <w:caps w:val="0"/>
                <w:color w:val="000000"/>
                <w:spacing w:val="0"/>
                <w:w w:val="100"/>
                <w:kern w:val="0"/>
                <w:sz w:val="21"/>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质量指标</w:t>
            </w:r>
          </w:p>
        </w:tc>
        <w:tc>
          <w:tcPr>
            <w:tcW w:w="1149"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hint="eastAsia" w:ascii="Times New Roman" w:hAnsi="Times New Roman" w:eastAsia="仿宋_GB2312" w:cs="Times New Roman"/>
                <w:b w:val="0"/>
                <w:i w:val="0"/>
                <w:caps w:val="0"/>
                <w:color w:val="000000"/>
                <w:spacing w:val="0"/>
                <w:w w:val="100"/>
                <w:kern w:val="0"/>
                <w:sz w:val="20"/>
              </w:rPr>
              <w:t>调解成功率</w:t>
            </w:r>
          </w:p>
        </w:tc>
        <w:tc>
          <w:tcPr>
            <w:tcW w:w="1209"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1"/>
                <w:lang w:val="en-US" w:eastAsia="zh-CN"/>
              </w:rPr>
              <w:t>90%</w:t>
            </w:r>
          </w:p>
        </w:tc>
        <w:tc>
          <w:tcPr>
            <w:tcW w:w="1134"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eastAsia="仿宋_GB2312"/>
                <w:color w:val="000000"/>
                <w:kern w:val="0"/>
              </w:rPr>
            </w:pPr>
            <w:r>
              <w:rPr>
                <w:rFonts w:hint="eastAsia" w:eastAsia="仿宋_GB2312"/>
                <w:b w:val="0"/>
                <w:i w:val="0"/>
                <w:caps w:val="0"/>
                <w:color w:val="000000"/>
                <w:spacing w:val="0"/>
                <w:w w:val="100"/>
                <w:kern w:val="0"/>
                <w:sz w:val="21"/>
                <w:lang w:val="en-US" w:eastAsia="zh-CN"/>
              </w:rPr>
              <w:t>97.6</w:t>
            </w:r>
            <w:r>
              <w:rPr>
                <w:rFonts w:hint="eastAsia" w:eastAsia="仿宋_GB2312"/>
                <w:b w:val="0"/>
                <w:i w:val="0"/>
                <w:caps w:val="0"/>
                <w:color w:val="000000"/>
                <w:spacing w:val="0"/>
                <w:w w:val="100"/>
                <w:kern w:val="0"/>
                <w:sz w:val="21"/>
              </w:rPr>
              <w:t>%</w:t>
            </w:r>
          </w:p>
        </w:tc>
        <w:tc>
          <w:tcPr>
            <w:tcW w:w="82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hint="default" w:eastAsia="仿宋_GB2312"/>
                <w:color w:val="000000"/>
                <w:kern w:val="0"/>
                <w:lang w:val="en-US" w:eastAsia="zh-CN"/>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1"/>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hint="eastAsia" w:eastAsia="仿宋_GB2312"/>
                <w:color w:val="000000"/>
                <w:kern w:val="0"/>
                <w:lang w:val="en-US" w:eastAsia="zh-CN"/>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1"/>
                <w:lang w:val="en-US" w:eastAsia="zh-CN"/>
              </w:rPr>
              <w:t>8</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1149"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hint="eastAsia" w:eastAsia="仿宋_GB2312"/>
                <w:b w:val="0"/>
                <w:i w:val="0"/>
                <w:caps w:val="0"/>
                <w:color w:val="000000"/>
                <w:spacing w:val="0"/>
                <w:w w:val="100"/>
                <w:kern w:val="0"/>
                <w:sz w:val="20"/>
              </w:rPr>
              <w:t>法律援助案卷审核合格率</w:t>
            </w:r>
          </w:p>
        </w:tc>
        <w:tc>
          <w:tcPr>
            <w:tcW w:w="1209"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1"/>
                <w:lang w:val="en-US" w:eastAsia="zh-CN"/>
              </w:rPr>
              <w:t>96%</w:t>
            </w:r>
          </w:p>
        </w:tc>
        <w:tc>
          <w:tcPr>
            <w:tcW w:w="1134"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0"/>
              </w:rPr>
              <w:t>100%</w:t>
            </w:r>
          </w:p>
        </w:tc>
        <w:tc>
          <w:tcPr>
            <w:tcW w:w="82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hint="eastAsia" w:eastAsia="仿宋_GB2312"/>
                <w:color w:val="000000"/>
                <w:kern w:val="0"/>
                <w:lang w:val="en-US" w:eastAsia="zh-CN"/>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1"/>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hint="eastAsia" w:eastAsia="仿宋_GB2312"/>
                <w:color w:val="000000"/>
                <w:kern w:val="0"/>
                <w:lang w:val="en-US" w:eastAsia="zh-CN"/>
              </w:rPr>
            </w:pPr>
            <w:r>
              <w:rPr>
                <w:rFonts w:hint="eastAsia" w:eastAsia="仿宋_GB2312"/>
                <w:b w:val="0"/>
                <w:i w:val="0"/>
                <w:caps w:val="0"/>
                <w:color w:val="000000"/>
                <w:spacing w:val="0"/>
                <w:w w:val="100"/>
                <w:kern w:val="0"/>
                <w:sz w:val="21"/>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时效指标</w:t>
            </w:r>
          </w:p>
        </w:tc>
        <w:tc>
          <w:tcPr>
            <w:tcW w:w="1149"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hint="eastAsia" w:eastAsia="仿宋_GB2312"/>
                <w:b w:val="0"/>
                <w:i w:val="0"/>
                <w:caps w:val="0"/>
                <w:color w:val="000000"/>
                <w:spacing w:val="0"/>
                <w:w w:val="100"/>
                <w:kern w:val="0"/>
                <w:sz w:val="20"/>
                <w:lang w:val="en-US" w:eastAsia="zh-CN"/>
              </w:rPr>
              <w:t>调解</w:t>
            </w:r>
            <w:r>
              <w:rPr>
                <w:rFonts w:hint="eastAsia" w:eastAsia="仿宋_GB2312"/>
                <w:b w:val="0"/>
                <w:i w:val="0"/>
                <w:caps w:val="0"/>
                <w:color w:val="000000"/>
                <w:spacing w:val="0"/>
                <w:w w:val="100"/>
                <w:kern w:val="0"/>
                <w:sz w:val="20"/>
              </w:rPr>
              <w:t>案件有效投诉发生率</w:t>
            </w:r>
          </w:p>
        </w:tc>
        <w:tc>
          <w:tcPr>
            <w:tcW w:w="120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rPr>
              <w:t>全年完成</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rPr>
              <w:t>100%</w:t>
            </w:r>
          </w:p>
        </w:tc>
        <w:tc>
          <w:tcPr>
            <w:tcW w:w="82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hint="eastAsia" w:eastAsia="仿宋_GB2312"/>
                <w:color w:val="000000"/>
                <w:kern w:val="0"/>
                <w:lang w:eastAsia="zh-CN"/>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1"/>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1"/>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1149"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hint="eastAsia" w:eastAsia="仿宋_GB2312"/>
                <w:b w:val="0"/>
                <w:i w:val="0"/>
                <w:caps w:val="0"/>
                <w:color w:val="000000"/>
                <w:spacing w:val="0"/>
                <w:w w:val="100"/>
                <w:kern w:val="0"/>
                <w:sz w:val="20"/>
              </w:rPr>
              <w:t>法律援助案件有效投诉发生率</w:t>
            </w:r>
          </w:p>
        </w:tc>
        <w:tc>
          <w:tcPr>
            <w:tcW w:w="120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rPr>
              <w:t>全年完成</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rPr>
              <w:t>100%</w:t>
            </w:r>
          </w:p>
        </w:tc>
        <w:tc>
          <w:tcPr>
            <w:tcW w:w="82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hint="eastAsia" w:eastAsia="仿宋_GB2312"/>
                <w:color w:val="000000"/>
                <w:kern w:val="0"/>
                <w:lang w:val="en-US" w:eastAsia="zh-CN"/>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1"/>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hint="eastAsia" w:eastAsia="仿宋_GB2312"/>
                <w:color w:val="000000"/>
                <w:kern w:val="0"/>
                <w:lang w:val="en-US" w:eastAsia="zh-CN"/>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1"/>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成本指标</w:t>
            </w:r>
          </w:p>
        </w:tc>
        <w:tc>
          <w:tcPr>
            <w:tcW w:w="1149"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hint="eastAsia" w:eastAsia="仿宋_GB2312"/>
                <w:color w:val="000000"/>
                <w:kern w:val="0"/>
                <w:lang w:eastAsia="zh-CN"/>
              </w:rPr>
              <w:t>压缩非正常开支</w:t>
            </w:r>
          </w:p>
        </w:tc>
        <w:tc>
          <w:tcPr>
            <w:tcW w:w="120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rPr>
            </w:pPr>
            <w:r>
              <w:rPr>
                <w:rFonts w:hint="eastAsia" w:eastAsia="仿宋_GB2312"/>
                <w:color w:val="000000"/>
                <w:kern w:val="0"/>
              </w:rPr>
              <w:t>100%</w:t>
            </w:r>
          </w:p>
        </w:tc>
        <w:tc>
          <w:tcPr>
            <w:tcW w:w="1134" w:type="dxa"/>
            <w:tcBorders>
              <w:top w:val="single" w:color="auto" w:sz="4" w:space="0"/>
              <w:left w:val="nil"/>
              <w:bottom w:val="single" w:color="auto" w:sz="4" w:space="0"/>
              <w:right w:val="single" w:color="auto" w:sz="4" w:space="0"/>
            </w:tcBorders>
            <w:noWrap w:val="0"/>
            <w:vAlign w:val="center"/>
          </w:tcPr>
          <w:p>
            <w:pPr>
              <w:widowControl/>
              <w:ind w:firstLine="210" w:firstLineChars="100"/>
              <w:jc w:val="center"/>
              <w:rPr>
                <w:rFonts w:eastAsia="仿宋_GB2312"/>
                <w:color w:val="000000"/>
                <w:kern w:val="0"/>
              </w:rPr>
            </w:pPr>
            <w:r>
              <w:rPr>
                <w:rFonts w:hint="eastAsia" w:eastAsia="仿宋_GB2312"/>
                <w:color w:val="000000"/>
                <w:kern w:val="0"/>
              </w:rPr>
              <w:t>100%</w:t>
            </w:r>
          </w:p>
        </w:tc>
        <w:tc>
          <w:tcPr>
            <w:tcW w:w="828" w:type="dxa"/>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效益指标</w:t>
            </w:r>
          </w:p>
          <w:p>
            <w:pPr>
              <w:widowControl/>
              <w:spacing w:line="300" w:lineRule="exact"/>
              <w:jc w:val="left"/>
              <w:rPr>
                <w:rFonts w:eastAsia="仿宋_GB2312"/>
                <w:color w:val="000000"/>
                <w:kern w:val="0"/>
              </w:rPr>
            </w:pPr>
            <w:r>
              <w:rPr>
                <w:rFonts w:eastAsia="仿宋_GB2312"/>
                <w:color w:val="000000"/>
                <w:kern w:val="0"/>
              </w:rPr>
              <w:t>（30</w:t>
            </w:r>
            <w:r>
              <w:rPr>
                <w:rFonts w:ascii="仿宋_GB2312" w:hAnsi="仿宋_GB2312" w:eastAsia="仿宋_GB2312"/>
                <w:color w:val="000000"/>
                <w:kern w:val="0"/>
              </w:rPr>
              <w:t>分）</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经济效</w:t>
            </w:r>
          </w:p>
          <w:p>
            <w:pPr>
              <w:widowControl/>
              <w:spacing w:line="300" w:lineRule="exact"/>
              <w:jc w:val="center"/>
              <w:rPr>
                <w:rFonts w:eastAsia="仿宋_GB2312"/>
                <w:color w:val="000000"/>
                <w:kern w:val="0"/>
              </w:rPr>
            </w:pPr>
            <w:r>
              <w:rPr>
                <w:rFonts w:eastAsia="仿宋_GB2312"/>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hint="eastAsia" w:eastAsia="仿宋_GB2312"/>
                <w:b w:val="0"/>
                <w:i w:val="0"/>
                <w:caps w:val="0"/>
                <w:color w:val="000000"/>
                <w:spacing w:val="0"/>
                <w:w w:val="100"/>
                <w:kern w:val="0"/>
                <w:sz w:val="20"/>
                <w:lang w:val="en-US" w:eastAsia="zh-CN"/>
              </w:rPr>
              <w:t>调解涉及金额</w:t>
            </w:r>
          </w:p>
        </w:tc>
        <w:tc>
          <w:tcPr>
            <w:tcW w:w="1209"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eastAsia="仿宋_GB2312"/>
                <w:b w:val="0"/>
                <w:i w:val="0"/>
                <w:caps w:val="0"/>
                <w:color w:val="000000"/>
                <w:spacing w:val="0"/>
                <w:w w:val="100"/>
                <w:kern w:val="0"/>
                <w:sz w:val="21"/>
              </w:rPr>
              <w:t>　</w:t>
            </w:r>
          </w:p>
        </w:tc>
        <w:tc>
          <w:tcPr>
            <w:tcW w:w="1134"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hint="eastAsia" w:eastAsia="仿宋_GB2312"/>
                <w:b w:val="0"/>
                <w:i w:val="0"/>
                <w:caps w:val="0"/>
                <w:color w:val="000000"/>
                <w:spacing w:val="0"/>
                <w:w w:val="100"/>
                <w:kern w:val="0"/>
                <w:sz w:val="21"/>
                <w:lang w:val="en-US" w:eastAsia="zh-CN"/>
              </w:rPr>
              <w:t>354.85</w:t>
            </w:r>
            <w:r>
              <w:rPr>
                <w:rFonts w:hint="eastAsia" w:eastAsia="仿宋_GB2312"/>
                <w:b w:val="0"/>
                <w:i w:val="0"/>
                <w:caps w:val="0"/>
                <w:color w:val="000000"/>
                <w:spacing w:val="0"/>
                <w:w w:val="100"/>
                <w:kern w:val="0"/>
                <w:sz w:val="21"/>
              </w:rPr>
              <w:t>万元</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社会效</w:t>
            </w:r>
          </w:p>
          <w:p>
            <w:pPr>
              <w:widowControl/>
              <w:spacing w:line="300" w:lineRule="exact"/>
              <w:jc w:val="center"/>
              <w:rPr>
                <w:rFonts w:eastAsia="仿宋_GB2312"/>
                <w:color w:val="000000"/>
                <w:kern w:val="0"/>
              </w:rPr>
            </w:pPr>
            <w:r>
              <w:rPr>
                <w:rFonts w:eastAsia="仿宋_GB2312"/>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hint="eastAsia" w:eastAsia="仿宋_GB2312"/>
                <w:b w:val="0"/>
                <w:i w:val="0"/>
                <w:caps w:val="0"/>
                <w:color w:val="000000"/>
                <w:spacing w:val="0"/>
                <w:w w:val="100"/>
                <w:kern w:val="0"/>
                <w:sz w:val="20"/>
              </w:rPr>
              <w:t>越级上访</w:t>
            </w:r>
          </w:p>
        </w:tc>
        <w:tc>
          <w:tcPr>
            <w:tcW w:w="1209"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eastAsia="仿宋_GB2312"/>
                <w:b w:val="0"/>
                <w:i w:val="0"/>
                <w:caps w:val="0"/>
                <w:color w:val="000000"/>
                <w:spacing w:val="0"/>
                <w:w w:val="100"/>
                <w:kern w:val="0"/>
                <w:sz w:val="21"/>
              </w:rPr>
              <w:t>　</w:t>
            </w:r>
          </w:p>
        </w:tc>
        <w:tc>
          <w:tcPr>
            <w:tcW w:w="1134"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1"/>
                <w:lang w:val="en-US" w:eastAsia="zh-CN"/>
              </w:rPr>
              <w:t>0</w:t>
            </w:r>
          </w:p>
        </w:tc>
        <w:tc>
          <w:tcPr>
            <w:tcW w:w="82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hint="eastAsia" w:eastAsia="仿宋_GB2312"/>
                <w:color w:val="000000"/>
                <w:kern w:val="0"/>
                <w:lang w:val="en-US" w:eastAsia="zh-CN"/>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1"/>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hint="default" w:eastAsia="仿宋_GB2312"/>
                <w:color w:val="000000"/>
                <w:kern w:val="0"/>
                <w:lang w:val="en-US"/>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1"/>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300" w:lineRule="exact"/>
              <w:jc w:val="left"/>
              <w:textAlignment w:val="baseline"/>
              <w:rPr>
                <w:rFonts w:eastAsia="仿宋_GB2312"/>
                <w:color w:val="000000"/>
                <w:kern w:val="0"/>
              </w:rPr>
            </w:pPr>
            <w:r>
              <w:rPr>
                <w:rFonts w:eastAsia="仿宋_GB2312"/>
                <w:b w:val="0"/>
                <w:i w:val="0"/>
                <w:caps w:val="0"/>
                <w:color w:val="000000"/>
                <w:spacing w:val="0"/>
                <w:w w:val="100"/>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1149"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hint="eastAsia" w:eastAsia="仿宋_GB2312"/>
                <w:b w:val="0"/>
                <w:i w:val="0"/>
                <w:caps w:val="0"/>
                <w:color w:val="000000"/>
                <w:spacing w:val="0"/>
                <w:w w:val="100"/>
                <w:kern w:val="0"/>
                <w:sz w:val="20"/>
                <w:lang w:val="en-US" w:eastAsia="zh-CN"/>
              </w:rPr>
              <w:t>因</w:t>
            </w:r>
            <w:r>
              <w:rPr>
                <w:rFonts w:hint="eastAsia" w:eastAsia="仿宋_GB2312"/>
                <w:b w:val="0"/>
                <w:i w:val="0"/>
                <w:caps w:val="0"/>
                <w:color w:val="000000"/>
                <w:spacing w:val="0"/>
                <w:w w:val="100"/>
                <w:kern w:val="0"/>
                <w:sz w:val="20"/>
              </w:rPr>
              <w:t>矛盾纠纷引发的“民转刑”非正常死亡群体性械斗和群体性上访事件</w:t>
            </w:r>
          </w:p>
        </w:tc>
        <w:tc>
          <w:tcPr>
            <w:tcW w:w="1209"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eastAsia="仿宋_GB2312"/>
                <w:b w:val="0"/>
                <w:i w:val="0"/>
                <w:caps w:val="0"/>
                <w:color w:val="000000"/>
                <w:spacing w:val="0"/>
                <w:w w:val="100"/>
                <w:kern w:val="0"/>
                <w:sz w:val="21"/>
              </w:rPr>
              <w:t>　</w:t>
            </w:r>
          </w:p>
        </w:tc>
        <w:tc>
          <w:tcPr>
            <w:tcW w:w="1134"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1"/>
                <w:lang w:val="en-US" w:eastAsia="zh-CN"/>
              </w:rPr>
              <w:t>0</w:t>
            </w:r>
          </w:p>
        </w:tc>
        <w:tc>
          <w:tcPr>
            <w:tcW w:w="82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hint="eastAsia" w:eastAsia="仿宋_GB2312"/>
                <w:color w:val="000000"/>
                <w:kern w:val="0"/>
                <w:lang w:val="en-US" w:eastAsia="zh-CN"/>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1"/>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1"/>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生态效</w:t>
            </w:r>
          </w:p>
          <w:p>
            <w:pPr>
              <w:widowControl/>
              <w:spacing w:line="300" w:lineRule="exact"/>
              <w:jc w:val="center"/>
              <w:rPr>
                <w:rFonts w:eastAsia="仿宋_GB2312"/>
                <w:color w:val="000000"/>
                <w:kern w:val="0"/>
              </w:rPr>
            </w:pPr>
            <w:r>
              <w:rPr>
                <w:rFonts w:eastAsia="仿宋_GB2312"/>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hint="eastAsia" w:ascii="宋体" w:hAnsi="宋体" w:eastAsia="宋体" w:cs="宋体"/>
                <w:i w:val="0"/>
                <w:caps w:val="0"/>
                <w:color w:val="333333"/>
                <w:spacing w:val="0"/>
                <w:sz w:val="21"/>
                <w:szCs w:val="21"/>
                <w:shd w:val="clear" w:color="auto" w:fill="FFFFFF"/>
                <w:lang w:eastAsia="zh-CN"/>
              </w:rPr>
              <w:t>坚持枫桥经验，维护社会稳定。</w:t>
            </w:r>
          </w:p>
        </w:tc>
        <w:tc>
          <w:tcPr>
            <w:tcW w:w="1209"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可持续影响指标</w:t>
            </w:r>
          </w:p>
        </w:tc>
        <w:tc>
          <w:tcPr>
            <w:tcW w:w="1149"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hint="eastAsia" w:eastAsia="仿宋_GB2312"/>
                <w:b w:val="0"/>
                <w:i w:val="0"/>
                <w:caps w:val="0"/>
                <w:color w:val="000000"/>
                <w:spacing w:val="0"/>
                <w:w w:val="100"/>
                <w:kern w:val="0"/>
                <w:sz w:val="20"/>
                <w:lang w:eastAsia="zh-CN"/>
              </w:rPr>
              <w:t>法治</w:t>
            </w:r>
            <w:r>
              <w:rPr>
                <w:rFonts w:hint="eastAsia" w:eastAsia="仿宋_GB2312"/>
                <w:b w:val="0"/>
                <w:i w:val="0"/>
                <w:caps w:val="0"/>
                <w:color w:val="000000"/>
                <w:spacing w:val="0"/>
                <w:w w:val="100"/>
                <w:kern w:val="0"/>
                <w:sz w:val="20"/>
                <w:lang w:val="zh-CN" w:eastAsia="zh-CN"/>
              </w:rPr>
              <w:t>政府</w:t>
            </w:r>
            <w:r>
              <w:rPr>
                <w:rFonts w:hint="eastAsia" w:eastAsia="仿宋_GB2312"/>
                <w:b w:val="0"/>
                <w:i w:val="0"/>
                <w:caps w:val="0"/>
                <w:color w:val="000000"/>
                <w:spacing w:val="0"/>
                <w:w w:val="100"/>
                <w:kern w:val="0"/>
                <w:sz w:val="20"/>
                <w:lang w:eastAsia="zh-CN"/>
              </w:rPr>
              <w:t>建设纵深</w:t>
            </w:r>
            <w:r>
              <w:rPr>
                <w:rFonts w:hint="eastAsia" w:eastAsia="仿宋_GB2312"/>
                <w:b w:val="0"/>
                <w:i w:val="0"/>
                <w:caps w:val="0"/>
                <w:color w:val="000000"/>
                <w:spacing w:val="0"/>
                <w:w w:val="100"/>
                <w:kern w:val="0"/>
                <w:sz w:val="20"/>
                <w:lang w:val="zh-CN" w:eastAsia="zh-CN"/>
              </w:rPr>
              <w:t>推进，</w:t>
            </w:r>
            <w:r>
              <w:rPr>
                <w:rFonts w:hint="eastAsia" w:eastAsia="仿宋_GB2312"/>
                <w:b w:val="0"/>
                <w:i w:val="0"/>
                <w:caps w:val="0"/>
                <w:color w:val="000000"/>
                <w:spacing w:val="0"/>
                <w:w w:val="100"/>
                <w:kern w:val="0"/>
                <w:sz w:val="20"/>
                <w:lang w:eastAsia="zh-CN"/>
              </w:rPr>
              <w:t>推进全面依法治县。</w:t>
            </w:r>
          </w:p>
        </w:tc>
        <w:tc>
          <w:tcPr>
            <w:tcW w:w="1209"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满意度</w:t>
            </w:r>
          </w:p>
          <w:p>
            <w:pPr>
              <w:widowControl/>
              <w:spacing w:line="300" w:lineRule="exact"/>
              <w:jc w:val="center"/>
              <w:rPr>
                <w:rFonts w:eastAsia="仿宋_GB2312"/>
                <w:color w:val="000000"/>
                <w:kern w:val="0"/>
              </w:rPr>
            </w:pPr>
            <w:r>
              <w:rPr>
                <w:rFonts w:eastAsia="仿宋_GB2312"/>
                <w:color w:val="000000"/>
                <w:kern w:val="0"/>
              </w:rPr>
              <w:t>指标</w:t>
            </w:r>
          </w:p>
          <w:p>
            <w:pPr>
              <w:widowControl/>
              <w:spacing w:line="300" w:lineRule="exact"/>
              <w:jc w:val="center"/>
              <w:rPr>
                <w:rFonts w:eastAsia="仿宋_GB2312"/>
                <w:color w:val="000000"/>
                <w:kern w:val="0"/>
              </w:rPr>
            </w:pPr>
            <w:r>
              <w:rPr>
                <w:rFonts w:eastAsia="仿宋_GB2312"/>
                <w:color w:val="000000"/>
                <w:kern w:val="0"/>
              </w:rPr>
              <w:t>（10</w:t>
            </w:r>
            <w:r>
              <w:rPr>
                <w:rFonts w:ascii="仿宋_GB2312" w:hAnsi="仿宋_GB2312" w:eastAsia="仿宋_GB2312"/>
                <w:color w:val="000000"/>
                <w:kern w:val="0"/>
              </w:rPr>
              <w:t>分）</w:t>
            </w: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服务对象满意度指标</w:t>
            </w:r>
          </w:p>
        </w:tc>
        <w:tc>
          <w:tcPr>
            <w:tcW w:w="1149"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hint="eastAsia" w:eastAsia="仿宋_GB2312"/>
                <w:b w:val="0"/>
                <w:i w:val="0"/>
                <w:caps w:val="0"/>
                <w:color w:val="000000"/>
                <w:spacing w:val="0"/>
                <w:w w:val="100"/>
                <w:kern w:val="0"/>
                <w:sz w:val="20"/>
                <w:lang w:val="en-US" w:eastAsia="zh-CN"/>
              </w:rPr>
              <w:t>人民群众对机关履职评价</w:t>
            </w:r>
          </w:p>
        </w:tc>
        <w:tc>
          <w:tcPr>
            <w:tcW w:w="1209"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hint="eastAsia" w:eastAsia="仿宋_GB2312"/>
                <w:color w:val="000000"/>
                <w:kern w:val="0"/>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hint="eastAsia" w:eastAsia="仿宋_GB2312"/>
                <w:b w:val="0"/>
                <w:i w:val="0"/>
                <w:caps w:val="0"/>
                <w:color w:val="000000"/>
                <w:spacing w:val="0"/>
                <w:w w:val="100"/>
                <w:kern w:val="0"/>
                <w:sz w:val="21"/>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300" w:lineRule="exact"/>
              <w:jc w:val="left"/>
              <w:textAlignment w:val="baseline"/>
              <w:rPr>
                <w:rFonts w:eastAsia="仿宋_GB2312"/>
                <w:color w:val="000000"/>
                <w:kern w:val="0"/>
              </w:rPr>
            </w:pPr>
            <w:r>
              <w:rPr>
                <w:rFonts w:eastAsia="仿宋_GB2312"/>
                <w:b w:val="0"/>
                <w:i w:val="0"/>
                <w:caps w:val="0"/>
                <w:color w:val="000000"/>
                <w:spacing w:val="0"/>
                <w:w w:val="100"/>
                <w:kern w:val="0"/>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p>
        </w:tc>
        <w:tc>
          <w:tcPr>
            <w:tcW w:w="1149"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hint="eastAsia" w:eastAsia="仿宋_GB2312"/>
                <w:b w:val="0"/>
                <w:i w:val="0"/>
                <w:caps w:val="0"/>
                <w:color w:val="000000"/>
                <w:spacing w:val="0"/>
                <w:w w:val="100"/>
                <w:kern w:val="0"/>
                <w:sz w:val="20"/>
                <w:lang w:val="en-US" w:eastAsia="zh-CN"/>
              </w:rPr>
              <w:t>人民群众对业务工作评价</w:t>
            </w:r>
          </w:p>
        </w:tc>
        <w:tc>
          <w:tcPr>
            <w:tcW w:w="1209"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lang w:val="en-US" w:eastAsia="zh-CN"/>
              </w:rPr>
              <w:t>100%</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eastAsia="仿宋_GB2312"/>
                <w:b w:val="0"/>
                <w:i w:val="0"/>
                <w:caps w:val="0"/>
                <w:color w:val="000000"/>
                <w:spacing w:val="0"/>
                <w:w w:val="100"/>
                <w:kern w:val="0"/>
                <w:sz w:val="21"/>
              </w:rPr>
              <w:t>　</w:t>
            </w:r>
            <w:r>
              <w:rPr>
                <w:rFonts w:hint="eastAsia" w:eastAsia="仿宋_GB2312"/>
                <w:b w:val="0"/>
                <w:i w:val="0"/>
                <w:caps w:val="0"/>
                <w:color w:val="000000"/>
                <w:spacing w:val="0"/>
                <w:w w:val="100"/>
                <w:kern w:val="0"/>
                <w:sz w:val="21"/>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left"/>
              <w:textAlignment w:val="baseline"/>
              <w:rPr>
                <w:rFonts w:eastAsia="仿宋_GB2312"/>
                <w:color w:val="000000"/>
                <w:kern w:val="0"/>
              </w:rPr>
            </w:pPr>
            <w:r>
              <w:rPr>
                <w:rFonts w:hint="eastAsia" w:eastAsia="仿宋_GB2312"/>
                <w:b w:val="0"/>
                <w:i w:val="0"/>
                <w:caps w:val="0"/>
                <w:color w:val="000000"/>
                <w:spacing w:val="0"/>
                <w:w w:val="100"/>
                <w:kern w:val="0"/>
                <w:sz w:val="21"/>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总分</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000000"/>
                <w:kern w:val="0"/>
              </w:rPr>
            </w:pPr>
            <w:r>
              <w:rPr>
                <w:rFonts w:eastAsia="仿宋_GB2312"/>
                <w:color w:val="000000"/>
                <w:kern w:val="0"/>
              </w:rPr>
              <w:t>100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仿宋_GB2312"/>
                <w:color w:val="000000"/>
                <w:kern w:val="0"/>
                <w:lang w:val="en-US" w:eastAsia="zh-CN"/>
              </w:rPr>
            </w:pPr>
            <w:r>
              <w:rPr>
                <w:rFonts w:eastAsia="仿宋_GB2312"/>
                <w:color w:val="000000"/>
                <w:kern w:val="0"/>
              </w:rPr>
              <w:t>　</w:t>
            </w:r>
            <w:r>
              <w:rPr>
                <w:rFonts w:hint="eastAsia" w:eastAsia="仿宋_GB2312"/>
                <w:color w:val="000000"/>
                <w:kern w:val="0"/>
                <w:lang w:val="en-US" w:eastAsia="zh-CN"/>
              </w:rPr>
              <w:t>98</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000000"/>
                <w:kern w:val="0"/>
              </w:rPr>
            </w:pPr>
            <w:r>
              <w:rPr>
                <w:rFonts w:eastAsia="仿宋_GB2312"/>
                <w:color w:val="000000"/>
                <w:kern w:val="0"/>
              </w:rPr>
              <w:t>　</w:t>
            </w:r>
          </w:p>
        </w:tc>
      </w:tr>
    </w:tbl>
    <w:p>
      <w:pPr>
        <w:widowControl/>
        <w:jc w:val="left"/>
        <w:rPr>
          <w:rFonts w:hint="eastAsia" w:ascii="仿宋_GB2312" w:hAnsi="仿宋_GB2312" w:eastAsia="宋体"/>
          <w:kern w:val="0"/>
          <w:lang w:val="en-US" w:eastAsia="zh-CN"/>
        </w:rPr>
      </w:pPr>
      <w:r>
        <w:rPr>
          <w:rFonts w:ascii="仿宋_GB2312" w:hAnsi="仿宋_GB2312"/>
          <w:kern w:val="0"/>
        </w:rPr>
        <w:t>填表人：</w:t>
      </w:r>
      <w:r>
        <w:rPr>
          <w:rFonts w:hint="eastAsia" w:ascii="仿宋_GB2312" w:hAnsi="仿宋_GB2312"/>
          <w:kern w:val="0"/>
          <w:lang w:eastAsia="zh-CN"/>
        </w:rPr>
        <w:t>文海娟</w:t>
      </w:r>
      <w:r>
        <w:rPr>
          <w:rFonts w:ascii="仿宋_GB2312" w:hAnsi="仿宋_GB2312"/>
          <w:kern w:val="0"/>
        </w:rPr>
        <w:t xml:space="preserve">     联系电话：</w:t>
      </w:r>
      <w:r>
        <w:rPr>
          <w:rFonts w:hint="eastAsia" w:ascii="仿宋_GB2312" w:hAnsi="仿宋_GB2312"/>
          <w:kern w:val="0"/>
          <w:lang w:val="en-US" w:eastAsia="zh-CN"/>
        </w:rPr>
        <w:t>7723477</w:t>
      </w:r>
      <w:r>
        <w:rPr>
          <w:rFonts w:ascii="仿宋_GB2312" w:hAnsi="仿宋_GB2312"/>
          <w:kern w:val="0"/>
        </w:rPr>
        <w:t xml:space="preserve">   填报日期：</w:t>
      </w:r>
      <w:r>
        <w:rPr>
          <w:rFonts w:hint="eastAsia" w:ascii="仿宋_GB2312" w:hAnsi="仿宋_GB2312"/>
          <w:kern w:val="0"/>
          <w:lang w:val="en-US" w:eastAsia="zh-CN"/>
        </w:rPr>
        <w:t>2022.6</w:t>
      </w:r>
      <w:bookmarkStart w:id="0" w:name="_GoBack"/>
      <w:bookmarkEnd w:id="0"/>
      <w:r>
        <w:rPr>
          <w:rFonts w:hint="eastAsia" w:ascii="仿宋_GB2312" w:hAnsi="仿宋_GB2312"/>
          <w:kern w:val="0"/>
          <w:lang w:val="en-US" w:eastAsia="zh-CN"/>
        </w:rPr>
        <w:t>.29</w:t>
      </w:r>
      <w:r>
        <w:rPr>
          <w:rFonts w:ascii="仿宋_GB2312" w:hAnsi="仿宋_GB2312"/>
          <w:kern w:val="0"/>
        </w:rPr>
        <w:t xml:space="preserve">   单位负责人签字：</w:t>
      </w:r>
      <w:r>
        <w:rPr>
          <w:rFonts w:hint="eastAsia" w:ascii="仿宋_GB2312" w:hAnsi="仿宋_GB2312"/>
          <w:kern w:val="0"/>
          <w:lang w:eastAsia="zh-CN"/>
        </w:rPr>
        <w:t>黄毅</w:t>
      </w:r>
    </w:p>
    <w:p>
      <w:pPr>
        <w:spacing w:line="600" w:lineRule="exact"/>
        <w:rPr>
          <w:rFonts w:hint="eastAsia" w:eastAsia="黑体"/>
          <w:sz w:val="32"/>
          <w:szCs w:val="32"/>
        </w:rPr>
      </w:pPr>
    </w:p>
    <w:sectPr>
      <w:headerReference r:id="rId4" w:type="first"/>
      <w:footerReference r:id="rId7" w:type="first"/>
      <w:footerReference r:id="rId5" w:type="default"/>
      <w:headerReference r:id="rId3" w:type="even"/>
      <w:footerReference r:id="rId6" w:type="even"/>
      <w:pgSz w:w="11906" w:h="16838"/>
      <w:pgMar w:top="1701" w:right="1587" w:bottom="1587"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Batang">
    <w:altName w:val="GulimChe"/>
    <w:panose1 w:val="02030600000101010101"/>
    <w:charset w:val="81"/>
    <w:family w:val="roman"/>
    <w:pitch w:val="default"/>
    <w:sig w:usb0="00000000" w:usb1="00000000" w:usb2="00000030" w:usb3="00000000" w:csb0="4008009F" w:csb1="DFD70000"/>
  </w:font>
  <w:font w:name="GulimChe">
    <w:panose1 w:val="020B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48FBC9"/>
    <w:multiLevelType w:val="singleLevel"/>
    <w:tmpl w:val="6A48FBC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MGQxMWRlNGIzN2U3OTIwZTcyOWUxZTM3NjFmOGYifQ=="/>
  </w:docVars>
  <w:rsids>
    <w:rsidRoot w:val="004B1197"/>
    <w:rsid w:val="00000CE7"/>
    <w:rsid w:val="000217A3"/>
    <w:rsid w:val="0003201E"/>
    <w:rsid w:val="000338F9"/>
    <w:rsid w:val="000407B3"/>
    <w:rsid w:val="0005006A"/>
    <w:rsid w:val="000503ED"/>
    <w:rsid w:val="00051DFC"/>
    <w:rsid w:val="00054ADD"/>
    <w:rsid w:val="00060AFE"/>
    <w:rsid w:val="00081E08"/>
    <w:rsid w:val="0008594E"/>
    <w:rsid w:val="0008662E"/>
    <w:rsid w:val="00091F78"/>
    <w:rsid w:val="00092094"/>
    <w:rsid w:val="000A3419"/>
    <w:rsid w:val="000A42B5"/>
    <w:rsid w:val="000C2479"/>
    <w:rsid w:val="000D522F"/>
    <w:rsid w:val="000D67BF"/>
    <w:rsid w:val="000E4A08"/>
    <w:rsid w:val="00102EDC"/>
    <w:rsid w:val="001152E9"/>
    <w:rsid w:val="001207D2"/>
    <w:rsid w:val="00122E0B"/>
    <w:rsid w:val="001409A3"/>
    <w:rsid w:val="001573BB"/>
    <w:rsid w:val="0016512C"/>
    <w:rsid w:val="001678A9"/>
    <w:rsid w:val="00172B76"/>
    <w:rsid w:val="00173ECA"/>
    <w:rsid w:val="00186EBC"/>
    <w:rsid w:val="00196509"/>
    <w:rsid w:val="00197637"/>
    <w:rsid w:val="001A3A16"/>
    <w:rsid w:val="001A7ADE"/>
    <w:rsid w:val="001A7CA9"/>
    <w:rsid w:val="001B1C4F"/>
    <w:rsid w:val="001B1E7B"/>
    <w:rsid w:val="001C4DC7"/>
    <w:rsid w:val="001C500A"/>
    <w:rsid w:val="001C6330"/>
    <w:rsid w:val="001D5290"/>
    <w:rsid w:val="001F0100"/>
    <w:rsid w:val="001F31D0"/>
    <w:rsid w:val="0020660E"/>
    <w:rsid w:val="00212C29"/>
    <w:rsid w:val="002325E9"/>
    <w:rsid w:val="002476C5"/>
    <w:rsid w:val="00253CCB"/>
    <w:rsid w:val="00267CAD"/>
    <w:rsid w:val="00280B52"/>
    <w:rsid w:val="00280F7B"/>
    <w:rsid w:val="002832F5"/>
    <w:rsid w:val="00297DEC"/>
    <w:rsid w:val="002A1F09"/>
    <w:rsid w:val="002B6CB4"/>
    <w:rsid w:val="002C1828"/>
    <w:rsid w:val="002D3094"/>
    <w:rsid w:val="002E69D4"/>
    <w:rsid w:val="00303CC5"/>
    <w:rsid w:val="00331F3F"/>
    <w:rsid w:val="003346B2"/>
    <w:rsid w:val="00334E3C"/>
    <w:rsid w:val="00340006"/>
    <w:rsid w:val="00351956"/>
    <w:rsid w:val="00351F39"/>
    <w:rsid w:val="00354F1A"/>
    <w:rsid w:val="0038639A"/>
    <w:rsid w:val="0039578E"/>
    <w:rsid w:val="003A20A6"/>
    <w:rsid w:val="003B1ADB"/>
    <w:rsid w:val="003D6E1B"/>
    <w:rsid w:val="003E539D"/>
    <w:rsid w:val="003E6B85"/>
    <w:rsid w:val="003F6980"/>
    <w:rsid w:val="004074F1"/>
    <w:rsid w:val="0041042A"/>
    <w:rsid w:val="00416A19"/>
    <w:rsid w:val="00461B0F"/>
    <w:rsid w:val="00464E9A"/>
    <w:rsid w:val="004660A2"/>
    <w:rsid w:val="0046639F"/>
    <w:rsid w:val="00476B6F"/>
    <w:rsid w:val="004821BF"/>
    <w:rsid w:val="00483BD6"/>
    <w:rsid w:val="00485C8A"/>
    <w:rsid w:val="004B1197"/>
    <w:rsid w:val="004B1C33"/>
    <w:rsid w:val="004B4583"/>
    <w:rsid w:val="004D2526"/>
    <w:rsid w:val="004E30C5"/>
    <w:rsid w:val="004E7554"/>
    <w:rsid w:val="004F0BD6"/>
    <w:rsid w:val="004F3066"/>
    <w:rsid w:val="004F601C"/>
    <w:rsid w:val="00513F3F"/>
    <w:rsid w:val="005225EA"/>
    <w:rsid w:val="00532412"/>
    <w:rsid w:val="005374D5"/>
    <w:rsid w:val="005438C6"/>
    <w:rsid w:val="005506AF"/>
    <w:rsid w:val="00572CB3"/>
    <w:rsid w:val="0059099E"/>
    <w:rsid w:val="005A0C0B"/>
    <w:rsid w:val="005A1167"/>
    <w:rsid w:val="005A7EBF"/>
    <w:rsid w:val="005B0282"/>
    <w:rsid w:val="005B0995"/>
    <w:rsid w:val="005B26E0"/>
    <w:rsid w:val="005B549B"/>
    <w:rsid w:val="005B5D89"/>
    <w:rsid w:val="0060780D"/>
    <w:rsid w:val="0061583A"/>
    <w:rsid w:val="00616464"/>
    <w:rsid w:val="006264B4"/>
    <w:rsid w:val="00640CD6"/>
    <w:rsid w:val="006513EF"/>
    <w:rsid w:val="006526E9"/>
    <w:rsid w:val="00652C42"/>
    <w:rsid w:val="00653196"/>
    <w:rsid w:val="00657D63"/>
    <w:rsid w:val="00673C6A"/>
    <w:rsid w:val="0068608E"/>
    <w:rsid w:val="0069550D"/>
    <w:rsid w:val="006B301F"/>
    <w:rsid w:val="006B7065"/>
    <w:rsid w:val="006C0227"/>
    <w:rsid w:val="006C5813"/>
    <w:rsid w:val="006C5C52"/>
    <w:rsid w:val="006D5298"/>
    <w:rsid w:val="006E1F09"/>
    <w:rsid w:val="006F26F8"/>
    <w:rsid w:val="00700963"/>
    <w:rsid w:val="007011E3"/>
    <w:rsid w:val="00706ABF"/>
    <w:rsid w:val="00716A68"/>
    <w:rsid w:val="007200E1"/>
    <w:rsid w:val="007209AF"/>
    <w:rsid w:val="0073790F"/>
    <w:rsid w:val="00747591"/>
    <w:rsid w:val="0077595F"/>
    <w:rsid w:val="00791949"/>
    <w:rsid w:val="007A7198"/>
    <w:rsid w:val="007B2BA9"/>
    <w:rsid w:val="007C4F4A"/>
    <w:rsid w:val="007D51E1"/>
    <w:rsid w:val="007E69B1"/>
    <w:rsid w:val="007F6139"/>
    <w:rsid w:val="0080002A"/>
    <w:rsid w:val="00801DD2"/>
    <w:rsid w:val="00812F8D"/>
    <w:rsid w:val="0081649A"/>
    <w:rsid w:val="008240C4"/>
    <w:rsid w:val="008266A0"/>
    <w:rsid w:val="00826839"/>
    <w:rsid w:val="00850052"/>
    <w:rsid w:val="00866B24"/>
    <w:rsid w:val="008712BD"/>
    <w:rsid w:val="00871910"/>
    <w:rsid w:val="00886532"/>
    <w:rsid w:val="008A5EE5"/>
    <w:rsid w:val="008A66E2"/>
    <w:rsid w:val="008C6929"/>
    <w:rsid w:val="008D746A"/>
    <w:rsid w:val="008D7A3D"/>
    <w:rsid w:val="008E4DC6"/>
    <w:rsid w:val="008F10ED"/>
    <w:rsid w:val="008F3EDA"/>
    <w:rsid w:val="00900DF9"/>
    <w:rsid w:val="00907EDD"/>
    <w:rsid w:val="009125E9"/>
    <w:rsid w:val="00914B11"/>
    <w:rsid w:val="00914BFB"/>
    <w:rsid w:val="009157B9"/>
    <w:rsid w:val="00916F6A"/>
    <w:rsid w:val="00917D44"/>
    <w:rsid w:val="009267D5"/>
    <w:rsid w:val="00926B21"/>
    <w:rsid w:val="00927C95"/>
    <w:rsid w:val="0093261C"/>
    <w:rsid w:val="009354B8"/>
    <w:rsid w:val="0094581C"/>
    <w:rsid w:val="0095097B"/>
    <w:rsid w:val="00951047"/>
    <w:rsid w:val="009543B5"/>
    <w:rsid w:val="0095489F"/>
    <w:rsid w:val="009717EC"/>
    <w:rsid w:val="0097227C"/>
    <w:rsid w:val="00995D6A"/>
    <w:rsid w:val="0099631E"/>
    <w:rsid w:val="009A3270"/>
    <w:rsid w:val="009A5A79"/>
    <w:rsid w:val="009B520A"/>
    <w:rsid w:val="009D421E"/>
    <w:rsid w:val="009D559E"/>
    <w:rsid w:val="009D65F7"/>
    <w:rsid w:val="009F49EA"/>
    <w:rsid w:val="00A245F0"/>
    <w:rsid w:val="00A32453"/>
    <w:rsid w:val="00A37843"/>
    <w:rsid w:val="00A473D0"/>
    <w:rsid w:val="00A541FC"/>
    <w:rsid w:val="00A62787"/>
    <w:rsid w:val="00A64595"/>
    <w:rsid w:val="00A75CB8"/>
    <w:rsid w:val="00A821A9"/>
    <w:rsid w:val="00A96867"/>
    <w:rsid w:val="00AA6E26"/>
    <w:rsid w:val="00AB0501"/>
    <w:rsid w:val="00AB3242"/>
    <w:rsid w:val="00AB5C0D"/>
    <w:rsid w:val="00AC25E3"/>
    <w:rsid w:val="00AC382E"/>
    <w:rsid w:val="00AC7365"/>
    <w:rsid w:val="00AD5589"/>
    <w:rsid w:val="00AE4515"/>
    <w:rsid w:val="00B1194C"/>
    <w:rsid w:val="00B119E1"/>
    <w:rsid w:val="00B16640"/>
    <w:rsid w:val="00B2017B"/>
    <w:rsid w:val="00B22AAF"/>
    <w:rsid w:val="00B31EFA"/>
    <w:rsid w:val="00B365B9"/>
    <w:rsid w:val="00B376D4"/>
    <w:rsid w:val="00B46800"/>
    <w:rsid w:val="00B50767"/>
    <w:rsid w:val="00B56853"/>
    <w:rsid w:val="00B60E59"/>
    <w:rsid w:val="00B65FF2"/>
    <w:rsid w:val="00B666A0"/>
    <w:rsid w:val="00B67B4D"/>
    <w:rsid w:val="00B750E4"/>
    <w:rsid w:val="00B92D90"/>
    <w:rsid w:val="00B974B1"/>
    <w:rsid w:val="00BA25FA"/>
    <w:rsid w:val="00BA2A8F"/>
    <w:rsid w:val="00BA3605"/>
    <w:rsid w:val="00BA4E37"/>
    <w:rsid w:val="00BB7294"/>
    <w:rsid w:val="00BC099F"/>
    <w:rsid w:val="00BD0581"/>
    <w:rsid w:val="00BD1FAE"/>
    <w:rsid w:val="00BD2625"/>
    <w:rsid w:val="00BD42E6"/>
    <w:rsid w:val="00BD4C3B"/>
    <w:rsid w:val="00BE355D"/>
    <w:rsid w:val="00BF06B3"/>
    <w:rsid w:val="00BF098F"/>
    <w:rsid w:val="00C13D8E"/>
    <w:rsid w:val="00C1779B"/>
    <w:rsid w:val="00C21353"/>
    <w:rsid w:val="00C27912"/>
    <w:rsid w:val="00C27F10"/>
    <w:rsid w:val="00C31395"/>
    <w:rsid w:val="00C54803"/>
    <w:rsid w:val="00C5516B"/>
    <w:rsid w:val="00C61F14"/>
    <w:rsid w:val="00C62ED1"/>
    <w:rsid w:val="00C65787"/>
    <w:rsid w:val="00C65918"/>
    <w:rsid w:val="00C85497"/>
    <w:rsid w:val="00C92837"/>
    <w:rsid w:val="00C93931"/>
    <w:rsid w:val="00CA1194"/>
    <w:rsid w:val="00CB1715"/>
    <w:rsid w:val="00CC3481"/>
    <w:rsid w:val="00CF58B3"/>
    <w:rsid w:val="00D00139"/>
    <w:rsid w:val="00D01814"/>
    <w:rsid w:val="00D03C59"/>
    <w:rsid w:val="00D32FD1"/>
    <w:rsid w:val="00D47EAE"/>
    <w:rsid w:val="00D52FF1"/>
    <w:rsid w:val="00D551E5"/>
    <w:rsid w:val="00D708E3"/>
    <w:rsid w:val="00D74DA1"/>
    <w:rsid w:val="00D75A43"/>
    <w:rsid w:val="00D82106"/>
    <w:rsid w:val="00D8584D"/>
    <w:rsid w:val="00D96E43"/>
    <w:rsid w:val="00DA477E"/>
    <w:rsid w:val="00DA618B"/>
    <w:rsid w:val="00DB2452"/>
    <w:rsid w:val="00DB4193"/>
    <w:rsid w:val="00DB7476"/>
    <w:rsid w:val="00DC121E"/>
    <w:rsid w:val="00DC22C4"/>
    <w:rsid w:val="00DF09CF"/>
    <w:rsid w:val="00DF124F"/>
    <w:rsid w:val="00DF27AE"/>
    <w:rsid w:val="00E12F68"/>
    <w:rsid w:val="00E17DD4"/>
    <w:rsid w:val="00E20E7C"/>
    <w:rsid w:val="00E27B0F"/>
    <w:rsid w:val="00E43AA1"/>
    <w:rsid w:val="00E47DFC"/>
    <w:rsid w:val="00E51937"/>
    <w:rsid w:val="00E572F0"/>
    <w:rsid w:val="00E90B11"/>
    <w:rsid w:val="00E9305B"/>
    <w:rsid w:val="00E956FD"/>
    <w:rsid w:val="00EB4406"/>
    <w:rsid w:val="00EC0EE8"/>
    <w:rsid w:val="00EC4BEB"/>
    <w:rsid w:val="00EC7C12"/>
    <w:rsid w:val="00ED125F"/>
    <w:rsid w:val="00ED3ADD"/>
    <w:rsid w:val="00F129F4"/>
    <w:rsid w:val="00F131A9"/>
    <w:rsid w:val="00F21833"/>
    <w:rsid w:val="00F21CCA"/>
    <w:rsid w:val="00F400EC"/>
    <w:rsid w:val="00F435A4"/>
    <w:rsid w:val="00F47327"/>
    <w:rsid w:val="00F5162E"/>
    <w:rsid w:val="00F55834"/>
    <w:rsid w:val="00F56D79"/>
    <w:rsid w:val="00F66CD9"/>
    <w:rsid w:val="00F7565B"/>
    <w:rsid w:val="00F75895"/>
    <w:rsid w:val="00F83FED"/>
    <w:rsid w:val="00F86B44"/>
    <w:rsid w:val="00F9272D"/>
    <w:rsid w:val="00F97F78"/>
    <w:rsid w:val="00FA3B0F"/>
    <w:rsid w:val="00FB789B"/>
    <w:rsid w:val="00FB7B74"/>
    <w:rsid w:val="00FC70D7"/>
    <w:rsid w:val="00FD4714"/>
    <w:rsid w:val="00FE1042"/>
    <w:rsid w:val="00FE40A3"/>
    <w:rsid w:val="01051F0D"/>
    <w:rsid w:val="042407CF"/>
    <w:rsid w:val="04730898"/>
    <w:rsid w:val="07457B46"/>
    <w:rsid w:val="07501A2E"/>
    <w:rsid w:val="07B40FAC"/>
    <w:rsid w:val="09BE25B6"/>
    <w:rsid w:val="0C612473"/>
    <w:rsid w:val="0DAB4BFF"/>
    <w:rsid w:val="0FCE4D17"/>
    <w:rsid w:val="115B4B8E"/>
    <w:rsid w:val="12AE6359"/>
    <w:rsid w:val="17011D34"/>
    <w:rsid w:val="17C36FE9"/>
    <w:rsid w:val="19562B45"/>
    <w:rsid w:val="1EF36406"/>
    <w:rsid w:val="20F85819"/>
    <w:rsid w:val="21134A62"/>
    <w:rsid w:val="213F1DD6"/>
    <w:rsid w:val="226F758D"/>
    <w:rsid w:val="234F69C5"/>
    <w:rsid w:val="23517B9F"/>
    <w:rsid w:val="23C142D5"/>
    <w:rsid w:val="245559D1"/>
    <w:rsid w:val="25510698"/>
    <w:rsid w:val="26EB4382"/>
    <w:rsid w:val="278A64FD"/>
    <w:rsid w:val="27912C60"/>
    <w:rsid w:val="28537E6B"/>
    <w:rsid w:val="2A310517"/>
    <w:rsid w:val="2B161840"/>
    <w:rsid w:val="2D740657"/>
    <w:rsid w:val="2D7C1CBC"/>
    <w:rsid w:val="2E637C66"/>
    <w:rsid w:val="2F6A001E"/>
    <w:rsid w:val="2F9A1CA1"/>
    <w:rsid w:val="30D53BBD"/>
    <w:rsid w:val="323A4620"/>
    <w:rsid w:val="343B01DB"/>
    <w:rsid w:val="35AC5470"/>
    <w:rsid w:val="36681030"/>
    <w:rsid w:val="37037497"/>
    <w:rsid w:val="37E5484A"/>
    <w:rsid w:val="393065BF"/>
    <w:rsid w:val="39A71E6F"/>
    <w:rsid w:val="3DC11A02"/>
    <w:rsid w:val="3DD75419"/>
    <w:rsid w:val="3EA7770F"/>
    <w:rsid w:val="3EDC5C46"/>
    <w:rsid w:val="3FEE6A4A"/>
    <w:rsid w:val="418C5685"/>
    <w:rsid w:val="43CA788C"/>
    <w:rsid w:val="452C4DA3"/>
    <w:rsid w:val="460743C1"/>
    <w:rsid w:val="47392CA0"/>
    <w:rsid w:val="47797541"/>
    <w:rsid w:val="48B311DF"/>
    <w:rsid w:val="4A611FC0"/>
    <w:rsid w:val="4B6D570B"/>
    <w:rsid w:val="4DD03C33"/>
    <w:rsid w:val="4EEA1AEB"/>
    <w:rsid w:val="4F106268"/>
    <w:rsid w:val="50ED627E"/>
    <w:rsid w:val="53AA50E8"/>
    <w:rsid w:val="54E13F6E"/>
    <w:rsid w:val="556F788D"/>
    <w:rsid w:val="55A41C2D"/>
    <w:rsid w:val="57BE68AA"/>
    <w:rsid w:val="57D66790"/>
    <w:rsid w:val="58845CEC"/>
    <w:rsid w:val="5947124D"/>
    <w:rsid w:val="599430F2"/>
    <w:rsid w:val="5B1213E7"/>
    <w:rsid w:val="5DAC343B"/>
    <w:rsid w:val="5E9B7945"/>
    <w:rsid w:val="5ED657C7"/>
    <w:rsid w:val="64177271"/>
    <w:rsid w:val="6A405E99"/>
    <w:rsid w:val="6BF724C5"/>
    <w:rsid w:val="6C1A5C42"/>
    <w:rsid w:val="6C5222E4"/>
    <w:rsid w:val="6F602629"/>
    <w:rsid w:val="734C4849"/>
    <w:rsid w:val="74A27CA8"/>
    <w:rsid w:val="75B617F7"/>
    <w:rsid w:val="765E022D"/>
    <w:rsid w:val="788824AB"/>
    <w:rsid w:val="7A392094"/>
    <w:rsid w:val="7DE87032"/>
    <w:rsid w:val="7FC961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paragraph" w:customStyle="1" w:styleId="9">
    <w:name w:val="List Paragraph"/>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Microsoft</Company>
  <Pages>15</Pages>
  <Words>5960</Words>
  <Characters>6553</Characters>
  <Lines>33</Lines>
  <Paragraphs>9</Paragraphs>
  <TotalTime>10</TotalTime>
  <ScaleCrop>false</ScaleCrop>
  <LinksUpToDate>false</LinksUpToDate>
  <CharactersWithSpaces>6823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2021-05-11T14:14:00Z</dcterms:created>
  <dc:creator>Users</dc:creator>
  <cp:lastModifiedBy>Administrator</cp:lastModifiedBy>
  <cp:lastPrinted>2022-07-05T07:45:00Z</cp:lastPrinted>
  <dcterms:modified xsi:type="dcterms:W3CDTF">2022-09-26T08:09:48Z</dcterms:modified>
  <dc:title>双财绩〔2021〕2号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2D925D49BCC04D038EC79E23201C6B53</vt:lpwstr>
  </property>
</Properties>
</file>