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val="0"/>
          <w:bCs w:val="0"/>
          <w:sz w:val="48"/>
          <w:szCs w:val="48"/>
          <w:lang w:val="en-US" w:eastAsia="zh-CN"/>
        </w:rPr>
      </w:pPr>
      <w:r>
        <w:rPr>
          <w:rFonts w:hint="eastAsia" w:asciiTheme="majorEastAsia" w:hAnsiTheme="majorEastAsia" w:eastAsiaTheme="majorEastAsia" w:cstheme="majorEastAsia"/>
          <w:b w:val="0"/>
          <w:bCs w:val="0"/>
          <w:sz w:val="48"/>
          <w:szCs w:val="48"/>
          <w:lang w:val="en-US" w:eastAsia="zh-CN"/>
        </w:rPr>
        <w:t>2021</w:t>
      </w:r>
      <w:r>
        <w:rPr>
          <w:rFonts w:hint="eastAsia" w:asciiTheme="majorEastAsia" w:hAnsiTheme="majorEastAsia" w:eastAsiaTheme="majorEastAsia" w:cstheme="majorEastAsia"/>
          <w:b w:val="0"/>
          <w:bCs w:val="0"/>
          <w:sz w:val="48"/>
          <w:szCs w:val="48"/>
        </w:rPr>
        <w:t>年度双牌县</w:t>
      </w:r>
      <w:r>
        <w:rPr>
          <w:rFonts w:hint="eastAsia" w:asciiTheme="majorEastAsia" w:hAnsiTheme="majorEastAsia" w:eastAsiaTheme="majorEastAsia" w:cstheme="majorEastAsia"/>
          <w:b w:val="0"/>
          <w:bCs w:val="0"/>
          <w:sz w:val="48"/>
          <w:szCs w:val="48"/>
          <w:lang w:val="en-US" w:eastAsia="zh-CN"/>
        </w:rPr>
        <w:t>住房保障服务中心</w:t>
      </w:r>
    </w:p>
    <w:p>
      <w:pPr>
        <w:jc w:val="center"/>
        <w:rPr>
          <w:rFonts w:hint="eastAsia" w:asciiTheme="majorEastAsia" w:hAnsiTheme="majorEastAsia" w:eastAsiaTheme="majorEastAsia" w:cstheme="majorEastAsia"/>
          <w:b w:val="0"/>
          <w:bCs w:val="0"/>
          <w:sz w:val="48"/>
          <w:szCs w:val="48"/>
        </w:rPr>
      </w:pPr>
      <w:r>
        <w:rPr>
          <w:rFonts w:hint="eastAsia" w:asciiTheme="majorEastAsia" w:hAnsiTheme="majorEastAsia" w:eastAsiaTheme="majorEastAsia" w:cstheme="majorEastAsia"/>
          <w:b w:val="0"/>
          <w:bCs w:val="0"/>
          <w:sz w:val="48"/>
          <w:szCs w:val="48"/>
          <w:lang w:eastAsia="zh-CN"/>
        </w:rPr>
        <w:t>部门</w:t>
      </w:r>
      <w:r>
        <w:rPr>
          <w:rFonts w:hint="eastAsia" w:asciiTheme="majorEastAsia" w:hAnsiTheme="majorEastAsia" w:eastAsiaTheme="majorEastAsia" w:cstheme="majorEastAsia"/>
          <w:b w:val="0"/>
          <w:bCs w:val="0"/>
          <w:sz w:val="48"/>
          <w:szCs w:val="48"/>
        </w:rPr>
        <w:t>整体支出绩效自评报告</w:t>
      </w:r>
    </w:p>
    <w:p>
      <w:pPr>
        <w:jc w:val="center"/>
        <w:rPr>
          <w:rFonts w:hint="eastAsia" w:asciiTheme="majorEastAsia" w:hAnsiTheme="majorEastAsia" w:eastAsiaTheme="majorEastAsia" w:cstheme="majorEastAsia"/>
          <w:b w:val="0"/>
          <w:bCs w:val="0"/>
          <w:sz w:val="48"/>
          <w:szCs w:val="48"/>
        </w:rPr>
      </w:pPr>
    </w:p>
    <w:p>
      <w:pPr>
        <w:jc w:val="center"/>
        <w:rPr>
          <w:rFonts w:hint="eastAsia" w:asciiTheme="majorEastAsia" w:hAnsiTheme="majorEastAsia" w:eastAsiaTheme="majorEastAsia" w:cstheme="majorEastAsia"/>
          <w:b w:val="0"/>
          <w:bCs w:val="0"/>
          <w:sz w:val="48"/>
          <w:szCs w:val="48"/>
        </w:rPr>
      </w:pPr>
    </w:p>
    <w:p>
      <w:pPr>
        <w:jc w:val="center"/>
        <w:rPr>
          <w:rFonts w:hint="eastAsia" w:asciiTheme="majorEastAsia" w:hAnsiTheme="majorEastAsia" w:eastAsiaTheme="majorEastAsia" w:cstheme="majorEastAsia"/>
          <w:b w:val="0"/>
          <w:bCs w:val="0"/>
          <w:sz w:val="48"/>
          <w:szCs w:val="48"/>
        </w:rPr>
      </w:pPr>
      <w:r>
        <w:rPr>
          <w:rFonts w:hint="eastAsia" w:asciiTheme="majorEastAsia" w:hAnsiTheme="majorEastAsia" w:eastAsiaTheme="majorEastAsia" w:cstheme="majorEastAsia"/>
          <w:b w:val="0"/>
          <w:bCs w:val="0"/>
          <w:sz w:val="48"/>
          <w:szCs w:val="48"/>
        </w:rPr>
        <w:t xml:space="preserve"> </w:t>
      </w:r>
    </w:p>
    <w:p>
      <w:pPr>
        <w:jc w:val="center"/>
        <w:rPr>
          <w:rFonts w:hint="eastAsia" w:asciiTheme="majorEastAsia" w:hAnsiTheme="majorEastAsia" w:eastAsiaTheme="majorEastAsia" w:cstheme="majorEastAsia"/>
          <w:b w:val="0"/>
          <w:bCs w:val="0"/>
          <w:sz w:val="48"/>
          <w:szCs w:val="48"/>
        </w:rPr>
      </w:pPr>
      <w:r>
        <w:rPr>
          <w:rFonts w:hint="eastAsia" w:asciiTheme="majorEastAsia" w:hAnsiTheme="majorEastAsia" w:eastAsiaTheme="majorEastAsia" w:cstheme="majorEastAsia"/>
          <w:b w:val="0"/>
          <w:bCs w:val="0"/>
          <w:sz w:val="48"/>
          <w:szCs w:val="48"/>
        </w:rPr>
        <w:t xml:space="preserve"> </w:t>
      </w:r>
    </w:p>
    <w:p>
      <w:pPr>
        <w:jc w:val="center"/>
        <w:rPr>
          <w:rFonts w:hint="eastAsia" w:asciiTheme="majorEastAsia" w:hAnsiTheme="majorEastAsia" w:eastAsiaTheme="majorEastAsia" w:cstheme="majorEastAsia"/>
          <w:b w:val="0"/>
          <w:bCs w:val="0"/>
          <w:sz w:val="48"/>
          <w:szCs w:val="48"/>
        </w:rPr>
      </w:pPr>
      <w:r>
        <w:rPr>
          <w:rFonts w:hint="eastAsia" w:asciiTheme="majorEastAsia" w:hAnsiTheme="majorEastAsia" w:eastAsiaTheme="majorEastAsia" w:cstheme="majorEastAsia"/>
          <w:b w:val="0"/>
          <w:bCs w:val="0"/>
          <w:sz w:val="48"/>
          <w:szCs w:val="48"/>
        </w:rPr>
        <w:t xml:space="preserve"> </w:t>
      </w:r>
    </w:p>
    <w:p>
      <w:pPr>
        <w:jc w:val="center"/>
        <w:rPr>
          <w:rFonts w:hint="eastAsia" w:asciiTheme="majorEastAsia" w:hAnsiTheme="majorEastAsia" w:eastAsiaTheme="majorEastAsia" w:cstheme="majorEastAsia"/>
          <w:b w:val="0"/>
          <w:bCs w:val="0"/>
          <w:sz w:val="48"/>
          <w:szCs w:val="48"/>
        </w:rPr>
      </w:pPr>
      <w:r>
        <w:rPr>
          <w:rFonts w:hint="eastAsia" w:asciiTheme="majorEastAsia" w:hAnsiTheme="majorEastAsia" w:eastAsiaTheme="majorEastAsia" w:cstheme="majorEastAsia"/>
          <w:b w:val="0"/>
          <w:bCs w:val="0"/>
          <w:sz w:val="48"/>
          <w:szCs w:val="48"/>
        </w:rPr>
        <w:t xml:space="preserve"> </w:t>
      </w:r>
    </w:p>
    <w:p>
      <w:pPr>
        <w:jc w:val="center"/>
        <w:rPr>
          <w:rFonts w:hint="eastAsia" w:asciiTheme="majorEastAsia" w:hAnsiTheme="majorEastAsia" w:eastAsiaTheme="majorEastAsia" w:cstheme="majorEastAsia"/>
          <w:b w:val="0"/>
          <w:bCs w:val="0"/>
          <w:sz w:val="48"/>
          <w:szCs w:val="48"/>
        </w:rPr>
      </w:pPr>
      <w:r>
        <w:rPr>
          <w:rFonts w:hint="eastAsia" w:asciiTheme="majorEastAsia" w:hAnsiTheme="majorEastAsia" w:eastAsiaTheme="majorEastAsia" w:cstheme="majorEastAsia"/>
          <w:b w:val="0"/>
          <w:bCs w:val="0"/>
          <w:sz w:val="48"/>
          <w:szCs w:val="48"/>
        </w:rPr>
        <w:t xml:space="preserve"> </w:t>
      </w:r>
    </w:p>
    <w:p>
      <w:pPr>
        <w:jc w:val="center"/>
        <w:rPr>
          <w:rFonts w:hint="eastAsia" w:asciiTheme="majorEastAsia" w:hAnsiTheme="majorEastAsia" w:eastAsiaTheme="majorEastAsia" w:cstheme="majorEastAsia"/>
          <w:b w:val="0"/>
          <w:bCs w:val="0"/>
          <w:sz w:val="48"/>
          <w:szCs w:val="48"/>
        </w:rPr>
      </w:pPr>
    </w:p>
    <w:p>
      <w:pPr>
        <w:jc w:val="center"/>
        <w:rPr>
          <w:rFonts w:hint="eastAsia" w:asciiTheme="majorEastAsia" w:hAnsiTheme="majorEastAsia" w:eastAsiaTheme="majorEastAsia" w:cstheme="majorEastAsia"/>
          <w:b w:val="0"/>
          <w:bCs w:val="0"/>
          <w:sz w:val="48"/>
          <w:szCs w:val="48"/>
        </w:rPr>
      </w:pPr>
      <w:r>
        <w:rPr>
          <w:rFonts w:hint="eastAsia" w:asciiTheme="majorEastAsia" w:hAnsiTheme="majorEastAsia" w:eastAsiaTheme="majorEastAsia" w:cstheme="majorEastAsia"/>
          <w:b w:val="0"/>
          <w:bCs w:val="0"/>
          <w:sz w:val="48"/>
          <w:szCs w:val="48"/>
        </w:rPr>
        <w:t xml:space="preserve"> </w:t>
      </w:r>
    </w:p>
    <w:p>
      <w:pPr>
        <w:jc w:val="center"/>
        <w:rPr>
          <w:rFonts w:hint="eastAsia" w:asciiTheme="majorEastAsia" w:hAnsiTheme="majorEastAsia" w:eastAsiaTheme="majorEastAsia" w:cstheme="majorEastAsia"/>
          <w:b w:val="0"/>
          <w:bCs w:val="0"/>
          <w:sz w:val="48"/>
          <w:szCs w:val="48"/>
        </w:rPr>
      </w:pPr>
      <w:r>
        <w:rPr>
          <w:rFonts w:hint="eastAsia" w:asciiTheme="majorEastAsia" w:hAnsiTheme="majorEastAsia" w:eastAsiaTheme="majorEastAsia" w:cstheme="majorEastAsia"/>
          <w:b w:val="0"/>
          <w:bCs w:val="0"/>
          <w:sz w:val="48"/>
          <w:szCs w:val="48"/>
        </w:rPr>
        <w:t xml:space="preserve"> </w:t>
      </w:r>
    </w:p>
    <w:p>
      <w:pPr>
        <w:ind w:firstLine="960" w:firstLineChars="200"/>
        <w:jc w:val="center"/>
        <w:rPr>
          <w:rFonts w:hint="eastAsia" w:asciiTheme="majorEastAsia" w:hAnsiTheme="majorEastAsia" w:eastAsiaTheme="majorEastAsia" w:cstheme="majorEastAsia"/>
          <w:b w:val="0"/>
          <w:bCs w:val="0"/>
          <w:sz w:val="48"/>
          <w:szCs w:val="48"/>
        </w:rPr>
      </w:pPr>
    </w:p>
    <w:p>
      <w:pPr>
        <w:ind w:firstLine="960" w:firstLineChars="200"/>
        <w:jc w:val="center"/>
        <w:rPr>
          <w:rFonts w:hint="eastAsia" w:asciiTheme="majorEastAsia" w:hAnsiTheme="majorEastAsia" w:eastAsiaTheme="majorEastAsia" w:cstheme="majorEastAsia"/>
          <w:b w:val="0"/>
          <w:bCs w:val="0"/>
          <w:sz w:val="48"/>
          <w:szCs w:val="48"/>
        </w:rPr>
      </w:pPr>
    </w:p>
    <w:p>
      <w:pPr>
        <w:ind w:firstLine="960" w:firstLineChars="200"/>
        <w:jc w:val="center"/>
        <w:rPr>
          <w:rFonts w:hint="eastAsia" w:asciiTheme="majorEastAsia" w:hAnsiTheme="majorEastAsia" w:eastAsiaTheme="majorEastAsia" w:cstheme="majorEastAsia"/>
          <w:b w:val="0"/>
          <w:bCs w:val="0"/>
          <w:sz w:val="48"/>
          <w:szCs w:val="48"/>
        </w:rPr>
      </w:pPr>
      <w:r>
        <w:rPr>
          <w:rFonts w:hint="eastAsia" w:asciiTheme="majorEastAsia" w:hAnsiTheme="majorEastAsia" w:eastAsiaTheme="majorEastAsia" w:cstheme="majorEastAsia"/>
          <w:b w:val="0"/>
          <w:bCs w:val="0"/>
          <w:sz w:val="48"/>
          <w:szCs w:val="48"/>
        </w:rPr>
        <w:t xml:space="preserve"> </w:t>
      </w:r>
    </w:p>
    <w:p>
      <w:pPr>
        <w:ind w:firstLine="960" w:firstLineChars="200"/>
        <w:jc w:val="center"/>
        <w:rPr>
          <w:rFonts w:hint="eastAsia" w:asciiTheme="majorEastAsia" w:hAnsiTheme="majorEastAsia" w:eastAsiaTheme="majorEastAsia" w:cstheme="majorEastAsia"/>
          <w:b w:val="0"/>
          <w:bCs w:val="0"/>
          <w:sz w:val="48"/>
          <w:szCs w:val="48"/>
        </w:rPr>
      </w:pPr>
      <w:r>
        <w:rPr>
          <w:rFonts w:hint="eastAsia" w:asciiTheme="majorEastAsia" w:hAnsiTheme="majorEastAsia" w:eastAsiaTheme="majorEastAsia" w:cstheme="majorEastAsia"/>
          <w:b w:val="0"/>
          <w:bCs w:val="0"/>
          <w:sz w:val="48"/>
          <w:szCs w:val="48"/>
        </w:rPr>
        <w:t xml:space="preserve"> </w:t>
      </w:r>
    </w:p>
    <w:p>
      <w:pPr>
        <w:ind w:firstLine="960" w:firstLineChars="200"/>
        <w:jc w:val="center"/>
        <w:rPr>
          <w:rFonts w:hint="eastAsia" w:asciiTheme="majorEastAsia" w:hAnsiTheme="majorEastAsia" w:eastAsiaTheme="majorEastAsia" w:cstheme="majorEastAsia"/>
          <w:b w:val="0"/>
          <w:bCs w:val="0"/>
          <w:sz w:val="48"/>
          <w:szCs w:val="48"/>
        </w:rPr>
      </w:pPr>
      <w:r>
        <w:rPr>
          <w:rFonts w:hint="eastAsia" w:asciiTheme="majorEastAsia" w:hAnsiTheme="majorEastAsia" w:eastAsiaTheme="majorEastAsia" w:cstheme="majorEastAsia"/>
          <w:b w:val="0"/>
          <w:bCs w:val="0"/>
          <w:sz w:val="48"/>
          <w:szCs w:val="48"/>
        </w:rPr>
        <w:t xml:space="preserve"> </w:t>
      </w:r>
    </w:p>
    <w:p>
      <w:pPr>
        <w:ind w:firstLine="960" w:firstLineChars="200"/>
        <w:jc w:val="center"/>
        <w:rPr>
          <w:rFonts w:hint="eastAsia" w:asciiTheme="majorEastAsia" w:hAnsiTheme="majorEastAsia" w:eastAsiaTheme="majorEastAsia" w:cstheme="majorEastAsia"/>
          <w:b w:val="0"/>
          <w:bCs w:val="0"/>
          <w:sz w:val="48"/>
          <w:szCs w:val="48"/>
          <w:lang w:val="en-US" w:eastAsia="zh-CN"/>
        </w:rPr>
      </w:pPr>
      <w:r>
        <w:rPr>
          <w:rFonts w:hint="eastAsia" w:asciiTheme="majorEastAsia" w:hAnsiTheme="majorEastAsia" w:eastAsiaTheme="majorEastAsia" w:cstheme="majorEastAsia"/>
          <w:b w:val="0"/>
          <w:bCs w:val="0"/>
          <w:sz w:val="48"/>
          <w:szCs w:val="48"/>
        </w:rPr>
        <w:t>单位名称（盖章）：双牌县</w:t>
      </w:r>
      <w:r>
        <w:rPr>
          <w:rFonts w:hint="eastAsia" w:asciiTheme="majorEastAsia" w:hAnsiTheme="majorEastAsia" w:eastAsiaTheme="majorEastAsia" w:cstheme="majorEastAsia"/>
          <w:b w:val="0"/>
          <w:bCs w:val="0"/>
          <w:sz w:val="48"/>
          <w:szCs w:val="48"/>
          <w:lang w:val="en-US" w:eastAsia="zh-CN"/>
        </w:rPr>
        <w:t>住房保障服务中心</w:t>
      </w:r>
    </w:p>
    <w:p>
      <w:pPr>
        <w:jc w:val="center"/>
        <w:rPr>
          <w:rFonts w:hint="eastAsia" w:asciiTheme="majorEastAsia" w:hAnsiTheme="majorEastAsia" w:eastAsiaTheme="majorEastAsia" w:cstheme="majorEastAsia"/>
          <w:b w:val="0"/>
          <w:bCs w:val="0"/>
          <w:sz w:val="48"/>
          <w:szCs w:val="48"/>
        </w:rPr>
      </w:pPr>
    </w:p>
    <w:p>
      <w:pPr>
        <w:keepNext w:val="0"/>
        <w:keepLines w:val="0"/>
        <w:widowControl/>
        <w:suppressLineNumbers w:val="0"/>
        <w:spacing w:before="0" w:beforeAutospacing="1" w:after="0" w:afterAutospacing="1"/>
        <w:ind w:right="0"/>
        <w:jc w:val="left"/>
        <w:rPr>
          <w:rFonts w:hint="eastAsia" w:asciiTheme="minorEastAsia" w:hAnsiTheme="minorEastAsia" w:eastAsiaTheme="minorEastAsia" w:cstheme="minorEastAsia"/>
          <w:b/>
          <w:bCs/>
          <w:color w:val="222222"/>
          <w:kern w:val="2"/>
          <w:sz w:val="32"/>
          <w:szCs w:val="32"/>
          <w:lang w:val="en-US" w:eastAsia="zh-CN" w:bidi="ar"/>
        </w:rPr>
      </w:pPr>
    </w:p>
    <w:p>
      <w:pPr>
        <w:keepNext w:val="0"/>
        <w:keepLines w:val="0"/>
        <w:widowControl/>
        <w:numPr>
          <w:ilvl w:val="0"/>
          <w:numId w:val="1"/>
        </w:numPr>
        <w:suppressLineNumbers w:val="0"/>
        <w:spacing w:before="0" w:beforeAutospacing="1" w:after="0" w:afterAutospacing="1"/>
        <w:ind w:right="0"/>
        <w:jc w:val="left"/>
        <w:rPr>
          <w:rFonts w:hint="eastAsia" w:asciiTheme="minorEastAsia" w:hAnsiTheme="minorEastAsia" w:eastAsiaTheme="minorEastAsia" w:cstheme="minorEastAsia"/>
          <w:b/>
          <w:bCs/>
          <w:color w:val="222222"/>
          <w:kern w:val="2"/>
          <w:sz w:val="32"/>
          <w:szCs w:val="32"/>
          <w:lang w:val="en-US" w:eastAsia="zh-CN" w:bidi="ar"/>
        </w:rPr>
      </w:pPr>
      <w:r>
        <w:rPr>
          <w:rFonts w:hint="eastAsia" w:asciiTheme="minorEastAsia" w:hAnsiTheme="minorEastAsia" w:eastAsiaTheme="minorEastAsia" w:cstheme="minorEastAsia"/>
          <w:b/>
          <w:bCs/>
          <w:color w:val="222222"/>
          <w:kern w:val="2"/>
          <w:sz w:val="32"/>
          <w:szCs w:val="32"/>
          <w:lang w:val="en-US" w:eastAsia="zh-CN" w:bidi="ar"/>
        </w:rPr>
        <w:t>基本情况</w:t>
      </w:r>
    </w:p>
    <w:p>
      <w:pPr>
        <w:keepNext w:val="0"/>
        <w:keepLines w:val="0"/>
        <w:widowControl/>
        <w:numPr>
          <w:ilvl w:val="0"/>
          <w:numId w:val="0"/>
        </w:numPr>
        <w:suppressLineNumbers w:val="0"/>
        <w:spacing w:before="0" w:beforeAutospacing="1" w:after="0" w:afterAutospacing="1"/>
        <w:ind w:right="0" w:rightChars="0"/>
        <w:jc w:val="left"/>
        <w:rPr>
          <w:rFonts w:hint="eastAsia" w:asciiTheme="minorEastAsia" w:hAnsiTheme="minorEastAsia" w:eastAsiaTheme="minorEastAsia" w:cstheme="minorEastAsia"/>
          <w:b w:val="0"/>
          <w:bCs w:val="0"/>
          <w:color w:val="222222"/>
          <w:kern w:val="2"/>
          <w:sz w:val="32"/>
          <w:szCs w:val="32"/>
          <w:lang w:val="en-US" w:eastAsia="zh-CN" w:bidi="ar"/>
        </w:rPr>
      </w:pPr>
      <w:r>
        <w:rPr>
          <w:rFonts w:hint="eastAsia" w:asciiTheme="minorEastAsia" w:hAnsiTheme="minorEastAsia" w:eastAsiaTheme="minorEastAsia" w:cstheme="minorEastAsia"/>
          <w:b w:val="0"/>
          <w:bCs w:val="0"/>
          <w:color w:val="222222"/>
          <w:kern w:val="2"/>
          <w:sz w:val="32"/>
          <w:szCs w:val="32"/>
          <w:lang w:val="en-US" w:eastAsia="zh-CN" w:bidi="ar"/>
        </w:rPr>
        <w:t>（一）、部门概况</w:t>
      </w:r>
    </w:p>
    <w:p>
      <w:pPr>
        <w:keepNext w:val="0"/>
        <w:keepLines w:val="0"/>
        <w:widowControl/>
        <w:suppressLineNumbers w:val="0"/>
        <w:spacing w:before="0" w:beforeAutospacing="1" w:after="0" w:afterAutospacing="1"/>
        <w:ind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1、职能职责</w:t>
      </w:r>
    </w:p>
    <w:p>
      <w:pPr>
        <w:keepNext w:val="0"/>
        <w:keepLines w:val="0"/>
        <w:widowControl/>
        <w:suppressLineNumbers w:val="0"/>
        <w:spacing w:before="0" w:beforeAutospacing="1" w:after="0" w:afterAutospacing="1"/>
        <w:ind w:left="0" w:right="0" w:firstLine="640" w:firstLineChars="20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双牌县住房保障服务中心负责全县产籍管理及房屋测绘、评估工作；承担全县房屋转让、租赁、典当、置换、担保等交易管理；负责全县白蚁防治、房屋安全鉴定、房屋征收及房产执行监察工作；承担县政府下达的保障性住房建设任务，对全县廉租住房进行全面管理，落实发放廉租房补贴；监督物业管理；组织收取房屋维修资金并监督使用等。</w:t>
      </w:r>
    </w:p>
    <w:p>
      <w:pPr>
        <w:keepNext w:val="0"/>
        <w:keepLines w:val="0"/>
        <w:widowControl/>
        <w:numPr>
          <w:ilvl w:val="0"/>
          <w:numId w:val="2"/>
        </w:numPr>
        <w:suppressLineNumbers w:val="0"/>
        <w:spacing w:before="0" w:beforeAutospacing="1" w:after="0" w:afterAutospacing="1"/>
        <w:ind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机构设置</w:t>
      </w:r>
    </w:p>
    <w:p>
      <w:pPr>
        <w:keepNext w:val="0"/>
        <w:keepLines w:val="0"/>
        <w:widowControl/>
        <w:numPr>
          <w:ilvl w:val="0"/>
          <w:numId w:val="0"/>
        </w:numPr>
        <w:suppressLineNumbers w:val="0"/>
        <w:spacing w:before="0" w:beforeAutospacing="1" w:after="0" w:afterAutospacing="1"/>
        <w:ind w:right="0" w:rightChars="0" w:firstLine="640" w:firstLineChars="20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双牌县住房保障服务中心成立于2005年1月，由原房产公司和县房改办合并组成，为县住房和城乡规划建设局所属正科级公益一类事业单位，同时加挂双牌县住房制度改革领导小组办公室牌子，在2020年6月更名为双牌县住房保障服务中心。目前，在职职工35人，退休职工10人。全局内设办公室、财务室、住房保障办公室、市场服务股等4个机构。</w:t>
      </w:r>
    </w:p>
    <w:p>
      <w:pPr>
        <w:keepNext w:val="0"/>
        <w:keepLines w:val="0"/>
        <w:widowControl/>
        <w:numPr>
          <w:ilvl w:val="0"/>
          <w:numId w:val="2"/>
        </w:numPr>
        <w:suppressLineNumbers w:val="0"/>
        <w:spacing w:before="0" w:beforeAutospacing="1" w:after="0" w:afterAutospacing="1"/>
        <w:ind w:left="0" w:leftChars="0" w:right="0" w:firstLine="0" w:firstLineChars="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部门单位构成</w:t>
      </w:r>
    </w:p>
    <w:p>
      <w:pPr>
        <w:keepNext w:val="0"/>
        <w:keepLines w:val="0"/>
        <w:widowControl/>
        <w:numPr>
          <w:ilvl w:val="0"/>
          <w:numId w:val="0"/>
        </w:numPr>
        <w:suppressLineNumbers w:val="0"/>
        <w:spacing w:before="0" w:beforeAutospacing="1" w:after="0" w:afterAutospacing="1"/>
        <w:ind w:leftChars="0" w:right="0" w:rightChars="0" w:firstLine="640" w:firstLineChars="20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双牌县房产局是正科级事业单位，现在在职职工35人，其中：财政全额拨款8人，自收自支人员27人；退休人员10人；单位实有车辆1台，房屋建筑物面积750平方米，计算机25台，传真机1台，打印机8台，壁挂式空调6台，柜式空调4台，电话11部。</w:t>
      </w:r>
    </w:p>
    <w:p>
      <w:pPr>
        <w:keepNext w:val="0"/>
        <w:keepLines w:val="0"/>
        <w:widowControl/>
        <w:suppressLineNumbers w:val="0"/>
        <w:spacing w:before="0" w:beforeAutospacing="1" w:after="0" w:afterAutospacing="1"/>
        <w:ind w:right="0"/>
        <w:jc w:val="left"/>
        <w:rPr>
          <w:rFonts w:hint="eastAsia" w:asciiTheme="minorEastAsia" w:hAnsiTheme="minorEastAsia" w:eastAsiaTheme="minorEastAsia" w:cstheme="minorEastAsia"/>
          <w:b/>
          <w:bCs/>
          <w:color w:val="222222"/>
          <w:kern w:val="2"/>
          <w:sz w:val="32"/>
          <w:szCs w:val="32"/>
          <w:lang w:val="en-US" w:eastAsia="zh-CN" w:bidi="ar"/>
        </w:rPr>
      </w:pPr>
      <w:r>
        <w:rPr>
          <w:rFonts w:hint="eastAsia" w:asciiTheme="minorEastAsia" w:hAnsiTheme="minorEastAsia" w:eastAsiaTheme="minorEastAsia" w:cstheme="minorEastAsia"/>
          <w:b/>
          <w:bCs/>
          <w:color w:val="222222"/>
          <w:kern w:val="2"/>
          <w:sz w:val="32"/>
          <w:szCs w:val="32"/>
          <w:lang w:val="en-US" w:eastAsia="zh-CN" w:bidi="ar"/>
        </w:rPr>
        <w:t>二、部门整体支出规模及使用方向、内容</w:t>
      </w:r>
    </w:p>
    <w:p>
      <w:pPr>
        <w:keepNext w:val="0"/>
        <w:keepLines w:val="0"/>
        <w:widowControl/>
        <w:suppressLineNumbers w:val="0"/>
        <w:spacing w:before="0" w:beforeAutospacing="1" w:after="0" w:afterAutospacing="1"/>
        <w:ind w:right="0"/>
        <w:jc w:val="left"/>
        <w:rPr>
          <w:rFonts w:hint="eastAsia" w:asciiTheme="minorEastAsia" w:hAnsiTheme="minorEastAsia" w:eastAsiaTheme="minorEastAsia" w:cstheme="minorEastAsia"/>
          <w:b w:val="0"/>
          <w:bCs w:val="0"/>
          <w:color w:val="222222"/>
          <w:kern w:val="2"/>
          <w:sz w:val="32"/>
          <w:szCs w:val="32"/>
          <w:lang w:val="en-US" w:eastAsia="zh-CN" w:bidi="ar"/>
        </w:rPr>
      </w:pPr>
      <w:r>
        <w:rPr>
          <w:rFonts w:hint="eastAsia" w:asciiTheme="minorEastAsia" w:hAnsiTheme="minorEastAsia" w:eastAsiaTheme="minorEastAsia" w:cstheme="minorEastAsia"/>
          <w:b w:val="0"/>
          <w:bCs w:val="0"/>
          <w:color w:val="222222"/>
          <w:kern w:val="2"/>
          <w:sz w:val="32"/>
          <w:szCs w:val="32"/>
          <w:lang w:val="en-US" w:eastAsia="zh-CN" w:bidi="ar"/>
        </w:rPr>
        <w:t>（一）、关于2021年度收入支出决算总体情况说明</w:t>
      </w:r>
    </w:p>
    <w:p>
      <w:pPr>
        <w:keepNext w:val="0"/>
        <w:keepLines w:val="0"/>
        <w:widowControl/>
        <w:suppressLineNumbers w:val="0"/>
        <w:spacing w:before="0" w:beforeAutospacing="1" w:after="0" w:afterAutospacing="1"/>
        <w:ind w:right="0" w:firstLine="640" w:firstLineChars="20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1、2021年度本年预算收入总计3691.68万元，其中：一般公共预算财政拨款3691.68万元。2021年度收入决算总计2633.75万元，其中：一般公共预算财政拨款2633.75万元，。</w:t>
      </w:r>
    </w:p>
    <w:p>
      <w:pPr>
        <w:keepNext w:val="0"/>
        <w:keepLines w:val="0"/>
        <w:widowControl/>
        <w:suppressLineNumbers w:val="0"/>
        <w:spacing w:before="0" w:beforeAutospacing="1" w:after="0" w:afterAutospacing="1"/>
        <w:ind w:left="0" w:right="0" w:firstLine="640" w:firstLineChars="20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2、2021年支出年初预算数3691.68万元，其中：基本支出589.38万元，项目支出3102.3万元。支出决算数2633.75万元，其中基本支出400.36万元，项目支出2233.39万元。支出决算数少于支出预算数。</w:t>
      </w:r>
    </w:p>
    <w:p>
      <w:pPr>
        <w:keepNext w:val="0"/>
        <w:keepLines w:val="0"/>
        <w:widowControl/>
        <w:suppressLineNumbers w:val="0"/>
        <w:spacing w:before="0" w:beforeAutospacing="1" w:after="0" w:afterAutospacing="1"/>
        <w:ind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（二）、整体支出使用范围、方向和内容</w:t>
      </w:r>
    </w:p>
    <w:p>
      <w:pPr>
        <w:keepNext w:val="0"/>
        <w:keepLines w:val="0"/>
        <w:widowControl/>
        <w:suppressLineNumbers w:val="0"/>
        <w:spacing w:before="0" w:beforeAutospacing="1" w:after="0" w:afterAutospacing="1"/>
        <w:ind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1、年初预算整体支出的使用范围、方向和内容</w:t>
      </w:r>
    </w:p>
    <w:p>
      <w:pPr>
        <w:keepNext w:val="0"/>
        <w:keepLines w:val="0"/>
        <w:widowControl/>
        <w:suppressLineNumbers w:val="0"/>
        <w:spacing w:before="0" w:beforeAutospacing="1" w:after="0" w:afterAutospacing="1"/>
        <w:ind w:left="0" w:right="0" w:firstLine="640" w:firstLineChars="20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2021年年初预算为3691.68万元，其中基本支出589.38万元，使用内容为人员经费和日常公用经费；项目支出3102.3万元，使用内容为业务工作专项。具体使用方向如下：</w:t>
      </w:r>
    </w:p>
    <w:tbl>
      <w:tblPr>
        <w:tblStyle w:val="5"/>
        <w:tblW w:w="8813"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001"/>
        <w:gridCol w:w="2693"/>
        <w:gridCol w:w="3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3001"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支出项目</w:t>
            </w:r>
          </w:p>
        </w:tc>
        <w:tc>
          <w:tcPr>
            <w:tcW w:w="2693"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基本支出（万元）</w:t>
            </w:r>
          </w:p>
        </w:tc>
        <w:tc>
          <w:tcPr>
            <w:tcW w:w="3119"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2"/>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项目支出（万元）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001"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工资福利支出</w:t>
            </w:r>
          </w:p>
        </w:tc>
        <w:tc>
          <w:tcPr>
            <w:tcW w:w="2693"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right"/>
              <w:textAlignment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530</w:t>
            </w:r>
          </w:p>
        </w:tc>
        <w:tc>
          <w:tcPr>
            <w:tcW w:w="3119"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001"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商品和服务支出</w:t>
            </w:r>
          </w:p>
        </w:tc>
        <w:tc>
          <w:tcPr>
            <w:tcW w:w="2693"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56.2</w:t>
            </w:r>
          </w:p>
        </w:tc>
        <w:tc>
          <w:tcPr>
            <w:tcW w:w="3119"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001"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对个人和家庭补助</w:t>
            </w:r>
          </w:p>
        </w:tc>
        <w:tc>
          <w:tcPr>
            <w:tcW w:w="2693"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3.18</w:t>
            </w:r>
          </w:p>
        </w:tc>
        <w:tc>
          <w:tcPr>
            <w:tcW w:w="3119"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001"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其他资本性支出</w:t>
            </w:r>
          </w:p>
        </w:tc>
        <w:tc>
          <w:tcPr>
            <w:tcW w:w="2693"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c>
          <w:tcPr>
            <w:tcW w:w="3119"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3102.3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001"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其他支出</w:t>
            </w:r>
          </w:p>
        </w:tc>
        <w:tc>
          <w:tcPr>
            <w:tcW w:w="2693"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c>
          <w:tcPr>
            <w:tcW w:w="3119"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001"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合     计</w:t>
            </w:r>
          </w:p>
        </w:tc>
        <w:tc>
          <w:tcPr>
            <w:tcW w:w="2693"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589.38</w:t>
            </w:r>
          </w:p>
        </w:tc>
        <w:tc>
          <w:tcPr>
            <w:tcW w:w="3119"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3102.3</w:t>
            </w:r>
          </w:p>
        </w:tc>
      </w:tr>
    </w:tbl>
    <w:p>
      <w:pPr>
        <w:keepNext w:val="0"/>
        <w:keepLines w:val="0"/>
        <w:widowControl/>
        <w:suppressLineNumbers w:val="0"/>
        <w:spacing w:before="0" w:beforeAutospacing="1" w:after="0" w:afterAutospacing="1"/>
        <w:ind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2、上年结余和本年追加预算支出的使用范围、方向和内容</w:t>
      </w:r>
    </w:p>
    <w:p>
      <w:pPr>
        <w:keepNext w:val="0"/>
        <w:keepLines w:val="0"/>
        <w:widowControl/>
        <w:suppressLineNumbers w:val="0"/>
        <w:spacing w:before="0" w:beforeAutospacing="1" w:after="0" w:afterAutospacing="1"/>
        <w:ind w:left="0" w:right="0" w:firstLine="640" w:firstLineChars="20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上年结余资金和本年追加预算在预算指标文下达时即已明确使用用途和使用方向，需专款专用，追加明细详见上述追加事项明细表。</w:t>
      </w:r>
    </w:p>
    <w:p>
      <w:pPr>
        <w:keepNext w:val="0"/>
        <w:keepLines w:val="0"/>
        <w:widowControl/>
        <w:suppressLineNumbers w:val="0"/>
        <w:spacing w:before="0" w:beforeAutospacing="1" w:after="0" w:afterAutospacing="1"/>
        <w:ind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（三）年度预算收支决算情况</w:t>
      </w:r>
    </w:p>
    <w:p>
      <w:pPr>
        <w:keepNext w:val="0"/>
        <w:keepLines w:val="0"/>
        <w:widowControl/>
        <w:suppressLineNumbers w:val="0"/>
        <w:spacing w:before="0" w:beforeAutospacing="1" w:after="0" w:afterAutospacing="1"/>
        <w:ind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1. 2021年度预算收入决算情况</w:t>
      </w:r>
    </w:p>
    <w:tbl>
      <w:tblPr>
        <w:tblStyle w:val="5"/>
        <w:tblW w:w="7291"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746"/>
        <w:gridCol w:w="3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374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项    目</w:t>
            </w:r>
          </w:p>
        </w:tc>
        <w:tc>
          <w:tcPr>
            <w:tcW w:w="3545"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2"/>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合计（单位：万元）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3746" w:type="dxa"/>
            <w:tcBorders>
              <w:top w:val="single" w:color="000000" w:sz="8" w:space="0"/>
              <w:left w:val="single" w:color="000000" w:sz="8" w:space="0"/>
              <w:bottom w:val="single" w:color="000000" w:sz="6" w:space="0"/>
              <w:right w:val="single" w:color="000000" w:sz="6"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一般公共预算财政拨款</w:t>
            </w:r>
          </w:p>
        </w:tc>
        <w:tc>
          <w:tcPr>
            <w:tcW w:w="3545" w:type="dxa"/>
            <w:tcBorders>
              <w:top w:val="single" w:color="000000" w:sz="8" w:space="0"/>
              <w:left w:val="nil"/>
              <w:bottom w:val="single" w:color="000000" w:sz="6"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2633.75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3746" w:type="dxa"/>
            <w:tcBorders>
              <w:top w:val="single" w:color="000000" w:sz="6" w:space="0"/>
              <w:left w:val="single" w:color="000000" w:sz="8" w:space="0"/>
              <w:bottom w:val="single" w:color="000000" w:sz="6" w:space="0"/>
              <w:right w:val="single" w:color="000000" w:sz="6"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政府性基金预算财政拨款</w:t>
            </w:r>
          </w:p>
        </w:tc>
        <w:tc>
          <w:tcPr>
            <w:tcW w:w="3545" w:type="dxa"/>
            <w:tcBorders>
              <w:top w:val="single" w:color="000000" w:sz="6" w:space="0"/>
              <w:left w:val="nil"/>
              <w:bottom w:val="single" w:color="000000" w:sz="6"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3746" w:type="dxa"/>
            <w:tcBorders>
              <w:top w:val="single" w:color="000000" w:sz="6" w:space="0"/>
              <w:left w:val="single" w:color="000000" w:sz="8" w:space="0"/>
              <w:bottom w:val="single" w:color="000000" w:sz="8" w:space="0"/>
              <w:right w:val="single" w:color="000000" w:sz="6"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合     计</w:t>
            </w:r>
          </w:p>
        </w:tc>
        <w:tc>
          <w:tcPr>
            <w:tcW w:w="3545" w:type="dxa"/>
            <w:tcBorders>
              <w:top w:val="single" w:color="000000" w:sz="6" w:space="0"/>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2633.75</w:t>
            </w:r>
          </w:p>
        </w:tc>
      </w:tr>
    </w:tbl>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2．2021年度预算支出决算及结余情况</w:t>
      </w:r>
    </w:p>
    <w:p>
      <w:pPr>
        <w:pStyle w:val="4"/>
        <w:keepNext w:val="0"/>
        <w:keepLines w:val="0"/>
        <w:widowControl/>
        <w:numPr>
          <w:ilvl w:val="0"/>
          <w:numId w:val="0"/>
        </w:numPr>
        <w:suppressLineNumbers w:val="0"/>
        <w:shd w:val="clear" w:fill="FFFFFF"/>
        <w:spacing w:before="0" w:beforeAutospacing="0" w:after="0" w:afterAutospacing="0" w:line="560" w:lineRule="exact"/>
        <w:ind w:left="0" w:right="0" w:firstLine="480"/>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1、工资福利支出319万元：（1）基本工资123.43万元，（2）津贴补贴60.44万元，（3）奖金51.88万元。（4）社会保障缴费78.16万元，其中：养老保险32.69万元，住房公积金23.93万元，职业年金2.05万元，职工基本医疗保险缴费17.78万元，其他社会保障缴费1.71万元。（5）其他工资福利支出5.09万元。</w:t>
      </w:r>
    </w:p>
    <w:p>
      <w:pPr>
        <w:pStyle w:val="4"/>
        <w:keepNext w:val="0"/>
        <w:keepLines w:val="0"/>
        <w:widowControl/>
        <w:suppressLineNumbers w:val="0"/>
        <w:shd w:val="clear" w:fill="FFFFFF"/>
        <w:spacing w:before="0" w:beforeAutospacing="0" w:after="0" w:afterAutospacing="0" w:line="560" w:lineRule="exact"/>
        <w:ind w:left="0" w:right="0" w:firstLine="480"/>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2、一般商品和服务支出80.72万元：办公费6.69万元，印刷费2.86万元，水费1.94万元，电费1.58万元，邮电费0.6万元，差旅费8.51万元，维修（护）费12.21万元，会议费0.1万元，公务接待费2.44万元，劳务费4.92万元，工会经费16.5万元，福利费5.94万元，公务用车运行维护费2.27万元，其他交通费用0.62万元，其他商品和服务支出13.54万元。</w:t>
      </w:r>
    </w:p>
    <w:p>
      <w:pPr>
        <w:pStyle w:val="4"/>
        <w:keepNext w:val="0"/>
        <w:keepLines w:val="0"/>
        <w:widowControl/>
        <w:suppressLineNumbers w:val="0"/>
        <w:shd w:val="clear" w:fill="FFFFFF"/>
        <w:spacing w:before="0" w:beforeAutospacing="0" w:after="0" w:afterAutospacing="0" w:line="560" w:lineRule="exact"/>
        <w:ind w:left="0" w:right="0" w:firstLine="480"/>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3、对个人和家庭的补助支出0.64万元：救济费0.45万元，其他对个人和家庭的补助支出0.19万元。</w:t>
      </w:r>
    </w:p>
    <w:p>
      <w:pPr>
        <w:pStyle w:val="4"/>
        <w:keepNext w:val="0"/>
        <w:keepLines w:val="0"/>
        <w:widowControl/>
        <w:suppressLineNumbers w:val="0"/>
        <w:shd w:val="clear" w:fill="FFFFFF"/>
        <w:spacing w:before="0" w:beforeAutospacing="0" w:after="0" w:afterAutospacing="0" w:line="560" w:lineRule="exact"/>
        <w:ind w:left="0" w:right="0" w:firstLine="480"/>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4、单位项目支出2233.39万元，其中：工资福利支出1.45万元，一般商品和服务支出93.94万元，基础设施建设2138万元。</w:t>
      </w:r>
    </w:p>
    <w:p>
      <w:pPr>
        <w:keepNext w:val="0"/>
        <w:keepLines w:val="0"/>
        <w:widowControl/>
        <w:suppressLineNumbers w:val="0"/>
        <w:spacing w:before="0" w:beforeAutospacing="1" w:after="0" w:afterAutospacing="1"/>
        <w:ind w:right="0"/>
        <w:jc w:val="left"/>
        <w:rPr>
          <w:rFonts w:hint="eastAsia" w:asciiTheme="minorEastAsia" w:hAnsiTheme="minorEastAsia" w:eastAsiaTheme="minorEastAsia" w:cstheme="minorEastAsia"/>
          <w:b/>
          <w:bCs/>
          <w:color w:val="222222"/>
          <w:kern w:val="2"/>
          <w:sz w:val="32"/>
          <w:szCs w:val="32"/>
          <w:lang w:val="en-US" w:eastAsia="zh-CN" w:bidi="ar"/>
        </w:rPr>
      </w:pPr>
      <w:r>
        <w:rPr>
          <w:rFonts w:hint="eastAsia" w:asciiTheme="minorEastAsia" w:hAnsiTheme="minorEastAsia" w:eastAsiaTheme="minorEastAsia" w:cstheme="minorEastAsia"/>
          <w:b/>
          <w:bCs/>
          <w:color w:val="222222"/>
          <w:kern w:val="2"/>
          <w:sz w:val="32"/>
          <w:szCs w:val="32"/>
          <w:lang w:val="en-US" w:eastAsia="zh-CN" w:bidi="ar"/>
        </w:rPr>
        <w:t>三、绩效评价工作情况</w:t>
      </w:r>
    </w:p>
    <w:p>
      <w:pPr>
        <w:keepNext w:val="0"/>
        <w:keepLines w:val="0"/>
        <w:widowControl/>
        <w:suppressLineNumbers w:val="0"/>
        <w:spacing w:before="0" w:beforeAutospacing="1" w:after="0" w:afterAutospacing="1"/>
        <w:ind w:right="0" w:firstLine="640" w:firstLineChars="20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（一）绩效评价目的</w:t>
      </w:r>
      <w:r>
        <w:rPr>
          <w:rFonts w:hint="eastAsia" w:asciiTheme="minorEastAsia" w:hAnsiTheme="minorEastAsia" w:cstheme="minorEastAsia"/>
          <w:color w:val="222222"/>
          <w:kern w:val="2"/>
          <w:sz w:val="32"/>
          <w:szCs w:val="32"/>
          <w:lang w:val="en-US" w:eastAsia="zh-CN" w:bidi="ar"/>
        </w:rPr>
        <w:t>：</w:t>
      </w:r>
      <w:r>
        <w:rPr>
          <w:rFonts w:hint="eastAsia" w:asciiTheme="minorEastAsia" w:hAnsiTheme="minorEastAsia" w:eastAsiaTheme="minorEastAsia" w:cstheme="minorEastAsia"/>
          <w:color w:val="222222"/>
          <w:kern w:val="2"/>
          <w:sz w:val="32"/>
          <w:szCs w:val="32"/>
          <w:lang w:val="en-US" w:eastAsia="zh-CN" w:bidi="ar"/>
        </w:rPr>
        <w:t>本次绩效评价的目的是为了全面分析和综合评价我单位财政预算资金的使用管理情况，为切实提高财政资金使用效益，强化预算支出的责任和效率提供参考依据。（二）绩效评价工作过程，主要包括前期准备、组织实施和分析评价等内容</w:t>
      </w:r>
      <w:r>
        <w:rPr>
          <w:rFonts w:hint="eastAsia" w:asciiTheme="minorEastAsia" w:hAnsiTheme="minorEastAsia" w:cstheme="minorEastAsia"/>
          <w:color w:val="222222"/>
          <w:kern w:val="2"/>
          <w:sz w:val="32"/>
          <w:szCs w:val="32"/>
          <w:lang w:val="en-US" w:eastAsia="zh-CN" w:bidi="ar"/>
        </w:rPr>
        <w:t>：</w:t>
      </w:r>
      <w:r>
        <w:rPr>
          <w:rFonts w:hint="eastAsia" w:asciiTheme="minorEastAsia" w:hAnsiTheme="minorEastAsia" w:eastAsiaTheme="minorEastAsia" w:cstheme="minorEastAsia"/>
          <w:color w:val="222222"/>
          <w:kern w:val="2"/>
          <w:sz w:val="32"/>
          <w:szCs w:val="32"/>
          <w:lang w:val="en-US" w:eastAsia="zh-CN" w:bidi="ar"/>
        </w:rPr>
        <w:t>我们按照县财政局绩效评价规程要求，第一阶段为前期准备：由财务人员牵头，确定评价指标细则；第二阶段为自评：根据上一阶段任务布置，展开自评工作；第三阶段为定性终评，并出具评价报告：财务人员在自评的基础上，查阅相关文件资料和财务凭证，对收集资料进行定量定性分析， 综合评议后形成评价结论，出具绩效评价报告。</w:t>
      </w:r>
    </w:p>
    <w:p>
      <w:pPr>
        <w:keepNext w:val="0"/>
        <w:keepLines w:val="0"/>
        <w:widowControl/>
        <w:suppressLineNumbers w:val="0"/>
        <w:spacing w:before="0" w:beforeAutospacing="1" w:after="0" w:afterAutospacing="1"/>
        <w:ind w:right="0"/>
        <w:jc w:val="left"/>
        <w:rPr>
          <w:rFonts w:hint="eastAsia" w:asciiTheme="minorEastAsia" w:hAnsiTheme="minorEastAsia" w:eastAsiaTheme="minorEastAsia" w:cstheme="minorEastAsia"/>
          <w:b/>
          <w:bCs/>
          <w:color w:val="222222"/>
          <w:kern w:val="2"/>
          <w:sz w:val="32"/>
          <w:szCs w:val="32"/>
          <w:lang w:val="en-US" w:eastAsia="zh-CN" w:bidi="ar"/>
        </w:rPr>
      </w:pPr>
      <w:r>
        <w:rPr>
          <w:rFonts w:hint="eastAsia" w:asciiTheme="minorEastAsia" w:hAnsiTheme="minorEastAsia" w:eastAsiaTheme="minorEastAsia" w:cstheme="minorEastAsia"/>
          <w:b/>
          <w:bCs/>
          <w:color w:val="222222"/>
          <w:kern w:val="2"/>
          <w:sz w:val="32"/>
          <w:szCs w:val="32"/>
          <w:lang w:val="en-US" w:eastAsia="zh-CN" w:bidi="ar"/>
        </w:rPr>
        <w:t>四、整体支出使用管理情况</w:t>
      </w:r>
    </w:p>
    <w:p>
      <w:pPr>
        <w:keepNext w:val="0"/>
        <w:keepLines w:val="0"/>
        <w:widowControl/>
        <w:suppressLineNumbers w:val="0"/>
        <w:spacing w:before="0" w:beforeAutospacing="1" w:after="0" w:afterAutospacing="1"/>
        <w:ind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（一）基本支出使用管理情况</w:t>
      </w:r>
      <w:r>
        <w:rPr>
          <w:rFonts w:hint="eastAsia" w:asciiTheme="minorEastAsia" w:hAnsiTheme="minorEastAsia" w:cstheme="minorEastAsia"/>
          <w:color w:val="222222"/>
          <w:kern w:val="2"/>
          <w:sz w:val="32"/>
          <w:szCs w:val="32"/>
          <w:lang w:val="en-US" w:eastAsia="zh-CN" w:bidi="ar"/>
        </w:rPr>
        <w:t>：</w:t>
      </w:r>
      <w:r>
        <w:rPr>
          <w:rFonts w:hint="eastAsia" w:asciiTheme="minorEastAsia" w:hAnsiTheme="minorEastAsia" w:eastAsiaTheme="minorEastAsia" w:cstheme="minorEastAsia"/>
          <w:color w:val="222222"/>
          <w:kern w:val="2"/>
          <w:sz w:val="32"/>
          <w:szCs w:val="32"/>
          <w:lang w:val="en-US" w:eastAsia="zh-CN" w:bidi="ar"/>
        </w:rPr>
        <w:t>我单位基本支出的范围和主要用途包括：人员经费和日常公用经费。具体包括：工资福利支出、对个人和家庭的补助、商品和服务支出、其他资本性支出。基本支出的管理和使用情况如下：</w:t>
      </w:r>
    </w:p>
    <w:p>
      <w:pPr>
        <w:keepNext w:val="0"/>
        <w:keepLines w:val="0"/>
        <w:widowControl/>
        <w:numPr>
          <w:ilvl w:val="0"/>
          <w:numId w:val="0"/>
        </w:numPr>
        <w:suppressLineNumbers w:val="0"/>
        <w:spacing w:before="0" w:beforeAutospacing="1" w:after="0" w:afterAutospacing="1"/>
        <w:ind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1、本年基本支出预算执行情况（单位：万元）</w:t>
      </w:r>
    </w:p>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 </w:t>
      </w:r>
    </w:p>
    <w:tbl>
      <w:tblPr>
        <w:tblStyle w:val="5"/>
        <w:tblW w:w="8660"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555"/>
        <w:gridCol w:w="1965"/>
        <w:gridCol w:w="2265"/>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9" w:hRule="atLeast"/>
        </w:trPr>
        <w:tc>
          <w:tcPr>
            <w:tcW w:w="2555"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预算项目</w:t>
            </w:r>
          </w:p>
        </w:tc>
        <w:tc>
          <w:tcPr>
            <w:tcW w:w="1965"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预算可用指标</w:t>
            </w:r>
          </w:p>
        </w:tc>
        <w:tc>
          <w:tcPr>
            <w:tcW w:w="2265"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本年决算金额</w:t>
            </w:r>
          </w:p>
        </w:tc>
        <w:tc>
          <w:tcPr>
            <w:tcW w:w="1875"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9" w:hRule="atLeast"/>
        </w:trPr>
        <w:tc>
          <w:tcPr>
            <w:tcW w:w="255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工资福利支出</w:t>
            </w:r>
          </w:p>
        </w:tc>
        <w:tc>
          <w:tcPr>
            <w:tcW w:w="196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firstLineChars="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530</w:t>
            </w:r>
          </w:p>
        </w:tc>
        <w:tc>
          <w:tcPr>
            <w:tcW w:w="226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319</w:t>
            </w:r>
          </w:p>
        </w:tc>
        <w:tc>
          <w:tcPr>
            <w:tcW w:w="187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8" w:hRule="atLeast"/>
        </w:trPr>
        <w:tc>
          <w:tcPr>
            <w:tcW w:w="255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商品和服务支出</w:t>
            </w:r>
          </w:p>
        </w:tc>
        <w:tc>
          <w:tcPr>
            <w:tcW w:w="196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firstLineChars="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56.2</w:t>
            </w:r>
          </w:p>
        </w:tc>
        <w:tc>
          <w:tcPr>
            <w:tcW w:w="226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80.72</w:t>
            </w:r>
          </w:p>
        </w:tc>
        <w:tc>
          <w:tcPr>
            <w:tcW w:w="187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-24.52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9" w:hRule="atLeast"/>
        </w:trPr>
        <w:tc>
          <w:tcPr>
            <w:tcW w:w="255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对个人和家庭补助</w:t>
            </w:r>
          </w:p>
        </w:tc>
        <w:tc>
          <w:tcPr>
            <w:tcW w:w="196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firstLineChars="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3.18</w:t>
            </w:r>
          </w:p>
        </w:tc>
        <w:tc>
          <w:tcPr>
            <w:tcW w:w="226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0.64</w:t>
            </w:r>
          </w:p>
        </w:tc>
        <w:tc>
          <w:tcPr>
            <w:tcW w:w="187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9" w:hRule="atLeast"/>
        </w:trPr>
        <w:tc>
          <w:tcPr>
            <w:tcW w:w="255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其他资本性支出</w:t>
            </w:r>
          </w:p>
        </w:tc>
        <w:tc>
          <w:tcPr>
            <w:tcW w:w="196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firstLineChars="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c>
          <w:tcPr>
            <w:tcW w:w="226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c>
          <w:tcPr>
            <w:tcW w:w="187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2555"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2"/>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合 计</w:t>
            </w:r>
          </w:p>
        </w:tc>
        <w:tc>
          <w:tcPr>
            <w:tcW w:w="196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firstLineChars="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589.38</w:t>
            </w:r>
          </w:p>
        </w:tc>
        <w:tc>
          <w:tcPr>
            <w:tcW w:w="226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400.36</w:t>
            </w:r>
          </w:p>
        </w:tc>
        <w:tc>
          <w:tcPr>
            <w:tcW w:w="187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189.02</w:t>
            </w:r>
          </w:p>
        </w:tc>
      </w:tr>
    </w:tbl>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 2、2021年“三公”经费决算情况（单位：万元）</w:t>
      </w:r>
    </w:p>
    <w:tbl>
      <w:tblPr>
        <w:tblStyle w:val="5"/>
        <w:tblW w:w="8813"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576"/>
        <w:gridCol w:w="1984"/>
        <w:gridCol w:w="1985"/>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257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2"/>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费用项目</w:t>
            </w:r>
          </w:p>
        </w:tc>
        <w:tc>
          <w:tcPr>
            <w:tcW w:w="1984"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2"/>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基本支出</w:t>
            </w:r>
          </w:p>
        </w:tc>
        <w:tc>
          <w:tcPr>
            <w:tcW w:w="1985"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项目支出</w:t>
            </w:r>
          </w:p>
        </w:tc>
        <w:tc>
          <w:tcPr>
            <w:tcW w:w="2268"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2"/>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2576"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2"/>
              <w:jc w:val="center"/>
              <w:textAlignment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公务接待费</w:t>
            </w:r>
          </w:p>
        </w:tc>
        <w:tc>
          <w:tcPr>
            <w:tcW w:w="1984"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2.44</w:t>
            </w:r>
          </w:p>
        </w:tc>
        <w:tc>
          <w:tcPr>
            <w:tcW w:w="198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c>
          <w:tcPr>
            <w:tcW w:w="2268"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2576"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textAlignment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公车运行维护费</w:t>
            </w:r>
          </w:p>
        </w:tc>
        <w:tc>
          <w:tcPr>
            <w:tcW w:w="1984"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2.27</w:t>
            </w:r>
          </w:p>
        </w:tc>
        <w:tc>
          <w:tcPr>
            <w:tcW w:w="198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c>
          <w:tcPr>
            <w:tcW w:w="2268"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2576"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both"/>
              <w:textAlignment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因公出国费用</w:t>
            </w:r>
          </w:p>
        </w:tc>
        <w:tc>
          <w:tcPr>
            <w:tcW w:w="1984"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c>
          <w:tcPr>
            <w:tcW w:w="198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c>
          <w:tcPr>
            <w:tcW w:w="2268"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2576"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both"/>
              <w:textAlignment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公务车购置费</w:t>
            </w:r>
          </w:p>
        </w:tc>
        <w:tc>
          <w:tcPr>
            <w:tcW w:w="1984"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c>
          <w:tcPr>
            <w:tcW w:w="198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c>
          <w:tcPr>
            <w:tcW w:w="2268"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2576"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2"/>
              <w:jc w:val="center"/>
              <w:textAlignment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合计</w:t>
            </w:r>
          </w:p>
        </w:tc>
        <w:tc>
          <w:tcPr>
            <w:tcW w:w="1984"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4.71</w:t>
            </w:r>
          </w:p>
        </w:tc>
        <w:tc>
          <w:tcPr>
            <w:tcW w:w="198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c>
          <w:tcPr>
            <w:tcW w:w="2268"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firstLine="440"/>
              <w:jc w:val="righ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4.71</w:t>
            </w:r>
          </w:p>
        </w:tc>
      </w:tr>
    </w:tbl>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 3、“三公”经费预算执行情况（单位：万元）</w:t>
      </w:r>
    </w:p>
    <w:tbl>
      <w:tblPr>
        <w:tblStyle w:val="5"/>
        <w:tblW w:w="8301"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03"/>
        <w:gridCol w:w="977"/>
        <w:gridCol w:w="979"/>
        <w:gridCol w:w="1252"/>
        <w:gridCol w:w="1200"/>
        <w:gridCol w:w="1440"/>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1103" w:type="dxa"/>
            <w:vMerge w:val="restart"/>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费用项目</w:t>
            </w:r>
          </w:p>
        </w:tc>
        <w:tc>
          <w:tcPr>
            <w:tcW w:w="1956" w:type="dxa"/>
            <w:gridSpan w:val="2"/>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预算金额</w:t>
            </w:r>
          </w:p>
        </w:tc>
        <w:tc>
          <w:tcPr>
            <w:tcW w:w="2452" w:type="dxa"/>
            <w:gridSpan w:val="2"/>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决算金额</w:t>
            </w:r>
          </w:p>
        </w:tc>
        <w:tc>
          <w:tcPr>
            <w:tcW w:w="2790" w:type="dxa"/>
            <w:gridSpan w:val="2"/>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增加额（决-预）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1103" w:type="dxa"/>
            <w:vMerge w:val="continue"/>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rPr>
                <w:rFonts w:hint="eastAsia" w:asciiTheme="minorEastAsia" w:hAnsiTheme="minorEastAsia" w:eastAsiaTheme="minorEastAsia" w:cstheme="minorEastAsia"/>
                <w:color w:val="222222"/>
                <w:kern w:val="2"/>
                <w:sz w:val="32"/>
                <w:szCs w:val="32"/>
                <w:lang w:val="en-US" w:eastAsia="zh-CN" w:bidi="ar"/>
              </w:rPr>
            </w:pPr>
          </w:p>
        </w:tc>
        <w:tc>
          <w:tcPr>
            <w:tcW w:w="97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基本支出</w:t>
            </w:r>
          </w:p>
        </w:tc>
        <w:tc>
          <w:tcPr>
            <w:tcW w:w="979"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项目支出</w:t>
            </w:r>
          </w:p>
        </w:tc>
        <w:tc>
          <w:tcPr>
            <w:tcW w:w="12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基本支出</w:t>
            </w:r>
          </w:p>
        </w:tc>
        <w:tc>
          <w:tcPr>
            <w:tcW w:w="120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项目支出</w:t>
            </w:r>
          </w:p>
        </w:tc>
        <w:tc>
          <w:tcPr>
            <w:tcW w:w="144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基本支出</w:t>
            </w:r>
          </w:p>
        </w:tc>
        <w:tc>
          <w:tcPr>
            <w:tcW w:w="135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1103"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公务接待</w:t>
            </w:r>
          </w:p>
        </w:tc>
        <w:tc>
          <w:tcPr>
            <w:tcW w:w="97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14.3</w:t>
            </w:r>
          </w:p>
        </w:tc>
        <w:tc>
          <w:tcPr>
            <w:tcW w:w="979"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c>
          <w:tcPr>
            <w:tcW w:w="12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2.44</w:t>
            </w:r>
          </w:p>
        </w:tc>
        <w:tc>
          <w:tcPr>
            <w:tcW w:w="120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c>
          <w:tcPr>
            <w:tcW w:w="144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-11.86</w:t>
            </w:r>
          </w:p>
        </w:tc>
        <w:tc>
          <w:tcPr>
            <w:tcW w:w="135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1103"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公车运行</w:t>
            </w:r>
          </w:p>
        </w:tc>
        <w:tc>
          <w:tcPr>
            <w:tcW w:w="97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3</w:t>
            </w:r>
          </w:p>
        </w:tc>
        <w:tc>
          <w:tcPr>
            <w:tcW w:w="979"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c>
          <w:tcPr>
            <w:tcW w:w="12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2.27</w:t>
            </w:r>
          </w:p>
        </w:tc>
        <w:tc>
          <w:tcPr>
            <w:tcW w:w="120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c>
          <w:tcPr>
            <w:tcW w:w="144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-0.73</w:t>
            </w:r>
          </w:p>
        </w:tc>
        <w:tc>
          <w:tcPr>
            <w:tcW w:w="135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1103"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公车购置</w:t>
            </w:r>
          </w:p>
        </w:tc>
        <w:tc>
          <w:tcPr>
            <w:tcW w:w="97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c>
          <w:tcPr>
            <w:tcW w:w="979"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c>
          <w:tcPr>
            <w:tcW w:w="12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c>
          <w:tcPr>
            <w:tcW w:w="120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c>
          <w:tcPr>
            <w:tcW w:w="144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c>
          <w:tcPr>
            <w:tcW w:w="135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1103"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因公出国</w:t>
            </w:r>
          </w:p>
        </w:tc>
        <w:tc>
          <w:tcPr>
            <w:tcW w:w="97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c>
          <w:tcPr>
            <w:tcW w:w="979"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c>
          <w:tcPr>
            <w:tcW w:w="12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c>
          <w:tcPr>
            <w:tcW w:w="120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c>
          <w:tcPr>
            <w:tcW w:w="144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c>
          <w:tcPr>
            <w:tcW w:w="135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103"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合计</w:t>
            </w:r>
          </w:p>
        </w:tc>
        <w:tc>
          <w:tcPr>
            <w:tcW w:w="977"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17.3</w:t>
            </w:r>
          </w:p>
        </w:tc>
        <w:tc>
          <w:tcPr>
            <w:tcW w:w="979"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c>
          <w:tcPr>
            <w:tcW w:w="125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4.71</w:t>
            </w:r>
          </w:p>
        </w:tc>
        <w:tc>
          <w:tcPr>
            <w:tcW w:w="120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c>
          <w:tcPr>
            <w:tcW w:w="144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-12.59</w:t>
            </w:r>
          </w:p>
        </w:tc>
        <w:tc>
          <w:tcPr>
            <w:tcW w:w="135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0</w:t>
            </w:r>
          </w:p>
        </w:tc>
      </w:tr>
    </w:tbl>
    <w:p>
      <w:pPr>
        <w:keepNext w:val="0"/>
        <w:keepLines w:val="0"/>
        <w:widowControl/>
        <w:suppressLineNumbers w:val="0"/>
        <w:spacing w:before="0" w:beforeAutospacing="1" w:after="0" w:afterAutospacing="1"/>
        <w:ind w:left="0" w:leftChars="0"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 </w:t>
      </w:r>
      <w:r>
        <w:rPr>
          <w:rFonts w:hint="eastAsia" w:asciiTheme="minorEastAsia" w:hAnsiTheme="minorEastAsia" w:cstheme="minorEastAsia"/>
          <w:color w:val="222222"/>
          <w:kern w:val="2"/>
          <w:sz w:val="32"/>
          <w:szCs w:val="32"/>
          <w:lang w:val="en-US" w:eastAsia="zh-CN" w:bidi="ar"/>
        </w:rPr>
        <w:t xml:space="preserve">  </w:t>
      </w:r>
      <w:r>
        <w:rPr>
          <w:rFonts w:hint="eastAsia" w:asciiTheme="minorEastAsia" w:hAnsiTheme="minorEastAsia" w:eastAsiaTheme="minorEastAsia" w:cstheme="minorEastAsia"/>
          <w:color w:val="222222"/>
          <w:kern w:val="2"/>
          <w:sz w:val="32"/>
          <w:szCs w:val="32"/>
          <w:lang w:val="en-US" w:eastAsia="zh-CN" w:bidi="ar"/>
        </w:rPr>
        <w:t>2021年度“三公”经费财政拨款支出决算为4.71万元，年初预算17.3万元，决算比预算少12.59万元。其中：因公出国（境）费支出决算为0万元，占0 %；公务用车购置及运行维护费支出决算为2.27万元，占48.2%；公务接待费支出决算为2.44万元，占51.8%，年初预算14.3万元，决算比预算少控制比较好。</w:t>
      </w:r>
    </w:p>
    <w:p>
      <w:pPr>
        <w:keepNext w:val="0"/>
        <w:keepLines w:val="0"/>
        <w:widowControl/>
        <w:suppressLineNumbers w:val="0"/>
        <w:spacing w:before="0" w:beforeAutospacing="1" w:after="0" w:afterAutospacing="1"/>
        <w:ind w:right="0"/>
        <w:jc w:val="left"/>
        <w:rPr>
          <w:rFonts w:hint="eastAsia" w:asciiTheme="minorEastAsia" w:hAnsiTheme="minorEastAsia" w:eastAsiaTheme="minorEastAsia" w:cstheme="minorEastAsia"/>
          <w:b/>
          <w:bCs/>
          <w:color w:val="222222"/>
          <w:kern w:val="2"/>
          <w:sz w:val="32"/>
          <w:szCs w:val="32"/>
          <w:lang w:val="en-US" w:eastAsia="zh-CN" w:bidi="ar"/>
        </w:rPr>
      </w:pPr>
      <w:r>
        <w:rPr>
          <w:rFonts w:hint="eastAsia" w:asciiTheme="minorEastAsia" w:hAnsiTheme="minorEastAsia" w:eastAsiaTheme="minorEastAsia" w:cstheme="minorEastAsia"/>
          <w:b/>
          <w:bCs/>
          <w:color w:val="222222"/>
          <w:kern w:val="2"/>
          <w:sz w:val="32"/>
          <w:szCs w:val="32"/>
          <w:lang w:val="en-US" w:eastAsia="zh-CN" w:bidi="ar"/>
        </w:rPr>
        <w:t>五、专项资金管理和组织实施情况</w:t>
      </w:r>
    </w:p>
    <w:p>
      <w:pPr>
        <w:keepNext w:val="0"/>
        <w:keepLines w:val="0"/>
        <w:widowControl/>
        <w:suppressLineNumbers w:val="0"/>
        <w:spacing w:before="0" w:beforeAutospacing="1" w:after="0" w:afterAutospacing="1"/>
        <w:ind w:left="0" w:right="0" w:firstLine="640" w:firstLineChars="20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我单位建立了专项资金管理办法，严格遵循专款专用、独立核算的管理原则。专项项目的申报严格按照县财政资金管理的要求进行，专项资金财政拨款到位后及时进行了项目开展和资金投入。目前对专项资金的管理按照项目支出涉及的经济科目规定，根据财务管理办法的相关制度执行。</w:t>
      </w:r>
    </w:p>
    <w:p>
      <w:pPr>
        <w:keepNext w:val="0"/>
        <w:keepLines w:val="0"/>
        <w:widowControl/>
        <w:suppressLineNumbers w:val="0"/>
        <w:spacing w:before="0" w:beforeAutospacing="1" w:after="0" w:afterAutospacing="1"/>
        <w:ind w:left="0" w:right="0" w:firstLine="640" w:firstLineChars="20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专项资金中涉及的项目招投标、政府采购事项，均严格按照相关要求执行，委托政府采购代理招标认定单位进行公开招标，同时严格合同签订，落实采招物资和服务的验收，做好资金支付的审核审批手续。</w:t>
      </w:r>
    </w:p>
    <w:p>
      <w:pPr>
        <w:keepNext w:val="0"/>
        <w:keepLines w:val="0"/>
        <w:widowControl/>
        <w:suppressLineNumbers w:val="0"/>
        <w:spacing w:before="0" w:beforeAutospacing="1" w:after="0" w:afterAutospacing="1"/>
        <w:ind w:right="0"/>
        <w:jc w:val="left"/>
        <w:rPr>
          <w:rFonts w:hint="eastAsia" w:asciiTheme="minorEastAsia" w:hAnsiTheme="minorEastAsia" w:eastAsiaTheme="minorEastAsia" w:cstheme="minorEastAsia"/>
          <w:b/>
          <w:bCs/>
          <w:color w:val="222222"/>
          <w:kern w:val="2"/>
          <w:sz w:val="32"/>
          <w:szCs w:val="32"/>
          <w:lang w:val="en-US" w:eastAsia="zh-CN" w:bidi="ar"/>
        </w:rPr>
      </w:pPr>
      <w:r>
        <w:rPr>
          <w:rFonts w:hint="eastAsia" w:asciiTheme="minorEastAsia" w:hAnsiTheme="minorEastAsia" w:eastAsiaTheme="minorEastAsia" w:cstheme="minorEastAsia"/>
          <w:b/>
          <w:bCs/>
          <w:color w:val="222222"/>
          <w:kern w:val="2"/>
          <w:sz w:val="32"/>
          <w:szCs w:val="32"/>
          <w:lang w:val="en-US" w:eastAsia="zh-CN" w:bidi="ar"/>
        </w:rPr>
        <w:t>六、部门整体支出绩效评价</w:t>
      </w:r>
    </w:p>
    <w:p>
      <w:pPr>
        <w:keepNext w:val="0"/>
        <w:keepLines w:val="0"/>
        <w:widowControl/>
        <w:suppressLineNumbers w:val="0"/>
        <w:spacing w:before="0" w:beforeAutospacing="1" w:after="0" w:afterAutospacing="1"/>
        <w:ind w:left="0" w:right="0" w:firstLine="640" w:firstLineChars="20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根据2021年度部门整体支出状况的概述和分析，部门整体支出绩效情况如下：</w:t>
      </w:r>
    </w:p>
    <w:p>
      <w:pPr>
        <w:keepNext w:val="0"/>
        <w:keepLines w:val="0"/>
        <w:widowControl/>
        <w:suppressLineNumbers w:val="0"/>
        <w:spacing w:before="0" w:beforeAutospacing="1" w:after="0" w:afterAutospacing="1"/>
        <w:ind w:right="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（一）经济效益评价</w:t>
      </w:r>
      <w:r>
        <w:rPr>
          <w:rFonts w:hint="eastAsia" w:asciiTheme="minorEastAsia" w:hAnsiTheme="minorEastAsia" w:cstheme="minorEastAsia"/>
          <w:color w:val="222222"/>
          <w:kern w:val="2"/>
          <w:sz w:val="32"/>
          <w:szCs w:val="32"/>
          <w:lang w:val="en-US" w:eastAsia="zh-CN" w:bidi="ar"/>
        </w:rPr>
        <w:t>：</w:t>
      </w:r>
      <w:r>
        <w:rPr>
          <w:rFonts w:hint="eastAsia" w:asciiTheme="minorEastAsia" w:hAnsiTheme="minorEastAsia" w:eastAsiaTheme="minorEastAsia" w:cstheme="minorEastAsia"/>
          <w:color w:val="222222"/>
          <w:kern w:val="2"/>
          <w:sz w:val="32"/>
          <w:szCs w:val="32"/>
          <w:lang w:val="en-US" w:eastAsia="zh-CN" w:bidi="ar"/>
        </w:rPr>
        <w:t>1. 本年预算配置控制较好。财政供养人员控制在预算编制以内，编制内在职人员控制率小于100%；“三公”经费预算严格按预算执行。2. 预算执行方面。支出总额控制在预算总额以内，除专项预算的追加和政策性工资绩效预算的追加外，本年部门预算未进行预算相关事项的调整；我单位预算内专项资金在取得财政局的年度预算批复时，随批复一同进行了下达；追加的项目专项资金在取得财政批复后随批复及时进行了下达；转移支付在收到专项资金时及时进行了拨付；不存在截留或滞留专项资金情况； “三公”经费总体控制较好，未超本年预算和上年决算支出</w:t>
      </w:r>
      <w:r>
        <w:rPr>
          <w:rFonts w:hint="eastAsia" w:asciiTheme="minorEastAsia" w:hAnsiTheme="minorEastAsia" w:cstheme="minorEastAsia"/>
          <w:color w:val="222222"/>
          <w:kern w:val="2"/>
          <w:sz w:val="32"/>
          <w:szCs w:val="32"/>
          <w:lang w:val="en-US" w:eastAsia="zh-CN" w:bidi="ar"/>
        </w:rPr>
        <w:t>。</w:t>
      </w:r>
      <w:r>
        <w:rPr>
          <w:rFonts w:hint="eastAsia" w:asciiTheme="minorEastAsia" w:hAnsiTheme="minorEastAsia" w:eastAsiaTheme="minorEastAsia" w:cstheme="minorEastAsia"/>
          <w:color w:val="222222"/>
          <w:kern w:val="2"/>
          <w:sz w:val="32"/>
          <w:szCs w:val="32"/>
          <w:lang w:val="en-US" w:eastAsia="zh-CN" w:bidi="ar"/>
        </w:rPr>
        <w:t>预算管理方面，制度执行总体较为有效，仍需进一步强化；资金使用管理需进一步加强。资产管理方面，建立了资产管理制度，定期进行了盘点和资产清理，总体执行较好。</w:t>
      </w:r>
    </w:p>
    <w:p>
      <w:pPr>
        <w:keepNext w:val="0"/>
        <w:keepLines w:val="0"/>
        <w:widowControl/>
        <w:suppressLineNumbers w:val="0"/>
        <w:spacing w:before="0" w:beforeAutospacing="1" w:after="0" w:afterAutospacing="1"/>
        <w:ind w:right="0"/>
        <w:jc w:val="left"/>
        <w:rPr>
          <w:rFonts w:hint="eastAsia" w:asciiTheme="minorEastAsia" w:hAnsiTheme="minorEastAsia" w:eastAsiaTheme="minorEastAsia" w:cstheme="minorEastAsia"/>
          <w:color w:val="222222"/>
          <w:kern w:val="2"/>
          <w:sz w:val="32"/>
          <w:szCs w:val="32"/>
          <w:lang w:val="en-US" w:eastAsia="zh-CN" w:bidi="ar"/>
        </w:rPr>
      </w:pPr>
    </w:p>
    <w:p>
      <w:pPr>
        <w:keepNext w:val="0"/>
        <w:keepLines w:val="0"/>
        <w:widowControl/>
        <w:suppressLineNumbers w:val="0"/>
        <w:spacing w:before="0" w:beforeAutospacing="1" w:after="0" w:afterAutospacing="1"/>
        <w:ind w:right="0"/>
        <w:jc w:val="left"/>
        <w:rPr>
          <w:rFonts w:hint="eastAsia" w:asciiTheme="minorEastAsia" w:hAnsiTheme="minorEastAsia" w:eastAsiaTheme="minorEastAsia" w:cstheme="minorEastAsia"/>
          <w:b/>
          <w:bCs/>
          <w:color w:val="222222"/>
          <w:kern w:val="2"/>
          <w:sz w:val="32"/>
          <w:szCs w:val="32"/>
          <w:lang w:val="en-US" w:eastAsia="zh-CN" w:bidi="ar"/>
        </w:rPr>
      </w:pPr>
      <w:r>
        <w:rPr>
          <w:rFonts w:hint="eastAsia" w:asciiTheme="minorEastAsia" w:hAnsiTheme="minorEastAsia" w:eastAsiaTheme="minorEastAsia" w:cstheme="minorEastAsia"/>
          <w:b/>
          <w:bCs/>
          <w:color w:val="222222"/>
          <w:kern w:val="2"/>
          <w:sz w:val="32"/>
          <w:szCs w:val="32"/>
          <w:lang w:val="en-US" w:eastAsia="zh-CN" w:bidi="ar"/>
        </w:rPr>
        <w:t>七、效率性评价和有效性评价</w:t>
      </w:r>
    </w:p>
    <w:p>
      <w:pPr>
        <w:keepNext w:val="0"/>
        <w:keepLines w:val="0"/>
        <w:widowControl/>
        <w:suppressLineNumbers w:val="0"/>
        <w:spacing w:before="0" w:beforeAutospacing="1" w:after="0" w:afterAutospacing="1"/>
        <w:ind w:left="0" w:right="0" w:firstLine="640" w:firstLineChars="200"/>
        <w:jc w:val="left"/>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努力推进乡村振兴、“双创”等中心工作。围绕县委中心工作的安排，乡村振兴工作联系是泷泊镇义村，安排专职帮扶人员，全体干部职工走访了群众，摸清群众困难，因人而异，实行帮扶慰问，乡村振兴工作取得较好的成效。巩固省级文明城市创建成果和创建省级卫生城市的“双创”是全县的中心工作，一年来，我单位通过责任区文明劝导值班、红绿灯值班、周五清扫日、体育馆测评点、志愿服务岗设置，成立专门办公室，专人负责联络，对存在的问题不断整改，各项工作有序开展。</w:t>
      </w:r>
    </w:p>
    <w:p>
      <w:pPr>
        <w:spacing w:line="600" w:lineRule="exact"/>
        <w:ind w:firstLine="640" w:firstLineChars="200"/>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附件</w:t>
      </w:r>
    </w:p>
    <w:p>
      <w:pPr>
        <w:spacing w:line="600" w:lineRule="exact"/>
        <w:ind w:firstLine="960" w:firstLineChars="300"/>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1、部门整体支出绩效评价基础数据表</w:t>
      </w:r>
    </w:p>
    <w:p>
      <w:pPr>
        <w:spacing w:line="600" w:lineRule="exact"/>
        <w:ind w:firstLine="960" w:firstLineChars="300"/>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2、部门整体支出绩效自评表</w:t>
      </w:r>
    </w:p>
    <w:p>
      <w:pPr>
        <w:spacing w:line="600" w:lineRule="exact"/>
        <w:ind w:firstLine="960" w:firstLineChars="300"/>
        <w:rPr>
          <w:rFonts w:hint="eastAsia" w:asciiTheme="minorEastAsia" w:hAnsiTheme="minorEastAsia" w:eastAsiaTheme="minorEastAsia" w:cstheme="minorEastAsia"/>
          <w:color w:val="222222"/>
          <w:kern w:val="2"/>
          <w:sz w:val="32"/>
          <w:szCs w:val="32"/>
          <w:lang w:val="en-US" w:eastAsia="zh-CN" w:bidi="ar"/>
        </w:rPr>
      </w:pPr>
      <w:r>
        <w:rPr>
          <w:rFonts w:hint="eastAsia" w:asciiTheme="minorEastAsia" w:hAnsiTheme="minorEastAsia" w:eastAsiaTheme="minorEastAsia" w:cstheme="minorEastAsia"/>
          <w:color w:val="222222"/>
          <w:kern w:val="2"/>
          <w:sz w:val="32"/>
          <w:szCs w:val="32"/>
          <w:lang w:val="en-US" w:eastAsia="zh-CN" w:bidi="ar"/>
        </w:rPr>
        <w:t>3、项目支出绩效自评表</w:t>
      </w:r>
    </w:p>
    <w:p>
      <w:pPr>
        <w:spacing w:line="600" w:lineRule="exact"/>
        <w:ind w:firstLine="960" w:firstLineChars="300"/>
        <w:rPr>
          <w:rFonts w:hint="eastAsia" w:asciiTheme="minorEastAsia" w:hAnsiTheme="minorEastAsia" w:eastAsiaTheme="minorEastAsia" w:cstheme="minorEastAsia"/>
          <w:color w:val="222222"/>
          <w:kern w:val="2"/>
          <w:sz w:val="32"/>
          <w:szCs w:val="32"/>
          <w:lang w:val="en-US" w:eastAsia="zh-CN" w:bidi="ar"/>
        </w:rPr>
      </w:pPr>
    </w:p>
    <w:p>
      <w:pPr>
        <w:spacing w:line="600" w:lineRule="exact"/>
        <w:ind w:firstLine="960" w:firstLineChars="300"/>
        <w:rPr>
          <w:rFonts w:hint="eastAsia" w:asciiTheme="minorEastAsia" w:hAnsiTheme="minorEastAsia" w:eastAsiaTheme="minorEastAsia" w:cstheme="minorEastAsia"/>
          <w:color w:val="222222"/>
          <w:kern w:val="2"/>
          <w:sz w:val="32"/>
          <w:szCs w:val="32"/>
          <w:lang w:val="en-US" w:eastAsia="zh-CN" w:bidi="ar"/>
        </w:rPr>
      </w:pPr>
    </w:p>
    <w:p>
      <w:pPr>
        <w:spacing w:line="600" w:lineRule="exact"/>
        <w:ind w:firstLine="960" w:firstLineChars="300"/>
        <w:rPr>
          <w:rFonts w:hint="eastAsia" w:asciiTheme="minorEastAsia" w:hAnsiTheme="minorEastAsia" w:eastAsiaTheme="minorEastAsia" w:cstheme="minorEastAsia"/>
          <w:color w:val="000000"/>
          <w:sz w:val="32"/>
          <w:szCs w:val="32"/>
          <w:lang w:val="en-US" w:eastAsia="zh-CN"/>
        </w:rPr>
      </w:pPr>
    </w:p>
    <w:p>
      <w:pPr>
        <w:spacing w:line="600" w:lineRule="exact"/>
        <w:ind w:firstLine="960" w:firstLineChars="300"/>
        <w:rPr>
          <w:rFonts w:hint="eastAsia" w:asciiTheme="minorEastAsia" w:hAnsiTheme="minorEastAsia" w:eastAsiaTheme="minorEastAsia" w:cstheme="minorEastAsia"/>
          <w:color w:val="000000"/>
          <w:sz w:val="32"/>
          <w:szCs w:val="32"/>
          <w:lang w:val="en-US" w:eastAsia="zh-CN"/>
        </w:rPr>
      </w:pPr>
    </w:p>
    <w:p>
      <w:pPr>
        <w:spacing w:line="560" w:lineRule="exact"/>
        <w:rPr>
          <w:rFonts w:hint="eastAsia" w:asciiTheme="minorEastAsia" w:hAnsiTheme="minorEastAsia" w:eastAsiaTheme="minorEastAsia" w:cstheme="minorEastAsia"/>
          <w:sz w:val="32"/>
          <w:szCs w:val="32"/>
        </w:rPr>
      </w:pPr>
    </w:p>
    <w:p>
      <w:pPr>
        <w:spacing w:line="560" w:lineRule="exact"/>
        <w:rPr>
          <w:rFonts w:hint="eastAsia" w:asciiTheme="minorEastAsia" w:hAnsiTheme="minorEastAsia" w:eastAsiaTheme="minorEastAsia" w:cstheme="minorEastAsia"/>
          <w:sz w:val="32"/>
          <w:szCs w:val="32"/>
        </w:rPr>
      </w:pPr>
    </w:p>
    <w:p>
      <w:pPr>
        <w:spacing w:line="560" w:lineRule="exac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附件1</w:t>
      </w:r>
      <w:r>
        <w:rPr>
          <w:rFonts w:hint="eastAsia" w:asciiTheme="minorEastAsia" w:hAnsiTheme="minorEastAsia" w:eastAsiaTheme="minorEastAsia" w:cstheme="minorEastAsia"/>
          <w:kern w:val="0"/>
          <w:sz w:val="30"/>
          <w:szCs w:val="30"/>
        </w:rPr>
        <w:tab/>
      </w:r>
      <w:r>
        <w:rPr>
          <w:rFonts w:hint="eastAsia" w:asciiTheme="minorEastAsia" w:hAnsiTheme="minorEastAsia" w:eastAsiaTheme="minorEastAsia" w:cstheme="minorEastAsia"/>
          <w:kern w:val="0"/>
          <w:sz w:val="30"/>
          <w:szCs w:val="30"/>
        </w:rPr>
        <w:tab/>
      </w:r>
    </w:p>
    <w:p>
      <w:pPr>
        <w:spacing w:line="560" w:lineRule="exact"/>
        <w:jc w:val="center"/>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部门整体支出绩效评价基础数据表</w:t>
      </w:r>
    </w:p>
    <w:p>
      <w:pPr>
        <w:widowControl/>
        <w:ind w:left="91"/>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ab/>
      </w:r>
    </w:p>
    <w:tbl>
      <w:tblPr>
        <w:tblStyle w:val="5"/>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财政供养人员情况</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202</w:t>
            </w:r>
            <w:r>
              <w:rPr>
                <w:rFonts w:hint="eastAsia" w:asciiTheme="minorEastAsia" w:hAnsiTheme="minorEastAsia" w:eastAsiaTheme="minorEastAsia" w:cstheme="minorEastAsia"/>
                <w:b w:val="0"/>
                <w:bCs w:val="0"/>
                <w:kern w:val="0"/>
                <w:sz w:val="24"/>
                <w:szCs w:val="24"/>
                <w:lang w:val="en-US" w:eastAsia="zh-CN"/>
              </w:rPr>
              <w:t>1</w:t>
            </w:r>
            <w:r>
              <w:rPr>
                <w:rFonts w:hint="eastAsia" w:asciiTheme="minorEastAsia" w:hAnsiTheme="minorEastAsia" w:eastAsiaTheme="minorEastAsia" w:cstheme="minorEastAsia"/>
                <w:b w:val="0"/>
                <w:bCs w:val="0"/>
                <w:kern w:val="0"/>
                <w:sz w:val="24"/>
                <w:szCs w:val="24"/>
              </w:rPr>
              <w:t>年实际在职人数</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39</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lang w:val="en-US" w:eastAsia="zh-CN"/>
              </w:rPr>
              <w:t>39</w:t>
            </w:r>
            <w:r>
              <w:rPr>
                <w:rFonts w:hint="eastAsia" w:asciiTheme="minorEastAsia" w:hAnsiTheme="minorEastAsia" w:eastAsiaTheme="minorEastAsia" w:cstheme="minorEastAsia"/>
                <w:b w:val="0"/>
                <w:bCs w:val="0"/>
                <w:kern w:val="0"/>
                <w:sz w:val="24"/>
                <w:szCs w:val="24"/>
              </w:rPr>
              <w:t>　</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val="0"/>
                <w:bCs w:val="0"/>
                <w:kern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经费控制情况</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20</w:t>
            </w:r>
            <w:r>
              <w:rPr>
                <w:rFonts w:hint="eastAsia" w:asciiTheme="minorEastAsia" w:hAnsiTheme="minorEastAsia" w:eastAsiaTheme="minorEastAsia" w:cstheme="minorEastAsia"/>
                <w:b w:val="0"/>
                <w:bCs w:val="0"/>
                <w:kern w:val="0"/>
                <w:sz w:val="24"/>
                <w:szCs w:val="24"/>
                <w:lang w:val="en-US" w:eastAsia="zh-CN"/>
              </w:rPr>
              <w:t>20</w:t>
            </w:r>
            <w:r>
              <w:rPr>
                <w:rFonts w:hint="eastAsia" w:asciiTheme="minorEastAsia" w:hAnsiTheme="minorEastAsia" w:eastAsiaTheme="minorEastAsia" w:cstheme="minorEastAsia"/>
                <w:b w:val="0"/>
                <w:bCs w:val="0"/>
                <w:kern w:val="0"/>
                <w:sz w:val="24"/>
                <w:szCs w:val="24"/>
              </w:rPr>
              <w:t>年决算数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202</w:t>
            </w:r>
            <w:r>
              <w:rPr>
                <w:rFonts w:hint="eastAsia" w:asciiTheme="minorEastAsia" w:hAnsiTheme="minorEastAsia" w:eastAsiaTheme="minorEastAsia" w:cstheme="minorEastAsia"/>
                <w:b w:val="0"/>
                <w:bCs w:val="0"/>
                <w:kern w:val="0"/>
                <w:sz w:val="24"/>
                <w:szCs w:val="24"/>
                <w:lang w:val="en-US" w:eastAsia="zh-CN"/>
              </w:rPr>
              <w:t>1</w:t>
            </w:r>
            <w:r>
              <w:rPr>
                <w:rFonts w:hint="eastAsia" w:asciiTheme="minorEastAsia" w:hAnsiTheme="minorEastAsia" w:eastAsiaTheme="minorEastAsia" w:cstheme="minorEastAsia"/>
                <w:b w:val="0"/>
                <w:bCs w:val="0"/>
                <w:kern w:val="0"/>
                <w:sz w:val="24"/>
                <w:szCs w:val="24"/>
              </w:rPr>
              <w:t>年预算数</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202</w:t>
            </w:r>
            <w:r>
              <w:rPr>
                <w:rFonts w:hint="eastAsia" w:asciiTheme="minorEastAsia" w:hAnsiTheme="minorEastAsia" w:eastAsiaTheme="minorEastAsia" w:cstheme="minorEastAsia"/>
                <w:b w:val="0"/>
                <w:bCs w:val="0"/>
                <w:kern w:val="0"/>
                <w:sz w:val="24"/>
                <w:szCs w:val="24"/>
                <w:lang w:val="en-US" w:eastAsia="zh-CN"/>
              </w:rPr>
              <w:t>1</w:t>
            </w:r>
            <w:r>
              <w:rPr>
                <w:rFonts w:hint="eastAsia" w:asciiTheme="minorEastAsia" w:hAnsiTheme="minorEastAsia" w:eastAsiaTheme="minorEastAsia" w:cstheme="minorEastAsia"/>
                <w:b w:val="0"/>
                <w:bCs w:val="0"/>
                <w:kern w:val="0"/>
                <w:sz w:val="24"/>
                <w:szCs w:val="24"/>
              </w:rPr>
              <w:t>年决算数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三公经费</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rPr>
            </w:pPr>
            <w:r>
              <w:rPr>
                <w:rFonts w:hint="eastAsia" w:asciiTheme="minorEastAsia" w:hAnsiTheme="minorEastAsia" w:eastAsiaTheme="minorEastAsia" w:cstheme="minorEastAsia"/>
                <w:kern w:val="0"/>
                <w:sz w:val="24"/>
                <w:szCs w:val="24"/>
                <w:lang w:val="en-US" w:eastAsia="zh-CN"/>
              </w:rPr>
              <w:t>5.5</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17.3</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1、公务用车购置和维护经费</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rPr>
            </w:pPr>
            <w:r>
              <w:rPr>
                <w:rFonts w:hint="eastAsia" w:asciiTheme="minorEastAsia" w:hAnsiTheme="minorEastAsia" w:eastAsiaTheme="minorEastAsia" w:cstheme="minorEastAsia"/>
                <w:kern w:val="0"/>
                <w:sz w:val="24"/>
                <w:szCs w:val="24"/>
                <w:lang w:val="en-US" w:eastAsia="zh-CN"/>
              </w:rPr>
              <w:t>0.35</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3</w:t>
            </w:r>
            <w:r>
              <w:rPr>
                <w:rFonts w:hint="eastAsia" w:asciiTheme="minorEastAsia" w:hAnsiTheme="minorEastAsia" w:eastAsiaTheme="minorEastAsia" w:cstheme="minorEastAsia"/>
                <w:kern w:val="0"/>
                <w:sz w:val="24"/>
                <w:szCs w:val="24"/>
              </w:rPr>
              <w:t>　</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rPr>
            </w:pPr>
            <w:r>
              <w:rPr>
                <w:rFonts w:hint="eastAsia" w:asciiTheme="minorEastAsia" w:hAnsiTheme="minorEastAsia" w:eastAsiaTheme="minorEastAsia" w:cstheme="minorEastAsia"/>
                <w:kern w:val="0"/>
                <w:sz w:val="24"/>
                <w:szCs w:val="24"/>
                <w:lang w:val="en-US" w:eastAsia="zh-CN"/>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其中：公车购置</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0</w:t>
            </w:r>
            <w:r>
              <w:rPr>
                <w:rFonts w:hint="eastAsia" w:asciiTheme="minorEastAsia" w:hAnsiTheme="minorEastAsia" w:eastAsiaTheme="minorEastAsia" w:cstheme="minorEastAsia"/>
                <w:kern w:val="0"/>
                <w:sz w:val="24"/>
                <w:szCs w:val="24"/>
              </w:rPr>
              <w:t>　</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0</w:t>
            </w:r>
            <w:r>
              <w:rPr>
                <w:rFonts w:hint="eastAsia" w:asciiTheme="minorEastAsia" w:hAnsiTheme="minorEastAsia" w:eastAsiaTheme="minorEastAsia" w:cstheme="minorEastAsia"/>
                <w:kern w:val="0"/>
                <w:sz w:val="24"/>
                <w:szCs w:val="24"/>
              </w:rPr>
              <w:t>　</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0</w:t>
            </w: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公车运行维护</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rPr>
            </w:pPr>
            <w:r>
              <w:rPr>
                <w:rFonts w:hint="eastAsia" w:asciiTheme="minorEastAsia" w:hAnsiTheme="minorEastAsia" w:eastAsiaTheme="minorEastAsia" w:cstheme="minorEastAsia"/>
                <w:kern w:val="0"/>
                <w:sz w:val="24"/>
                <w:szCs w:val="24"/>
                <w:lang w:val="en-US" w:eastAsia="zh-CN"/>
              </w:rPr>
              <w:t>0.35</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3</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rPr>
            </w:pPr>
            <w:r>
              <w:rPr>
                <w:rFonts w:hint="eastAsia" w:asciiTheme="minorEastAsia" w:hAnsiTheme="minorEastAsia" w:eastAsiaTheme="minorEastAsia" w:cstheme="minorEastAsia"/>
                <w:kern w:val="0"/>
                <w:sz w:val="24"/>
                <w:szCs w:val="24"/>
                <w:lang w:val="en-US" w:eastAsia="zh-CN"/>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2、出国经费</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0</w:t>
            </w:r>
            <w:r>
              <w:rPr>
                <w:rFonts w:hint="eastAsia" w:asciiTheme="minorEastAsia" w:hAnsiTheme="minorEastAsia" w:eastAsiaTheme="minorEastAsia" w:cstheme="minorEastAsia"/>
                <w:kern w:val="0"/>
                <w:sz w:val="24"/>
                <w:szCs w:val="24"/>
              </w:rPr>
              <w:t>　</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0</w:t>
            </w:r>
            <w:r>
              <w:rPr>
                <w:rFonts w:hint="eastAsia" w:asciiTheme="minorEastAsia" w:hAnsiTheme="minorEastAsia" w:eastAsiaTheme="minorEastAsia" w:cstheme="minorEastAsia"/>
                <w:kern w:val="0"/>
                <w:sz w:val="24"/>
                <w:szCs w:val="24"/>
              </w:rPr>
              <w:t>　</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0</w:t>
            </w: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3、公务接待</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both"/>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 xml:space="preserve">       5.15</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rPr>
              <w:t>14.3</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项目支出：</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2213.7</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rPr>
            </w:pPr>
            <w:r>
              <w:rPr>
                <w:rFonts w:hint="eastAsia" w:asciiTheme="minorEastAsia" w:hAnsiTheme="minorEastAsia" w:eastAsiaTheme="minorEastAsia" w:cstheme="minorEastAsia"/>
                <w:kern w:val="0"/>
                <w:sz w:val="24"/>
                <w:szCs w:val="24"/>
                <w:lang w:val="en-US" w:eastAsia="zh-CN"/>
              </w:rPr>
              <w:t>3102.3</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2233.39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1、业务工作经费</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2、运行维护经费</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3、本级专项资金</w:t>
            </w:r>
          </w:p>
          <w:p>
            <w:pPr>
              <w:widowControl/>
              <w:ind w:firstLine="720" w:firstLineChars="3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（一个专项一行）</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4、其他事业类发展资金</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公用经费</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其中：办公费</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lang w:val="en-US"/>
              </w:rPr>
            </w:pPr>
            <w:r>
              <w:rPr>
                <w:rFonts w:hint="eastAsia" w:asciiTheme="minorEastAsia" w:hAnsiTheme="minorEastAsia" w:eastAsiaTheme="minorEastAsia" w:cstheme="minorEastAsia"/>
                <w:color w:val="auto"/>
                <w:kern w:val="0"/>
                <w:sz w:val="24"/>
                <w:szCs w:val="24"/>
                <w:lang w:val="en-US" w:eastAsia="zh-CN"/>
              </w:rPr>
              <w:t>4.58</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lang w:val="en-US"/>
              </w:rPr>
            </w:pPr>
            <w:r>
              <w:rPr>
                <w:rFonts w:hint="eastAsia" w:asciiTheme="minorEastAsia" w:hAnsiTheme="minorEastAsia" w:eastAsiaTheme="minorEastAsia" w:cstheme="minorEastAsia"/>
                <w:color w:val="auto"/>
                <w:kern w:val="0"/>
                <w:sz w:val="24"/>
                <w:szCs w:val="24"/>
                <w:lang w:val="en-US" w:eastAsia="zh-CN"/>
              </w:rPr>
              <w:t>8.5</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en-US" w:eastAsia="zh-CN"/>
              </w:rPr>
              <w:t>6.69</w:t>
            </w:r>
            <w:r>
              <w:rPr>
                <w:rFonts w:hint="eastAsia" w:asciiTheme="minorEastAsia" w:hAnsiTheme="minorEastAsia" w:eastAsiaTheme="minorEastAsia" w:cstheme="minorEastAsia"/>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水费、电费、差旅费</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lang w:val="en-US"/>
              </w:rPr>
            </w:pPr>
            <w:r>
              <w:rPr>
                <w:rFonts w:hint="eastAsia" w:asciiTheme="minorEastAsia" w:hAnsiTheme="minorEastAsia" w:eastAsiaTheme="minorEastAsia" w:cstheme="minorEastAsia"/>
                <w:color w:val="auto"/>
                <w:kern w:val="0"/>
                <w:sz w:val="24"/>
                <w:szCs w:val="24"/>
                <w:lang w:val="en-US" w:eastAsia="zh-CN"/>
              </w:rPr>
              <w:t>45.27</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lang w:val="en-US"/>
              </w:rPr>
            </w:pPr>
            <w:r>
              <w:rPr>
                <w:rFonts w:hint="eastAsia" w:asciiTheme="minorEastAsia" w:hAnsiTheme="minorEastAsia" w:eastAsiaTheme="minorEastAsia" w:cstheme="minorEastAsia"/>
                <w:color w:val="auto"/>
                <w:kern w:val="0"/>
                <w:sz w:val="24"/>
                <w:szCs w:val="24"/>
                <w:lang w:val="en-US" w:eastAsia="zh-CN"/>
              </w:rPr>
              <w:t>47.6</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73.93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会议费、培训费</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lang w:val="en-US"/>
              </w:rPr>
            </w:pPr>
            <w:r>
              <w:rPr>
                <w:rFonts w:hint="eastAsia" w:asciiTheme="minorEastAsia" w:hAnsiTheme="minorEastAsia" w:eastAsiaTheme="minorEastAsia" w:cstheme="minorEastAsia"/>
                <w:color w:val="auto"/>
                <w:kern w:val="0"/>
                <w:sz w:val="24"/>
                <w:szCs w:val="24"/>
                <w:lang w:val="en-US" w:eastAsia="zh-CN"/>
              </w:rPr>
              <w:t>0.15</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0.1</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lang w:val="en-US"/>
              </w:rPr>
            </w:pPr>
            <w:r>
              <w:rPr>
                <w:rFonts w:hint="eastAsia" w:asciiTheme="minorEastAsia" w:hAnsiTheme="minorEastAsia" w:eastAsiaTheme="minorEastAsia" w:cstheme="minorEastAsia"/>
                <w:color w:val="auto"/>
                <w:kern w:val="0"/>
                <w:sz w:val="24"/>
                <w:szCs w:val="24"/>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政府采购金额</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部门基本支出预算调整 </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楼堂馆所控制情况</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（202</w:t>
            </w:r>
            <w:r>
              <w:rPr>
                <w:rFonts w:hint="eastAsia" w:asciiTheme="minorEastAsia" w:hAnsiTheme="minorEastAsia" w:eastAsiaTheme="minorEastAsia" w:cstheme="minorEastAsia"/>
                <w:kern w:val="0"/>
                <w:sz w:val="24"/>
                <w:szCs w:val="24"/>
                <w:lang w:val="en-US" w:eastAsia="zh-CN"/>
              </w:rPr>
              <w:t>1</w:t>
            </w:r>
            <w:r>
              <w:rPr>
                <w:rFonts w:hint="eastAsia" w:asciiTheme="minorEastAsia" w:hAnsiTheme="minorEastAsia" w:eastAsiaTheme="minorEastAsia" w:cstheme="minorEastAsia"/>
                <w:kern w:val="0"/>
                <w:sz w:val="24"/>
                <w:szCs w:val="24"/>
              </w:rPr>
              <w:t>年完工项目）</w:t>
            </w:r>
          </w:p>
        </w:tc>
        <w:tc>
          <w:tcPr>
            <w:tcW w:w="118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批复规模</w:t>
            </w:r>
            <w:r>
              <w:rPr>
                <w:rFonts w:hint="eastAsia" w:asciiTheme="minorEastAsia" w:hAnsiTheme="minorEastAsia" w:eastAsiaTheme="minorEastAsia" w:cstheme="minorEastAsia"/>
                <w:bCs/>
                <w:kern w:val="0"/>
                <w:sz w:val="24"/>
                <w:szCs w:val="24"/>
              </w:rPr>
              <w:br w:type="textWrapping"/>
            </w:r>
            <w:r>
              <w:rPr>
                <w:rFonts w:hint="eastAsia" w:asciiTheme="minorEastAsia" w:hAnsiTheme="minorEastAsia" w:eastAsiaTheme="minorEastAsia" w:cstheme="minorEastAsia"/>
                <w:bCs/>
                <w:kern w:val="0"/>
                <w:sz w:val="24"/>
                <w:szCs w:val="24"/>
              </w:rPr>
              <w:t>（㎡）</w:t>
            </w:r>
          </w:p>
        </w:tc>
        <w:tc>
          <w:tcPr>
            <w:tcW w:w="84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实际规模（㎡）</w:t>
            </w:r>
          </w:p>
        </w:tc>
        <w:tc>
          <w:tcPr>
            <w:tcW w:w="112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规模控制率</w:t>
            </w:r>
          </w:p>
        </w:tc>
        <w:tc>
          <w:tcPr>
            <w:tcW w:w="111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预算投资（万元）</w:t>
            </w:r>
          </w:p>
        </w:tc>
        <w:tc>
          <w:tcPr>
            <w:tcW w:w="96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实际投资（万元）</w:t>
            </w:r>
          </w:p>
        </w:tc>
        <w:tc>
          <w:tcPr>
            <w:tcW w:w="86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p>
        </w:tc>
        <w:tc>
          <w:tcPr>
            <w:tcW w:w="118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　</w:t>
            </w:r>
            <w:r>
              <w:rPr>
                <w:rFonts w:hint="eastAsia" w:asciiTheme="minorEastAsia" w:hAnsiTheme="minorEastAsia" w:eastAsiaTheme="minorEastAsia" w:cstheme="minorEastAsia"/>
                <w:kern w:val="0"/>
                <w:sz w:val="24"/>
                <w:szCs w:val="24"/>
                <w:lang w:val="en-US" w:eastAsia="zh-CN"/>
              </w:rPr>
              <w:t>0</w:t>
            </w:r>
          </w:p>
        </w:tc>
        <w:tc>
          <w:tcPr>
            <w:tcW w:w="849"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　</w:t>
            </w:r>
            <w:r>
              <w:rPr>
                <w:rFonts w:hint="eastAsia" w:asciiTheme="minorEastAsia" w:hAnsiTheme="minorEastAsia" w:eastAsiaTheme="minorEastAsia" w:cstheme="minorEastAsia"/>
                <w:kern w:val="0"/>
                <w:sz w:val="24"/>
                <w:szCs w:val="24"/>
                <w:lang w:val="en-US" w:eastAsia="zh-CN"/>
              </w:rPr>
              <w:t>0</w:t>
            </w:r>
          </w:p>
        </w:tc>
        <w:tc>
          <w:tcPr>
            <w:tcW w:w="1129"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　</w:t>
            </w:r>
            <w:r>
              <w:rPr>
                <w:rFonts w:hint="eastAsia" w:asciiTheme="minorEastAsia" w:hAnsiTheme="minorEastAsia" w:eastAsiaTheme="minorEastAsia" w:cstheme="minorEastAsia"/>
                <w:kern w:val="0"/>
                <w:sz w:val="24"/>
                <w:szCs w:val="24"/>
                <w:lang w:val="en-US" w:eastAsia="zh-CN"/>
              </w:rPr>
              <w:t>0</w:t>
            </w:r>
          </w:p>
        </w:tc>
        <w:tc>
          <w:tcPr>
            <w:tcW w:w="1111"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　</w:t>
            </w:r>
            <w:r>
              <w:rPr>
                <w:rFonts w:hint="eastAsia" w:asciiTheme="minorEastAsia" w:hAnsiTheme="minorEastAsia" w:eastAsiaTheme="minorEastAsia" w:cstheme="minorEastAsia"/>
                <w:kern w:val="0"/>
                <w:sz w:val="24"/>
                <w:szCs w:val="24"/>
                <w:lang w:val="en-US" w:eastAsia="zh-CN"/>
              </w:rPr>
              <w:t>0</w:t>
            </w:r>
          </w:p>
        </w:tc>
        <w:tc>
          <w:tcPr>
            <w:tcW w:w="969"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　</w:t>
            </w:r>
            <w:r>
              <w:rPr>
                <w:rFonts w:hint="eastAsia" w:asciiTheme="minorEastAsia" w:hAnsiTheme="minorEastAsia" w:eastAsiaTheme="minorEastAsia" w:cstheme="minorEastAsia"/>
                <w:kern w:val="0"/>
                <w:sz w:val="24"/>
                <w:szCs w:val="24"/>
                <w:lang w:val="en-US" w:eastAsia="zh-CN"/>
              </w:rPr>
              <w:t>0</w:t>
            </w:r>
          </w:p>
        </w:tc>
        <w:tc>
          <w:tcPr>
            <w:tcW w:w="863"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　</w:t>
            </w:r>
            <w:r>
              <w:rPr>
                <w:rFonts w:hint="eastAsia" w:asciiTheme="minorEastAsia" w:hAnsiTheme="minorEastAsia" w:eastAsiaTheme="minorEastAsia" w:cstheme="minorEastAsia"/>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厉行节约保障措施</w:t>
            </w:r>
          </w:p>
        </w:tc>
        <w:tc>
          <w:tcPr>
            <w:tcW w:w="6110"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val="en-US" w:eastAsia="zh-CN"/>
              </w:rPr>
              <w:t>无</w:t>
            </w:r>
            <w:r>
              <w:rPr>
                <w:rFonts w:hint="eastAsia" w:asciiTheme="minorEastAsia" w:hAnsiTheme="minorEastAsia" w:eastAsiaTheme="minorEastAsia" w:cstheme="minorEastAsia"/>
                <w:kern w:val="0"/>
                <w:sz w:val="24"/>
                <w:szCs w:val="24"/>
              </w:rPr>
              <w:t>　</w:t>
            </w:r>
          </w:p>
        </w:tc>
      </w:tr>
    </w:tbl>
    <w:p>
      <w:pPr>
        <w:spacing w:line="3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说明：“项目支出”需要填报基本支出以外的所有项目支出情况，“公用经费”填报基本支出中的一般商品和服务支出。</w:t>
      </w:r>
    </w:p>
    <w:p>
      <w:pPr>
        <w:spacing w:line="3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附件2</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部门整体支出绩效自评表</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val="en-US" w:eastAsia="zh-CN"/>
        </w:rPr>
        <w:t>2021</w:t>
      </w:r>
      <w:r>
        <w:rPr>
          <w:rFonts w:hint="eastAsia" w:asciiTheme="minorEastAsia" w:hAnsiTheme="minorEastAsia" w:eastAsiaTheme="minorEastAsia" w:cstheme="minorEastAsia"/>
          <w:color w:val="000000"/>
          <w:kern w:val="0"/>
          <w:sz w:val="24"/>
          <w:szCs w:val="24"/>
        </w:rPr>
        <w:t>年度）</w:t>
      </w:r>
    </w:p>
    <w:tbl>
      <w:tblPr>
        <w:tblStyle w:val="5"/>
        <w:tblW w:w="10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395"/>
        <w:gridCol w:w="1252"/>
        <w:gridCol w:w="1114"/>
        <w:gridCol w:w="95"/>
        <w:gridCol w:w="1200"/>
        <w:gridCol w:w="1134"/>
        <w:gridCol w:w="709"/>
        <w:gridCol w:w="898"/>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cstheme="minorEastAsia"/>
                <w:color w:val="000000"/>
                <w:kern w:val="0"/>
                <w:sz w:val="24"/>
                <w:szCs w:val="24"/>
                <w:lang w:eastAsia="zh-CN"/>
              </w:rPr>
              <w:t>县</w:t>
            </w:r>
            <w:bookmarkStart w:id="0" w:name="_GoBack"/>
            <w:bookmarkEnd w:id="0"/>
            <w:r>
              <w:rPr>
                <w:rFonts w:hint="eastAsia" w:asciiTheme="minorEastAsia" w:hAnsiTheme="minorEastAsia" w:eastAsiaTheme="minorEastAsia" w:cstheme="minorEastAsia"/>
                <w:color w:val="000000"/>
                <w:kern w:val="0"/>
                <w:sz w:val="24"/>
                <w:szCs w:val="24"/>
              </w:rPr>
              <w:t>级预算部门名称</w:t>
            </w:r>
          </w:p>
        </w:tc>
        <w:tc>
          <w:tcPr>
            <w:tcW w:w="9243" w:type="dxa"/>
            <w:gridSpan w:val="9"/>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eastAsia="zh-CN"/>
              </w:rPr>
              <w:t>双牌县</w:t>
            </w:r>
            <w:r>
              <w:rPr>
                <w:rFonts w:hint="eastAsia" w:asciiTheme="minorEastAsia" w:hAnsiTheme="minorEastAsia" w:eastAsiaTheme="minorEastAsia" w:cstheme="minorEastAsia"/>
                <w:color w:val="000000"/>
                <w:kern w:val="0"/>
                <w:sz w:val="24"/>
                <w:szCs w:val="24"/>
                <w:lang w:val="en-US" w:eastAsia="zh-CN"/>
              </w:rPr>
              <w:t>住房保障服务中心</w:t>
            </w:r>
            <w:r>
              <w:rPr>
                <w:rFonts w:hint="eastAsia" w:asciiTheme="minorEastAsia" w:hAnsiTheme="minorEastAsia" w:eastAsiaTheme="minorEastAsia" w:cstheme="minorEastAsia"/>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年度预</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算申请</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（万元）</w:t>
            </w:r>
          </w:p>
        </w:tc>
        <w:tc>
          <w:tcPr>
            <w:tcW w:w="2647"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14"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年初</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预算数</w:t>
            </w:r>
          </w:p>
        </w:tc>
        <w:tc>
          <w:tcPr>
            <w:tcW w:w="1295"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全年预算数</w:t>
            </w: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全年</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执行数</w:t>
            </w:r>
          </w:p>
        </w:tc>
        <w:tc>
          <w:tcPr>
            <w:tcW w:w="709"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分值</w:t>
            </w:r>
          </w:p>
        </w:tc>
        <w:tc>
          <w:tcPr>
            <w:tcW w:w="898"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执行率</w:t>
            </w:r>
          </w:p>
        </w:tc>
        <w:tc>
          <w:tcPr>
            <w:tcW w:w="1446"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p>
        </w:tc>
        <w:tc>
          <w:tcPr>
            <w:tcW w:w="2647"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年度资金总额</w:t>
            </w:r>
          </w:p>
        </w:tc>
        <w:tc>
          <w:tcPr>
            <w:tcW w:w="1114"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3691.68</w:t>
            </w:r>
          </w:p>
        </w:tc>
        <w:tc>
          <w:tcPr>
            <w:tcW w:w="1295"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3691.68</w:t>
            </w:r>
          </w:p>
        </w:tc>
        <w:tc>
          <w:tcPr>
            <w:tcW w:w="1134"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2633.75</w:t>
            </w:r>
          </w:p>
        </w:tc>
        <w:tc>
          <w:tcPr>
            <w:tcW w:w="709"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898"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446"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p>
        </w:tc>
        <w:tc>
          <w:tcPr>
            <w:tcW w:w="5056"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按收入性质分：</w:t>
            </w:r>
          </w:p>
        </w:tc>
        <w:tc>
          <w:tcPr>
            <w:tcW w:w="4187"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p>
        </w:tc>
        <w:tc>
          <w:tcPr>
            <w:tcW w:w="5056"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rPr>
              <w:t xml:space="preserve">  其中：  一般公共预算：</w:t>
            </w:r>
            <w:r>
              <w:rPr>
                <w:rFonts w:hint="eastAsia" w:asciiTheme="minorEastAsia" w:hAnsiTheme="minorEastAsia" w:eastAsiaTheme="minorEastAsia" w:cstheme="minorEastAsia"/>
                <w:color w:val="000000"/>
                <w:kern w:val="0"/>
                <w:sz w:val="24"/>
                <w:szCs w:val="24"/>
                <w:lang w:val="en-US" w:eastAsia="zh-CN"/>
              </w:rPr>
              <w:t>2633.75</w:t>
            </w:r>
          </w:p>
        </w:tc>
        <w:tc>
          <w:tcPr>
            <w:tcW w:w="4187"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rPr>
              <w:t>其中：基本支出：</w:t>
            </w:r>
            <w:r>
              <w:rPr>
                <w:rFonts w:hint="eastAsia" w:asciiTheme="minorEastAsia" w:hAnsiTheme="minorEastAsia" w:eastAsiaTheme="minorEastAsia" w:cstheme="minorEastAsia"/>
                <w:color w:val="000000"/>
                <w:kern w:val="0"/>
                <w:sz w:val="24"/>
                <w:szCs w:val="24"/>
                <w:lang w:val="en-US" w:eastAsia="zh-CN"/>
              </w:rPr>
              <w:t>400.36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p>
        </w:tc>
        <w:tc>
          <w:tcPr>
            <w:tcW w:w="5056" w:type="dxa"/>
            <w:gridSpan w:val="5"/>
            <w:tcBorders>
              <w:top w:val="single" w:color="auto" w:sz="4" w:space="0"/>
              <w:left w:val="nil"/>
              <w:bottom w:val="single" w:color="auto" w:sz="4" w:space="0"/>
              <w:right w:val="single" w:color="auto" w:sz="4" w:space="0"/>
            </w:tcBorders>
            <w:noWrap w:val="0"/>
            <w:vAlign w:val="center"/>
          </w:tcPr>
          <w:p>
            <w:pPr>
              <w:widowControl/>
              <w:ind w:firstLine="960" w:firstLineChars="4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政府性基金拨款：</w:t>
            </w:r>
          </w:p>
        </w:tc>
        <w:tc>
          <w:tcPr>
            <w:tcW w:w="4187" w:type="dxa"/>
            <w:gridSpan w:val="4"/>
            <w:tcBorders>
              <w:top w:val="single" w:color="auto" w:sz="4" w:space="0"/>
              <w:left w:val="nil"/>
              <w:bottom w:val="single" w:color="auto" w:sz="4" w:space="0"/>
              <w:right w:val="single" w:color="auto" w:sz="4" w:space="0"/>
            </w:tcBorders>
            <w:noWrap w:val="0"/>
            <w:vAlign w:val="center"/>
          </w:tcPr>
          <w:p>
            <w:pPr>
              <w:widowControl/>
              <w:ind w:firstLine="720" w:firstLineChars="3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rPr>
              <w:t>项目支出：</w:t>
            </w:r>
            <w:r>
              <w:rPr>
                <w:rFonts w:hint="eastAsia" w:asciiTheme="minorEastAsia" w:hAnsiTheme="minorEastAsia" w:eastAsiaTheme="minorEastAsia" w:cstheme="minorEastAsia"/>
                <w:color w:val="000000"/>
                <w:kern w:val="0"/>
                <w:sz w:val="24"/>
                <w:szCs w:val="24"/>
                <w:lang w:val="en-US" w:eastAsia="zh-CN"/>
              </w:rPr>
              <w:t>2233.39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p>
        </w:tc>
        <w:tc>
          <w:tcPr>
            <w:tcW w:w="5056"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纳入专户管理的非税收入拨款：</w:t>
            </w:r>
          </w:p>
        </w:tc>
        <w:tc>
          <w:tcPr>
            <w:tcW w:w="4187"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p>
        </w:tc>
        <w:tc>
          <w:tcPr>
            <w:tcW w:w="5056" w:type="dxa"/>
            <w:gridSpan w:val="5"/>
            <w:tcBorders>
              <w:top w:val="single" w:color="auto" w:sz="4" w:space="0"/>
              <w:left w:val="nil"/>
              <w:bottom w:val="single" w:color="auto" w:sz="4" w:space="0"/>
              <w:right w:val="single" w:color="auto" w:sz="4" w:space="0"/>
            </w:tcBorders>
            <w:noWrap w:val="0"/>
            <w:vAlign w:val="center"/>
          </w:tcPr>
          <w:p>
            <w:pPr>
              <w:widowControl/>
              <w:ind w:firstLine="1680" w:firstLineChars="7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其他资金：</w:t>
            </w:r>
          </w:p>
        </w:tc>
        <w:tc>
          <w:tcPr>
            <w:tcW w:w="4187"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年度总体目标</w:t>
            </w:r>
          </w:p>
        </w:tc>
        <w:tc>
          <w:tcPr>
            <w:tcW w:w="5056"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预期目标</w:t>
            </w:r>
          </w:p>
        </w:tc>
        <w:tc>
          <w:tcPr>
            <w:tcW w:w="4187"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p>
        </w:tc>
        <w:tc>
          <w:tcPr>
            <w:tcW w:w="5056"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eastAsia="zh-CN"/>
              </w:rPr>
              <w:t>完成目标考核任务</w:t>
            </w:r>
            <w:r>
              <w:rPr>
                <w:rFonts w:hint="eastAsia" w:asciiTheme="minorEastAsia" w:hAnsiTheme="minorEastAsia" w:eastAsiaTheme="minorEastAsia" w:cstheme="minorEastAsia"/>
                <w:color w:val="000000"/>
                <w:kern w:val="0"/>
                <w:sz w:val="24"/>
                <w:szCs w:val="24"/>
              </w:rPr>
              <w:t xml:space="preserve"> </w:t>
            </w:r>
          </w:p>
        </w:tc>
        <w:tc>
          <w:tcPr>
            <w:tcW w:w="4187"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　</w:t>
            </w:r>
            <w:r>
              <w:rPr>
                <w:rFonts w:hint="eastAsia" w:asciiTheme="minorEastAsia" w:hAnsiTheme="minorEastAsia" w:eastAsiaTheme="minorEastAsia" w:cstheme="minorEastAsia"/>
                <w:color w:val="000000"/>
                <w:kern w:val="0"/>
                <w:sz w:val="24"/>
                <w:szCs w:val="24"/>
                <w:lang w:eastAsia="zh-CN"/>
              </w:rPr>
              <w:t>已基本完成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绩</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效</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标</w:t>
            </w:r>
          </w:p>
        </w:tc>
        <w:tc>
          <w:tcPr>
            <w:tcW w:w="13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一级指标</w:t>
            </w:r>
          </w:p>
        </w:tc>
        <w:tc>
          <w:tcPr>
            <w:tcW w:w="125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二级指标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三级指标</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年度</w:t>
            </w:r>
          </w:p>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指标值</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实际</w:t>
            </w:r>
          </w:p>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完成值</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分值</w:t>
            </w:r>
          </w:p>
        </w:tc>
        <w:tc>
          <w:tcPr>
            <w:tcW w:w="8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得分</w:t>
            </w:r>
          </w:p>
        </w:tc>
        <w:tc>
          <w:tcPr>
            <w:tcW w:w="1446" w:type="dxa"/>
            <w:tcBorders>
              <w:top w:val="single" w:color="auto" w:sz="4" w:space="0"/>
              <w:left w:val="nil"/>
              <w:bottom w:val="single" w:color="auto" w:sz="4" w:space="0"/>
              <w:right w:val="single" w:color="auto" w:sz="4" w:space="0"/>
            </w:tcBorders>
            <w:noWrap w:val="0"/>
            <w:vAlign w:val="top"/>
          </w:tcPr>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偏差原因</w:t>
            </w:r>
          </w:p>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分析及</w:t>
            </w:r>
          </w:p>
          <w:p>
            <w:pPr>
              <w:widowControl/>
              <w:spacing w:line="24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p>
        </w:tc>
        <w:tc>
          <w:tcPr>
            <w:tcW w:w="1395" w:type="dxa"/>
            <w:vMerge w:val="restart"/>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产出指标</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(50分)</w:t>
            </w:r>
          </w:p>
        </w:tc>
        <w:tc>
          <w:tcPr>
            <w:tcW w:w="1252" w:type="dxa"/>
            <w:vMerge w:val="restart"/>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数量</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eastAsia="zh-CN"/>
              </w:rPr>
              <w:t>争取省级科技计划项目</w:t>
            </w:r>
          </w:p>
        </w:tc>
        <w:tc>
          <w:tcPr>
            <w:tcW w:w="12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w:t>
            </w:r>
            <w:r>
              <w:rPr>
                <w:rFonts w:hint="eastAsia" w:asciiTheme="minorEastAsia" w:hAnsiTheme="minorEastAsia" w:eastAsiaTheme="minorEastAsia" w:cstheme="minorEastAsia"/>
                <w:kern w:val="0"/>
                <w:sz w:val="24"/>
                <w:szCs w:val="24"/>
                <w:lang w:eastAsia="zh-CN"/>
              </w:rPr>
              <w:t>项以上</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w:t>
            </w:r>
            <w:r>
              <w:rPr>
                <w:rFonts w:hint="eastAsia" w:asciiTheme="minorEastAsia" w:hAnsiTheme="minorEastAsia" w:eastAsiaTheme="minorEastAsia" w:cstheme="minorEastAsia"/>
                <w:kern w:val="0"/>
                <w:sz w:val="24"/>
                <w:szCs w:val="24"/>
                <w:lang w:eastAsia="zh-CN"/>
              </w:rPr>
              <w:t>项以上</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10</w:t>
            </w:r>
          </w:p>
        </w:tc>
        <w:tc>
          <w:tcPr>
            <w:tcW w:w="898"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10</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p>
        </w:tc>
        <w:tc>
          <w:tcPr>
            <w:tcW w:w="1395" w:type="dxa"/>
            <w:vMerge w:val="continue"/>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p>
        </w:tc>
        <w:tc>
          <w:tcPr>
            <w:tcW w:w="1252" w:type="dxa"/>
            <w:vMerge w:val="continue"/>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p>
        </w:tc>
        <w:tc>
          <w:tcPr>
            <w:tcW w:w="1209"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eastAsia="zh-CN"/>
              </w:rPr>
              <w:t>新增入统规模企业</w:t>
            </w:r>
          </w:p>
        </w:tc>
        <w:tc>
          <w:tcPr>
            <w:tcW w:w="12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2家以上</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2家以上</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10</w:t>
            </w:r>
          </w:p>
        </w:tc>
        <w:tc>
          <w:tcPr>
            <w:tcW w:w="89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10</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p>
        </w:tc>
        <w:tc>
          <w:tcPr>
            <w:tcW w:w="1395" w:type="dxa"/>
            <w:vMerge w:val="continue"/>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p>
        </w:tc>
        <w:tc>
          <w:tcPr>
            <w:tcW w:w="1252"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质量</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按预期绩效目标完成</w:t>
            </w:r>
          </w:p>
        </w:tc>
        <w:tc>
          <w:tcPr>
            <w:tcW w:w="12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按预期绩效目标完成</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按预期绩效目标完成</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10</w:t>
            </w:r>
          </w:p>
        </w:tc>
        <w:tc>
          <w:tcPr>
            <w:tcW w:w="89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10</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p>
        </w:tc>
        <w:tc>
          <w:tcPr>
            <w:tcW w:w="1395" w:type="dxa"/>
            <w:vMerge w:val="continue"/>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p>
        </w:tc>
        <w:tc>
          <w:tcPr>
            <w:tcW w:w="1252"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时效</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按预期进度完成</w:t>
            </w:r>
          </w:p>
        </w:tc>
        <w:tc>
          <w:tcPr>
            <w:tcW w:w="12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按预期进度完成</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按预期进度完成</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10</w:t>
            </w:r>
          </w:p>
        </w:tc>
        <w:tc>
          <w:tcPr>
            <w:tcW w:w="89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8</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p>
        </w:tc>
        <w:tc>
          <w:tcPr>
            <w:tcW w:w="1395" w:type="dxa"/>
            <w:vMerge w:val="continue"/>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p>
        </w:tc>
        <w:tc>
          <w:tcPr>
            <w:tcW w:w="1252"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成本</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资金按计划及时拨付，尽量减少资金结余</w:t>
            </w:r>
          </w:p>
        </w:tc>
        <w:tc>
          <w:tcPr>
            <w:tcW w:w="12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　</w:t>
            </w:r>
            <w:r>
              <w:rPr>
                <w:rFonts w:hint="eastAsia" w:asciiTheme="minorEastAsia" w:hAnsiTheme="minorEastAsia" w:eastAsiaTheme="minorEastAsia" w:cstheme="minorEastAsia"/>
                <w:kern w:val="0"/>
                <w:sz w:val="24"/>
                <w:szCs w:val="24"/>
                <w:lang w:val="en-US" w:eastAsia="zh-CN"/>
              </w:rPr>
              <w:t>按预算执行</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　</w:t>
            </w:r>
            <w:r>
              <w:rPr>
                <w:rFonts w:hint="eastAsia" w:asciiTheme="minorEastAsia" w:hAnsiTheme="minorEastAsia" w:eastAsiaTheme="minorEastAsia" w:cstheme="minorEastAsia"/>
                <w:kern w:val="0"/>
                <w:sz w:val="24"/>
                <w:szCs w:val="24"/>
                <w:lang w:val="en-US" w:eastAsia="zh-CN"/>
              </w:rPr>
              <w:t>按预算执行</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10</w:t>
            </w:r>
          </w:p>
        </w:tc>
        <w:tc>
          <w:tcPr>
            <w:tcW w:w="898"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10</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p>
        </w:tc>
        <w:tc>
          <w:tcPr>
            <w:tcW w:w="1395" w:type="dxa"/>
            <w:vMerge w:val="restart"/>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效益指标</w:t>
            </w:r>
          </w:p>
          <w:p>
            <w:pPr>
              <w:widowControl/>
              <w:ind w:firstLine="240" w:firstLineChars="1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r>
              <w:rPr>
                <w:rFonts w:hint="eastAsia" w:asciiTheme="minorEastAsia" w:hAnsiTheme="minorEastAsia" w:cstheme="minorEastAsia"/>
                <w:color w:val="000000"/>
                <w:kern w:val="0"/>
                <w:sz w:val="24"/>
                <w:szCs w:val="24"/>
                <w:lang w:val="en-US" w:eastAsia="zh-CN"/>
              </w:rPr>
              <w:t>4</w:t>
            </w:r>
            <w:r>
              <w:rPr>
                <w:rFonts w:hint="eastAsia" w:asciiTheme="minorEastAsia" w:hAnsiTheme="minorEastAsia" w:eastAsiaTheme="minorEastAsia" w:cstheme="minorEastAsia"/>
                <w:color w:val="000000"/>
                <w:kern w:val="0"/>
                <w:sz w:val="24"/>
                <w:szCs w:val="24"/>
              </w:rPr>
              <w:t xml:space="preserve">0分） </w:t>
            </w:r>
          </w:p>
        </w:tc>
        <w:tc>
          <w:tcPr>
            <w:tcW w:w="1252"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经济效</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益指标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项目产出的经济效益情况</w:t>
            </w:r>
          </w:p>
        </w:tc>
        <w:tc>
          <w:tcPr>
            <w:tcW w:w="12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利润总额增长</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eastAsia="zh-CN"/>
              </w:rPr>
              <w:t>工业规模企业厂值增长达到目标任务</w:t>
            </w:r>
            <w:r>
              <w:rPr>
                <w:rFonts w:hint="eastAsia" w:asciiTheme="minorEastAsia" w:hAnsiTheme="minorEastAsia" w:eastAsiaTheme="minorEastAsia" w:cstheme="minorEastAsia"/>
                <w:kern w:val="0"/>
                <w:sz w:val="24"/>
                <w:szCs w:val="24"/>
              </w:rPr>
              <w:t>　</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10</w:t>
            </w:r>
          </w:p>
        </w:tc>
        <w:tc>
          <w:tcPr>
            <w:tcW w:w="89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10</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p>
        </w:tc>
        <w:tc>
          <w:tcPr>
            <w:tcW w:w="1395" w:type="dxa"/>
            <w:vMerge w:val="continue"/>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p>
        </w:tc>
        <w:tc>
          <w:tcPr>
            <w:tcW w:w="1252"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社会效</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益指标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项目实施对社会发展所带来的直接或间接影响情况</w:t>
            </w:r>
          </w:p>
        </w:tc>
        <w:tc>
          <w:tcPr>
            <w:tcW w:w="12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提供用工岗位、增加务工人员收入</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提高了人民群众的生活质量和</w:t>
            </w:r>
            <w:r>
              <w:rPr>
                <w:rFonts w:hint="eastAsia" w:asciiTheme="minorEastAsia" w:hAnsiTheme="minorEastAsia" w:eastAsiaTheme="minorEastAsia" w:cstheme="minorEastAsia"/>
                <w:kern w:val="0"/>
                <w:sz w:val="24"/>
                <w:szCs w:val="24"/>
                <w:lang w:eastAsia="zh-CN"/>
              </w:rPr>
              <w:t>收入</w:t>
            </w:r>
            <w:r>
              <w:rPr>
                <w:rFonts w:hint="eastAsia" w:asciiTheme="minorEastAsia" w:hAnsiTheme="minorEastAsia" w:eastAsiaTheme="minorEastAsia" w:cstheme="minorEastAsia"/>
                <w:kern w:val="0"/>
                <w:sz w:val="24"/>
                <w:szCs w:val="24"/>
              </w:rPr>
              <w:t>水平</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10</w:t>
            </w:r>
          </w:p>
        </w:tc>
        <w:tc>
          <w:tcPr>
            <w:tcW w:w="89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10</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p>
        </w:tc>
        <w:tc>
          <w:tcPr>
            <w:tcW w:w="1395" w:type="dxa"/>
            <w:vMerge w:val="continue"/>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p>
        </w:tc>
        <w:tc>
          <w:tcPr>
            <w:tcW w:w="1252"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生态效</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益指标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无明细环境效益</w:t>
            </w:r>
          </w:p>
        </w:tc>
        <w:tc>
          <w:tcPr>
            <w:tcW w:w="12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　</w:t>
            </w:r>
            <w:r>
              <w:rPr>
                <w:rFonts w:hint="eastAsia" w:asciiTheme="minorEastAsia" w:hAnsiTheme="minorEastAsia" w:eastAsiaTheme="minorEastAsia" w:cstheme="minorEastAsia"/>
                <w:kern w:val="0"/>
                <w:sz w:val="24"/>
                <w:szCs w:val="24"/>
                <w:lang w:val="en-US" w:eastAsia="zh-CN"/>
              </w:rPr>
              <w:t>无明细环境效益</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　</w:t>
            </w:r>
            <w:r>
              <w:rPr>
                <w:rFonts w:hint="eastAsia" w:asciiTheme="minorEastAsia" w:hAnsiTheme="minorEastAsia" w:eastAsiaTheme="minorEastAsia" w:cstheme="minorEastAsia"/>
                <w:kern w:val="0"/>
                <w:sz w:val="24"/>
                <w:szCs w:val="24"/>
                <w:lang w:val="en-US" w:eastAsia="zh-CN"/>
              </w:rPr>
              <w:t>无明细环境效益</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10</w:t>
            </w:r>
          </w:p>
        </w:tc>
        <w:tc>
          <w:tcPr>
            <w:tcW w:w="898"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10</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p>
        </w:tc>
        <w:tc>
          <w:tcPr>
            <w:tcW w:w="1395" w:type="dxa"/>
            <w:vMerge w:val="continue"/>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p>
        </w:tc>
        <w:tc>
          <w:tcPr>
            <w:tcW w:w="1252"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可持续影响指标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项目后续运行及成效发挥的可持续影响情况 </w:t>
            </w:r>
          </w:p>
        </w:tc>
        <w:tc>
          <w:tcPr>
            <w:tcW w:w="12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　</w:t>
            </w:r>
            <w:r>
              <w:rPr>
                <w:rFonts w:hint="eastAsia" w:asciiTheme="minorEastAsia" w:hAnsiTheme="minorEastAsia" w:eastAsiaTheme="minorEastAsia" w:cstheme="minorEastAsia"/>
                <w:kern w:val="0"/>
                <w:sz w:val="24"/>
                <w:szCs w:val="24"/>
                <w:lang w:val="en-US" w:eastAsia="zh-CN"/>
              </w:rPr>
              <w:t>提供用工岗位、增加务工人员</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为人民群众提供</w:t>
            </w:r>
            <w:r>
              <w:rPr>
                <w:rFonts w:hint="eastAsia" w:asciiTheme="minorEastAsia" w:hAnsiTheme="minorEastAsia" w:eastAsiaTheme="minorEastAsia" w:cstheme="minorEastAsia"/>
                <w:kern w:val="0"/>
                <w:sz w:val="24"/>
                <w:szCs w:val="24"/>
                <w:lang w:eastAsia="zh-CN"/>
              </w:rPr>
              <w:t>可持续性的</w:t>
            </w:r>
            <w:r>
              <w:rPr>
                <w:rFonts w:hint="eastAsia" w:asciiTheme="minorEastAsia" w:hAnsiTheme="minorEastAsia" w:eastAsiaTheme="minorEastAsia" w:cstheme="minorEastAsia"/>
                <w:kern w:val="0"/>
                <w:sz w:val="24"/>
                <w:szCs w:val="24"/>
              </w:rPr>
              <w:t>惠农、便民服务</w:t>
            </w:r>
          </w:p>
          <w:p>
            <w:pPr>
              <w:widowControl/>
              <w:jc w:val="left"/>
              <w:rPr>
                <w:rFonts w:hint="eastAsia" w:asciiTheme="minorEastAsia" w:hAnsiTheme="minorEastAsia" w:eastAsiaTheme="minorEastAsia" w:cstheme="minorEastAsia"/>
                <w:kern w:val="0"/>
                <w:sz w:val="24"/>
                <w:szCs w:val="24"/>
                <w:lang w:val="en-US" w:eastAsia="zh-CN"/>
              </w:rPr>
            </w:pP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10</w:t>
            </w:r>
          </w:p>
        </w:tc>
        <w:tc>
          <w:tcPr>
            <w:tcW w:w="898"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10</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p>
        </w:tc>
        <w:tc>
          <w:tcPr>
            <w:tcW w:w="1395"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满意度</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指标</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（10分）</w:t>
            </w:r>
          </w:p>
        </w:tc>
        <w:tc>
          <w:tcPr>
            <w:tcW w:w="1252"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服务对象满意度指标</w:t>
            </w:r>
          </w:p>
        </w:tc>
        <w:tc>
          <w:tcPr>
            <w:tcW w:w="1209"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项目实施结果</w:t>
            </w:r>
          </w:p>
        </w:tc>
        <w:tc>
          <w:tcPr>
            <w:tcW w:w="12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　社会公众或服务对象对项目的满意程度</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　</w:t>
            </w:r>
            <w:r>
              <w:rPr>
                <w:rFonts w:hint="eastAsia" w:asciiTheme="minorEastAsia" w:hAnsiTheme="minorEastAsia" w:eastAsiaTheme="minorEastAsia" w:cstheme="minorEastAsia"/>
                <w:kern w:val="0"/>
                <w:sz w:val="24"/>
                <w:szCs w:val="24"/>
                <w:lang w:val="en-US" w:eastAsia="zh-CN"/>
              </w:rPr>
              <w:t>100%</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10</w:t>
            </w:r>
          </w:p>
        </w:tc>
        <w:tc>
          <w:tcPr>
            <w:tcW w:w="89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10</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70"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总分</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cstheme="minorEastAsia"/>
                <w:color w:val="000000"/>
                <w:kern w:val="0"/>
                <w:sz w:val="24"/>
                <w:szCs w:val="24"/>
                <w:lang w:val="en-US" w:eastAsia="zh-CN"/>
              </w:rPr>
              <w:t>10</w:t>
            </w:r>
            <w:r>
              <w:rPr>
                <w:rFonts w:hint="eastAsia" w:asciiTheme="minorEastAsia" w:hAnsiTheme="minorEastAsia" w:eastAsiaTheme="minorEastAsia" w:cstheme="minorEastAsia"/>
                <w:color w:val="000000"/>
                <w:kern w:val="0"/>
                <w:sz w:val="24"/>
                <w:szCs w:val="24"/>
                <w:lang w:val="en-US" w:eastAsia="zh-CN"/>
              </w:rPr>
              <w:t>0</w:t>
            </w:r>
          </w:p>
        </w:tc>
        <w:tc>
          <w:tcPr>
            <w:tcW w:w="89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98</w:t>
            </w:r>
          </w:p>
        </w:tc>
        <w:tc>
          <w:tcPr>
            <w:tcW w:w="1446"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bl>
    <w:p>
      <w:pPr>
        <w:widowControl/>
        <w:spacing w:line="3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widowControl/>
        <w:spacing w:line="340" w:lineRule="exact"/>
        <w:jc w:val="left"/>
        <w:rPr>
          <w:rFonts w:hint="eastAsia" w:asciiTheme="minorEastAsia" w:hAnsiTheme="minorEastAsia" w:eastAsiaTheme="minorEastAsia" w:cstheme="minorEastAsia"/>
          <w:sz w:val="24"/>
          <w:szCs w:val="24"/>
        </w:rPr>
      </w:pPr>
    </w:p>
    <w:p>
      <w:pPr>
        <w:widowControl/>
        <w:spacing w:line="340" w:lineRule="exact"/>
        <w:jc w:val="left"/>
        <w:rPr>
          <w:rFonts w:hint="eastAsia" w:asciiTheme="minorEastAsia" w:hAnsiTheme="minorEastAsia" w:eastAsiaTheme="minorEastAsia" w:cstheme="minorEastAsia"/>
          <w:sz w:val="24"/>
          <w:szCs w:val="24"/>
        </w:rPr>
      </w:pPr>
    </w:p>
    <w:p>
      <w:pPr>
        <w:widowControl/>
        <w:spacing w:line="340" w:lineRule="exact"/>
        <w:jc w:val="left"/>
        <w:rPr>
          <w:rFonts w:hint="eastAsia" w:asciiTheme="minorEastAsia" w:hAnsiTheme="minorEastAsia" w:eastAsiaTheme="minorEastAsia" w:cstheme="minorEastAsia"/>
          <w:sz w:val="24"/>
          <w:szCs w:val="24"/>
        </w:rPr>
      </w:pPr>
    </w:p>
    <w:p>
      <w:pPr>
        <w:widowControl/>
        <w:spacing w:line="300" w:lineRule="exact"/>
        <w:jc w:val="left"/>
        <w:rPr>
          <w:rFonts w:hint="eastAsia" w:asciiTheme="minorEastAsia" w:hAnsiTheme="minorEastAsia" w:eastAsiaTheme="minorEastAsia" w:cstheme="minorEastAsia"/>
          <w:sz w:val="24"/>
          <w:szCs w:val="24"/>
        </w:rPr>
      </w:pPr>
    </w:p>
    <w:p>
      <w:pPr>
        <w:widowControl/>
        <w:spacing w:line="300" w:lineRule="exact"/>
        <w:jc w:val="left"/>
        <w:rPr>
          <w:rFonts w:hint="eastAsia" w:asciiTheme="minorEastAsia" w:hAnsiTheme="minorEastAsia" w:eastAsiaTheme="minorEastAsia" w:cstheme="minorEastAsia"/>
          <w:sz w:val="24"/>
          <w:szCs w:val="24"/>
        </w:rPr>
      </w:pPr>
    </w:p>
    <w:p>
      <w:pPr>
        <w:widowControl/>
        <w:spacing w:line="300" w:lineRule="exact"/>
        <w:jc w:val="left"/>
        <w:rPr>
          <w:rFonts w:hint="eastAsia" w:asciiTheme="minorEastAsia" w:hAnsiTheme="minorEastAsia" w:eastAsiaTheme="minorEastAsia" w:cstheme="minorEastAsia"/>
          <w:sz w:val="24"/>
          <w:szCs w:val="24"/>
        </w:rPr>
      </w:pPr>
    </w:p>
    <w:p>
      <w:pPr>
        <w:widowControl/>
        <w:spacing w:line="300" w:lineRule="exact"/>
        <w:jc w:val="left"/>
        <w:rPr>
          <w:rFonts w:hint="eastAsia" w:asciiTheme="minorEastAsia" w:hAnsiTheme="minorEastAsia" w:eastAsiaTheme="minorEastAsia" w:cstheme="minorEastAsia"/>
          <w:sz w:val="24"/>
          <w:szCs w:val="24"/>
        </w:rPr>
      </w:pPr>
    </w:p>
    <w:p>
      <w:pPr>
        <w:widowControl/>
        <w:spacing w:line="300" w:lineRule="exact"/>
        <w:jc w:val="left"/>
        <w:rPr>
          <w:rFonts w:hint="eastAsia" w:asciiTheme="minorEastAsia" w:hAnsiTheme="minorEastAsia" w:eastAsiaTheme="minorEastAsia" w:cstheme="minorEastAsia"/>
          <w:sz w:val="24"/>
          <w:szCs w:val="24"/>
        </w:rPr>
      </w:pPr>
    </w:p>
    <w:p>
      <w:pPr>
        <w:widowControl/>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附件3</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项目支出绩效自评表</w:t>
      </w:r>
    </w:p>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r>
        <w:rPr>
          <w:rFonts w:hint="eastAsia" w:asciiTheme="minorEastAsia" w:hAnsiTheme="minorEastAsia" w:eastAsiaTheme="minorEastAsia" w:cstheme="minorEastAsia"/>
          <w:color w:val="000000"/>
          <w:kern w:val="0"/>
          <w:sz w:val="24"/>
          <w:szCs w:val="24"/>
          <w:lang w:val="en-US" w:eastAsia="zh-CN"/>
        </w:rPr>
        <w:t>2021</w:t>
      </w:r>
      <w:r>
        <w:rPr>
          <w:rFonts w:hint="eastAsia" w:asciiTheme="minorEastAsia" w:hAnsiTheme="minorEastAsia" w:eastAsiaTheme="minorEastAsia" w:cstheme="minorEastAsia"/>
          <w:color w:val="000000"/>
          <w:kern w:val="0"/>
          <w:sz w:val="24"/>
          <w:szCs w:val="24"/>
        </w:rPr>
        <w:t>年度）</w:t>
      </w:r>
    </w:p>
    <w:tbl>
      <w:tblPr>
        <w:tblStyle w:val="5"/>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gridCol w:w="1149"/>
        <w:gridCol w:w="1209"/>
        <w:gridCol w:w="1134"/>
        <w:gridCol w:w="828"/>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项目支</w:t>
            </w:r>
          </w:p>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lang w:eastAsia="zh-CN"/>
              </w:rPr>
              <w:t>县级</w:t>
            </w:r>
            <w:r>
              <w:rPr>
                <w:rFonts w:hint="eastAsia" w:asciiTheme="minorEastAsia" w:hAnsiTheme="minorEastAsia" w:eastAsiaTheme="minorEastAsia" w:cstheme="minorEastAsia"/>
                <w:color w:val="000000"/>
                <w:kern w:val="0"/>
                <w:sz w:val="24"/>
                <w:szCs w:val="24"/>
                <w:lang w:val="en-US" w:eastAsia="zh-CN"/>
              </w:rPr>
              <w:t>保障性住房</w:t>
            </w:r>
            <w:r>
              <w:rPr>
                <w:rFonts w:hint="eastAsia" w:asciiTheme="minorEastAsia" w:hAnsiTheme="minorEastAsia" w:eastAsiaTheme="minorEastAsia" w:cstheme="minorEastAsia"/>
                <w:color w:val="000000"/>
                <w:kern w:val="0"/>
                <w:sz w:val="24"/>
                <w:szCs w:val="24"/>
                <w:lang w:eastAsia="zh-CN"/>
              </w:rPr>
              <w:t>计划资金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rPr>
              <w:t>　</w:t>
            </w:r>
            <w:r>
              <w:rPr>
                <w:rFonts w:hint="eastAsia" w:asciiTheme="minorEastAsia" w:hAnsiTheme="minorEastAsia" w:eastAsiaTheme="minorEastAsia" w:cstheme="minorEastAsia"/>
                <w:color w:val="000000"/>
                <w:kern w:val="0"/>
                <w:sz w:val="24"/>
                <w:szCs w:val="24"/>
                <w:lang w:eastAsia="zh-CN"/>
              </w:rPr>
              <w:t>双牌县</w:t>
            </w:r>
            <w:r>
              <w:rPr>
                <w:rFonts w:hint="eastAsia" w:asciiTheme="minorEastAsia" w:hAnsiTheme="minorEastAsia" w:eastAsiaTheme="minorEastAsia" w:cstheme="minorEastAsia"/>
                <w:color w:val="000000"/>
                <w:kern w:val="0"/>
                <w:sz w:val="24"/>
                <w:szCs w:val="24"/>
                <w:lang w:val="en-US" w:eastAsia="zh-CN"/>
              </w:rPr>
              <w:t>住房保障服务中心</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widowControl/>
              <w:tabs>
                <w:tab w:val="center" w:pos="1451"/>
              </w:tabs>
              <w:spacing w:line="300" w:lineRule="exact"/>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rPr>
              <w:t>　</w:t>
            </w:r>
            <w:r>
              <w:rPr>
                <w:rFonts w:hint="eastAsia" w:asciiTheme="minorEastAsia" w:hAnsiTheme="minorEastAsia" w:eastAsiaTheme="minorEastAsia" w:cstheme="minorEastAsia"/>
                <w:color w:val="000000"/>
                <w:kern w:val="0"/>
                <w:sz w:val="24"/>
                <w:szCs w:val="24"/>
                <w:lang w:eastAsia="zh-CN"/>
              </w:rPr>
              <w:tab/>
            </w:r>
            <w:r>
              <w:rPr>
                <w:rFonts w:hint="eastAsia" w:asciiTheme="minorEastAsia" w:hAnsiTheme="minorEastAsia" w:eastAsiaTheme="minorEastAsia" w:cstheme="minorEastAsia"/>
                <w:color w:val="000000"/>
                <w:kern w:val="0"/>
                <w:sz w:val="24"/>
                <w:szCs w:val="24"/>
                <w:lang w:eastAsia="zh-CN"/>
              </w:rPr>
              <w:t>双牌县</w:t>
            </w:r>
            <w:r>
              <w:rPr>
                <w:rFonts w:hint="eastAsia" w:asciiTheme="minorEastAsia" w:hAnsiTheme="minorEastAsia" w:eastAsiaTheme="minorEastAsia" w:cstheme="minorEastAsia"/>
                <w:color w:val="000000"/>
                <w:kern w:val="0"/>
                <w:sz w:val="24"/>
                <w:szCs w:val="24"/>
                <w:lang w:val="en-US" w:eastAsia="zh-CN"/>
              </w:rPr>
              <w:t>住房保障服务中心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项目资金</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（万元）</w:t>
            </w:r>
          </w:p>
        </w:tc>
        <w:tc>
          <w:tcPr>
            <w:tcW w:w="2160"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年初</w:t>
            </w:r>
          </w:p>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预算数</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全年</w:t>
            </w:r>
          </w:p>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预算数</w:t>
            </w:r>
          </w:p>
        </w:tc>
        <w:tc>
          <w:tcPr>
            <w:tcW w:w="113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全年</w:t>
            </w:r>
          </w:p>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执行数</w:t>
            </w:r>
          </w:p>
        </w:tc>
        <w:tc>
          <w:tcPr>
            <w:tcW w:w="82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分值</w:t>
            </w:r>
          </w:p>
        </w:tc>
        <w:tc>
          <w:tcPr>
            <w:tcW w:w="87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执行率</w:t>
            </w:r>
          </w:p>
        </w:tc>
        <w:tc>
          <w:tcPr>
            <w:tcW w:w="141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p>
        </w:tc>
        <w:tc>
          <w:tcPr>
            <w:tcW w:w="2160"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年度资金总额 </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ind w:firstLine="240" w:firstLineChars="1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3102.3</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rPr>
              <w:t>　</w:t>
            </w:r>
            <w:r>
              <w:rPr>
                <w:rFonts w:hint="eastAsia" w:asciiTheme="minorEastAsia" w:hAnsiTheme="minorEastAsia" w:eastAsiaTheme="minorEastAsia" w:cstheme="minorEastAsia"/>
                <w:color w:val="000000"/>
                <w:kern w:val="0"/>
                <w:sz w:val="24"/>
                <w:szCs w:val="24"/>
                <w:lang w:val="en-US" w:eastAsia="zh-CN"/>
              </w:rPr>
              <w:t>3102.3</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2233.39</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 10</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100%</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rPr>
              <w:t>　</w:t>
            </w:r>
            <w:r>
              <w:rPr>
                <w:rFonts w:hint="eastAsia" w:asciiTheme="minorEastAsia" w:hAnsiTheme="minorEastAsia" w:eastAsiaTheme="minorEastAsia" w:cstheme="minorEastAsia"/>
                <w:color w:val="00000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p>
        </w:tc>
        <w:tc>
          <w:tcPr>
            <w:tcW w:w="2160"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其中：当年财政拨款 </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rPr>
              <w:t>　</w:t>
            </w:r>
            <w:r>
              <w:rPr>
                <w:rFonts w:hint="eastAsia" w:asciiTheme="minorEastAsia" w:hAnsiTheme="minorEastAsia" w:eastAsiaTheme="minorEastAsia" w:cstheme="minorEastAsia"/>
                <w:color w:val="000000"/>
                <w:kern w:val="0"/>
                <w:sz w:val="24"/>
                <w:szCs w:val="24"/>
                <w:lang w:val="en-US" w:eastAsia="zh-CN"/>
              </w:rPr>
              <w:t>2233.39</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 xml:space="preserve">  2233.39</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rPr>
              <w:t>　</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p>
        </w:tc>
        <w:tc>
          <w:tcPr>
            <w:tcW w:w="2160"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ind w:firstLine="720" w:firstLineChars="3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上年结转资金 </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p>
        </w:tc>
        <w:tc>
          <w:tcPr>
            <w:tcW w:w="2160"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ind w:firstLine="720" w:firstLineChars="3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其他资金</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年度总体目标</w:t>
            </w:r>
          </w:p>
        </w:tc>
        <w:tc>
          <w:tcPr>
            <w:tcW w:w="4518"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p>
        </w:tc>
        <w:tc>
          <w:tcPr>
            <w:tcW w:w="4518"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  </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绩</w:t>
            </w:r>
          </w:p>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效</w:t>
            </w:r>
          </w:p>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w:t>
            </w:r>
          </w:p>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标</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一级指标</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二级指标</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三级指标</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年度</w:t>
            </w:r>
          </w:p>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指标值</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实际</w:t>
            </w:r>
          </w:p>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完成值</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分值</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得分</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偏差原因</w:t>
            </w:r>
          </w:p>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分析及</w:t>
            </w:r>
          </w:p>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p>
        </w:tc>
        <w:tc>
          <w:tcPr>
            <w:tcW w:w="1080" w:type="dxa"/>
            <w:vMerge w:val="restart"/>
            <w:tcBorders>
              <w:top w:val="nil"/>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产出指标</w:t>
            </w:r>
          </w:p>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(50分)</w:t>
            </w:r>
          </w:p>
        </w:tc>
        <w:tc>
          <w:tcPr>
            <w:tcW w:w="1080" w:type="dxa"/>
            <w:vMerge w:val="restart"/>
            <w:tcBorders>
              <w:top w:val="nil"/>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数量指标</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en-US" w:eastAsia="zh-CN"/>
              </w:rPr>
              <w:t>农业新技术、新品种引进示范推广</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rPr>
              <w:t>　</w:t>
            </w:r>
            <w:r>
              <w:rPr>
                <w:rFonts w:hint="eastAsia" w:asciiTheme="minorEastAsia" w:hAnsiTheme="minorEastAsia" w:eastAsiaTheme="minorEastAsia" w:cstheme="minorEastAsia"/>
                <w:color w:val="000000"/>
                <w:kern w:val="0"/>
                <w:sz w:val="24"/>
                <w:szCs w:val="24"/>
                <w:lang w:val="en-US" w:eastAsia="zh-CN"/>
              </w:rPr>
              <w:t>扶持推广项目10项</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10</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10</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p>
        </w:tc>
        <w:tc>
          <w:tcPr>
            <w:tcW w:w="1080" w:type="dxa"/>
            <w:vMerge w:val="continue"/>
            <w:tcBorders>
              <w:top w:val="nil"/>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p>
        </w:tc>
        <w:tc>
          <w:tcPr>
            <w:tcW w:w="1080" w:type="dxa"/>
            <w:vMerge w:val="continue"/>
            <w:tcBorders>
              <w:top w:val="nil"/>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应用研究、研发经费入统补助、技术合同认定登记、科技奖励、科技成果转化等补助</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rPr>
              <w:t>　</w:t>
            </w:r>
            <w:r>
              <w:rPr>
                <w:rFonts w:hint="eastAsia" w:asciiTheme="minorEastAsia" w:hAnsiTheme="minorEastAsia" w:eastAsiaTheme="minorEastAsia" w:cstheme="minorEastAsia"/>
                <w:color w:val="000000"/>
                <w:kern w:val="0"/>
                <w:sz w:val="24"/>
                <w:szCs w:val="24"/>
                <w:lang w:val="en-US" w:eastAsia="zh-CN"/>
              </w:rPr>
              <w:t>补助、奖励科技创新企业1家。</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10</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p>
        </w:tc>
        <w:tc>
          <w:tcPr>
            <w:tcW w:w="1080" w:type="dxa"/>
            <w:vMerge w:val="continue"/>
            <w:tcBorders>
              <w:top w:val="nil"/>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p>
        </w:tc>
        <w:tc>
          <w:tcPr>
            <w:tcW w:w="108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质量指标</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完成保障性住房计划项目的申报、验收。</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保障性住房建设计划项目16项</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16</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10</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p>
        </w:tc>
        <w:tc>
          <w:tcPr>
            <w:tcW w:w="1080" w:type="dxa"/>
            <w:vMerge w:val="continue"/>
            <w:tcBorders>
              <w:top w:val="nil"/>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p>
        </w:tc>
        <w:tc>
          <w:tcPr>
            <w:tcW w:w="108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时效指标</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项目实施奖励、补助时限</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2021年1月至2021年12月</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12</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10</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p>
        </w:tc>
        <w:tc>
          <w:tcPr>
            <w:tcW w:w="1080" w:type="dxa"/>
            <w:vMerge w:val="continue"/>
            <w:tcBorders>
              <w:top w:val="nil"/>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p>
        </w:tc>
        <w:tc>
          <w:tcPr>
            <w:tcW w:w="108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成本指标</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rPr>
              <w:t>资金按计划及时拨付，</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　</w:t>
            </w:r>
            <w:r>
              <w:rPr>
                <w:rFonts w:hint="eastAsia" w:asciiTheme="minorEastAsia" w:hAnsiTheme="minorEastAsia" w:eastAsiaTheme="minorEastAsia" w:cstheme="minorEastAsia"/>
                <w:color w:val="000000"/>
                <w:kern w:val="0"/>
                <w:sz w:val="24"/>
                <w:szCs w:val="24"/>
                <w:lang w:eastAsia="zh-CN"/>
              </w:rPr>
              <w:t>科技计划项目经费及时拨付到位</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2233.39</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10</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p>
        </w:tc>
        <w:tc>
          <w:tcPr>
            <w:tcW w:w="1080" w:type="dxa"/>
            <w:vMerge w:val="restart"/>
            <w:tcBorders>
              <w:top w:val="nil"/>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效益指标</w:t>
            </w:r>
          </w:p>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r>
              <w:rPr>
                <w:rFonts w:hint="eastAsia" w:asciiTheme="minorEastAsia" w:hAnsiTheme="minorEastAsia" w:cstheme="minorEastAsia"/>
                <w:color w:val="000000"/>
                <w:kern w:val="0"/>
                <w:sz w:val="24"/>
                <w:szCs w:val="24"/>
                <w:lang w:val="en-US" w:eastAsia="zh-CN"/>
              </w:rPr>
              <w:t>40</w:t>
            </w:r>
            <w:r>
              <w:rPr>
                <w:rFonts w:hint="eastAsia" w:asciiTheme="minorEastAsia" w:hAnsiTheme="minorEastAsia" w:eastAsiaTheme="minorEastAsia" w:cstheme="minorEastAsia"/>
                <w:color w:val="000000"/>
                <w:kern w:val="0"/>
                <w:sz w:val="24"/>
                <w:szCs w:val="24"/>
              </w:rPr>
              <w:t>分）</w:t>
            </w:r>
          </w:p>
        </w:tc>
        <w:tc>
          <w:tcPr>
            <w:tcW w:w="108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经济效</w:t>
            </w:r>
          </w:p>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益指标</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按项目实施的方案推进、经济效益明显，加快县域经济发展。　</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eastAsia="zh-CN"/>
              </w:rPr>
              <w:t>激发企业的研发投入积极性。鼓励合作社、种养大户进行新品种、新技术的示范推广。</w:t>
            </w:r>
            <w:r>
              <w:rPr>
                <w:rFonts w:hint="eastAsia" w:asciiTheme="minorEastAsia" w:hAnsiTheme="minorEastAsia" w:eastAsiaTheme="minorEastAsia" w:cstheme="minorEastAsia"/>
                <w:color w:val="000000"/>
                <w:kern w:val="0"/>
                <w:sz w:val="24"/>
                <w:szCs w:val="24"/>
              </w:rPr>
              <w:t>　</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eastAsia="zh-CN"/>
              </w:rPr>
              <w:t>企业研发投入同比增加</w:t>
            </w:r>
            <w:r>
              <w:rPr>
                <w:rFonts w:hint="eastAsia" w:asciiTheme="minorEastAsia" w:hAnsiTheme="minorEastAsia" w:eastAsiaTheme="minorEastAsia" w:cstheme="minorEastAsia"/>
                <w:color w:val="000000"/>
                <w:kern w:val="0"/>
                <w:sz w:val="24"/>
                <w:szCs w:val="24"/>
                <w:lang w:val="en-US" w:eastAsia="zh-CN"/>
              </w:rPr>
              <w:t>。引进新技术、新品种3项。</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10</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cstheme="minorEastAsia"/>
                <w:color w:val="000000"/>
                <w:kern w:val="0"/>
                <w:sz w:val="24"/>
                <w:szCs w:val="24"/>
                <w:lang w:val="en-US" w:eastAsia="zh-CN"/>
              </w:rPr>
              <w:t>8</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p>
        </w:tc>
        <w:tc>
          <w:tcPr>
            <w:tcW w:w="1080" w:type="dxa"/>
            <w:vMerge w:val="continue"/>
            <w:tcBorders>
              <w:top w:val="nil"/>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p>
        </w:tc>
        <w:tc>
          <w:tcPr>
            <w:tcW w:w="108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社会效</w:t>
            </w:r>
          </w:p>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益指标</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项目带动产业发展、增加就业人数，提高社会效益。</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　</w:t>
            </w:r>
            <w:r>
              <w:rPr>
                <w:rFonts w:hint="eastAsia" w:asciiTheme="minorEastAsia" w:hAnsiTheme="minorEastAsia" w:eastAsiaTheme="minorEastAsia" w:cstheme="minorEastAsia"/>
                <w:color w:val="000000"/>
                <w:kern w:val="0"/>
                <w:sz w:val="24"/>
                <w:szCs w:val="24"/>
                <w:lang w:eastAsia="zh-CN"/>
              </w:rPr>
              <w:t>开展培训班进行技术培训，带动人员就业。</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rPr>
              <w:t>培育专业大户或农村实用人才数</w:t>
            </w:r>
            <w:r>
              <w:rPr>
                <w:rFonts w:hint="eastAsia" w:asciiTheme="minorEastAsia" w:hAnsiTheme="minorEastAsia" w:eastAsiaTheme="minorEastAsia" w:cstheme="minorEastAsia"/>
                <w:color w:val="000000"/>
                <w:kern w:val="0"/>
                <w:sz w:val="24"/>
                <w:szCs w:val="24"/>
                <w:lang w:val="en-US" w:eastAsia="zh-CN"/>
              </w:rPr>
              <w:t>64</w:t>
            </w:r>
            <w:r>
              <w:rPr>
                <w:rFonts w:hint="eastAsia" w:asciiTheme="minorEastAsia" w:hAnsiTheme="minorEastAsia" w:eastAsiaTheme="minorEastAsia" w:cstheme="minorEastAsia"/>
                <w:color w:val="000000"/>
                <w:kern w:val="0"/>
                <w:sz w:val="24"/>
                <w:szCs w:val="24"/>
              </w:rPr>
              <w:t>人</w:t>
            </w:r>
            <w:r>
              <w:rPr>
                <w:rFonts w:hint="eastAsia" w:asciiTheme="minorEastAsia" w:hAnsiTheme="minorEastAsia" w:eastAsiaTheme="minorEastAsia" w:cstheme="minorEastAsia"/>
                <w:color w:val="000000"/>
                <w:kern w:val="0"/>
                <w:sz w:val="24"/>
                <w:szCs w:val="24"/>
                <w:lang w:eastAsia="zh-CN"/>
              </w:rPr>
              <w:t>，促进</w:t>
            </w:r>
            <w:r>
              <w:rPr>
                <w:rFonts w:hint="eastAsia" w:asciiTheme="minorEastAsia" w:hAnsiTheme="minorEastAsia" w:eastAsiaTheme="minorEastAsia" w:cstheme="minorEastAsia"/>
                <w:color w:val="000000"/>
                <w:kern w:val="0"/>
                <w:sz w:val="24"/>
                <w:szCs w:val="24"/>
                <w:lang w:val="en-US" w:eastAsia="zh-CN"/>
              </w:rPr>
              <w:t>180余人就业。</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10</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p>
        </w:tc>
        <w:tc>
          <w:tcPr>
            <w:tcW w:w="1080" w:type="dxa"/>
            <w:vMerge w:val="continue"/>
            <w:tcBorders>
              <w:top w:val="nil"/>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p>
        </w:tc>
        <w:tc>
          <w:tcPr>
            <w:tcW w:w="108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生态效</w:t>
            </w:r>
          </w:p>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益指标</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en-US" w:eastAsia="zh-CN"/>
              </w:rPr>
              <w:t>项目实施发展，提升生态效益的总体水平。</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　充分利用我县的资源优势，发展特色农业生态环保高效</w:t>
            </w:r>
            <w:r>
              <w:rPr>
                <w:rFonts w:hint="eastAsia" w:asciiTheme="minorEastAsia" w:hAnsiTheme="minorEastAsia" w:eastAsiaTheme="minorEastAsia" w:cstheme="minorEastAsia"/>
                <w:color w:val="000000"/>
                <w:kern w:val="0"/>
                <w:sz w:val="24"/>
                <w:szCs w:val="24"/>
                <w:lang w:eastAsia="zh-CN"/>
              </w:rPr>
              <w:t>。</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充分利用我县的资源优势，发展特色农业生态环保高效</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10</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p>
        </w:tc>
        <w:tc>
          <w:tcPr>
            <w:tcW w:w="1080" w:type="dxa"/>
            <w:vMerge w:val="continue"/>
            <w:tcBorders>
              <w:top w:val="nil"/>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p>
        </w:tc>
        <w:tc>
          <w:tcPr>
            <w:tcW w:w="108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可持续影响指标</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eastAsia="zh-CN"/>
              </w:rPr>
              <w:t>项目服务全县主导产业</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r>
              <w:rPr>
                <w:rFonts w:hint="eastAsia" w:asciiTheme="minorEastAsia" w:hAnsiTheme="minorEastAsia" w:eastAsiaTheme="minorEastAsia" w:cstheme="minorEastAsia"/>
                <w:color w:val="000000"/>
                <w:kern w:val="0"/>
                <w:sz w:val="24"/>
                <w:szCs w:val="24"/>
                <w:lang w:eastAsia="zh-CN"/>
              </w:rPr>
              <w:t>项目服务全县主导产业</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lang w:eastAsia="zh-CN"/>
              </w:rPr>
              <w:t>科技创新发展扶持可持续投入发展</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10</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p>
        </w:tc>
        <w:tc>
          <w:tcPr>
            <w:tcW w:w="108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满意度</w:t>
            </w:r>
          </w:p>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指标</w:t>
            </w:r>
          </w:p>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（10分）</w:t>
            </w:r>
          </w:p>
        </w:tc>
        <w:tc>
          <w:tcPr>
            <w:tcW w:w="108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服务对象满意度指标</w:t>
            </w:r>
          </w:p>
        </w:tc>
        <w:tc>
          <w:tcPr>
            <w:tcW w:w="114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eastAsia="zh-CN"/>
              </w:rPr>
              <w:t>项目申报主体认可程度和满意度高。</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　</w:t>
            </w:r>
            <w:r>
              <w:rPr>
                <w:rFonts w:hint="eastAsia" w:asciiTheme="minorEastAsia" w:hAnsiTheme="minorEastAsia" w:eastAsiaTheme="minorEastAsia" w:cstheme="minorEastAsia"/>
                <w:color w:val="000000"/>
                <w:kern w:val="0"/>
                <w:sz w:val="24"/>
                <w:szCs w:val="24"/>
                <w:lang w:eastAsia="zh-CN"/>
              </w:rPr>
              <w:t>项目申报主体认可程度和满意度高。</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eastAsia="zh-CN"/>
              </w:rPr>
              <w:t>所以项目申报者，满意度</w:t>
            </w:r>
            <w:r>
              <w:rPr>
                <w:rFonts w:hint="eastAsia" w:asciiTheme="minorEastAsia" w:hAnsiTheme="minorEastAsia" w:eastAsiaTheme="minorEastAsia" w:cstheme="minorEastAsia"/>
                <w:color w:val="000000"/>
                <w:kern w:val="0"/>
                <w:sz w:val="24"/>
                <w:szCs w:val="24"/>
                <w:lang w:val="en-US" w:eastAsia="zh-CN"/>
              </w:rPr>
              <w:t>100%。</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10</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32"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总分</w:t>
            </w:r>
          </w:p>
        </w:tc>
        <w:tc>
          <w:tcPr>
            <w:tcW w:w="82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100</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asciiTheme="minorEastAsia" w:hAnsiTheme="minorEastAsia" w:eastAsiaTheme="minorEastAsia" w:cstheme="minorEastAsia"/>
                <w:color w:val="000000"/>
                <w:kern w:val="0"/>
                <w:sz w:val="24"/>
                <w:szCs w:val="24"/>
                <w:lang w:val="en-US" w:eastAsia="zh-CN"/>
              </w:rPr>
            </w:pPr>
            <w:r>
              <w:rPr>
                <w:rFonts w:hint="eastAsia" w:asciiTheme="minorEastAsia" w:hAnsiTheme="minorEastAsia" w:cstheme="minorEastAsia"/>
                <w:color w:val="000000"/>
                <w:kern w:val="0"/>
                <w:sz w:val="24"/>
                <w:szCs w:val="24"/>
                <w:lang w:val="en-US" w:eastAsia="zh-CN"/>
              </w:rPr>
              <w:t>98</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bl>
    <w:p>
      <w:pPr>
        <w:spacing w:line="580" w:lineRule="exact"/>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4C89E9"/>
    <w:multiLevelType w:val="singleLevel"/>
    <w:tmpl w:val="CF4C89E9"/>
    <w:lvl w:ilvl="0" w:tentative="0">
      <w:start w:val="2"/>
      <w:numFmt w:val="decimal"/>
      <w:suff w:val="nothing"/>
      <w:lvlText w:val="%1、"/>
      <w:lvlJc w:val="left"/>
    </w:lvl>
  </w:abstractNum>
  <w:abstractNum w:abstractNumId="1">
    <w:nsid w:val="E22EF507"/>
    <w:multiLevelType w:val="singleLevel"/>
    <w:tmpl w:val="E22EF50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yMGQxMWRlNGIzN2U3OTIwZTcyOWUxZTM3NjFmOGYifQ=="/>
  </w:docVars>
  <w:rsids>
    <w:rsidRoot w:val="00000000"/>
    <w:rsid w:val="02FE134A"/>
    <w:rsid w:val="0B3C2EF6"/>
    <w:rsid w:val="0BFB5DB4"/>
    <w:rsid w:val="0C3B61E7"/>
    <w:rsid w:val="0CCB5F18"/>
    <w:rsid w:val="0DBF705E"/>
    <w:rsid w:val="0F933F43"/>
    <w:rsid w:val="149E7D73"/>
    <w:rsid w:val="196C5195"/>
    <w:rsid w:val="1AC77D2A"/>
    <w:rsid w:val="1C7858B5"/>
    <w:rsid w:val="224A3552"/>
    <w:rsid w:val="2D8F684C"/>
    <w:rsid w:val="2E09336B"/>
    <w:rsid w:val="2F5A5E53"/>
    <w:rsid w:val="334A245F"/>
    <w:rsid w:val="37BC2EBF"/>
    <w:rsid w:val="3A41666F"/>
    <w:rsid w:val="3B6E7866"/>
    <w:rsid w:val="3DC07B0D"/>
    <w:rsid w:val="41B12D1A"/>
    <w:rsid w:val="462A2AA8"/>
    <w:rsid w:val="4F015B80"/>
    <w:rsid w:val="50C41A54"/>
    <w:rsid w:val="52CA1BA9"/>
    <w:rsid w:val="5B212A96"/>
    <w:rsid w:val="5B4B630E"/>
    <w:rsid w:val="65872556"/>
    <w:rsid w:val="69216D3A"/>
    <w:rsid w:val="6D220C17"/>
    <w:rsid w:val="7097725D"/>
    <w:rsid w:val="71FC74E8"/>
    <w:rsid w:val="745E619D"/>
    <w:rsid w:val="74C70DF4"/>
    <w:rsid w:val="76CF27F5"/>
    <w:rsid w:val="793A2271"/>
    <w:rsid w:val="7F480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4729</Words>
  <Characters>5376</Characters>
  <Lines>0</Lines>
  <Paragraphs>0</Paragraphs>
  <TotalTime>19</TotalTime>
  <ScaleCrop>false</ScaleCrop>
  <LinksUpToDate>false</LinksUpToDate>
  <CharactersWithSpaces>5586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2021-12-10T02:54:00Z</dcterms:created>
  <dc:creator>Administrator</dc:creator>
  <cp:lastModifiedBy>Administrator</cp:lastModifiedBy>
  <cp:lastPrinted>2021-12-01T07:31:00Z</cp:lastPrinted>
  <dcterms:modified xsi:type="dcterms:W3CDTF">2022-09-15T09:41:12Z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BA88B27F8DC44664925193E5FA2F334D</vt:lpwstr>
  </property>
</Properties>
</file>