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widowControl/>
        <w:spacing w:beforeAutospacing="0" w:afterAutospacing="0" w:line="600" w:lineRule="exact"/>
        <w:jc w:val="center"/>
        <w:rPr>
          <w:rFonts w:ascii="方正大标宋_GBK" w:eastAsia="方正大标宋_GBK"/>
          <w:sz w:val="28"/>
          <w:szCs w:val="28"/>
        </w:rPr>
      </w:pPr>
      <w:r>
        <w:rPr>
          <w:rFonts w:hint="eastAsia" w:ascii="方正大标宋_GBK" w:hAnsi="黑体" w:eastAsia="方正大标宋_GBK" w:cs="黑体"/>
          <w:sz w:val="44"/>
          <w:szCs w:val="44"/>
        </w:rPr>
        <w:t>双牌县人民政府公报</w:t>
      </w:r>
    </w:p>
    <w:p>
      <w:pPr>
        <w:pStyle w:val="10"/>
        <w:widowControl/>
        <w:spacing w:beforeAutospacing="0" w:afterAutospacing="0" w:line="600" w:lineRule="exact"/>
        <w:jc w:val="center"/>
        <w:rPr>
          <w:rFonts w:ascii="黑体" w:hAnsi="黑体" w:eastAsia="黑体" w:cs="黑体"/>
          <w:sz w:val="32"/>
          <w:szCs w:val="32"/>
        </w:rPr>
      </w:pPr>
      <w:r>
        <w:rPr>
          <w:rFonts w:hint="eastAsia" w:ascii="东文宋体" w:hAnsi="东文宋体" w:eastAsia="东文宋体" w:cs="东文宋体"/>
          <w:sz w:val="32"/>
          <w:szCs w:val="32"/>
        </w:rPr>
        <w:t>◎</w:t>
      </w:r>
      <w:r>
        <w:rPr>
          <w:rFonts w:hint="eastAsia" w:ascii="黑体" w:hAnsi="黑体" w:eastAsia="黑体" w:cs="黑体"/>
          <w:sz w:val="32"/>
          <w:szCs w:val="32"/>
        </w:rPr>
        <w:t>本刊刊登的文件与正式文件具有同等效力</w:t>
      </w:r>
    </w:p>
    <w:p>
      <w:pPr>
        <w:pStyle w:val="10"/>
        <w:widowControl/>
        <w:spacing w:beforeAutospacing="0" w:afterAutospacing="0" w:line="600" w:lineRule="exact"/>
        <w:jc w:val="center"/>
        <w:rPr>
          <w:rFonts w:ascii="黑体" w:hAnsi="黑体" w:eastAsia="黑体" w:cs="黑体"/>
          <w:sz w:val="32"/>
          <w:szCs w:val="32"/>
        </w:rPr>
      </w:pPr>
    </w:p>
    <w:p>
      <w:pPr>
        <w:pStyle w:val="10"/>
        <w:widowControl/>
        <w:spacing w:beforeAutospacing="0" w:afterAutospacing="0" w:line="600" w:lineRule="exact"/>
        <w:jc w:val="center"/>
        <w:rPr>
          <w:rFonts w:ascii="黑体" w:hAnsi="黑体" w:eastAsia="黑体" w:cs="黑体"/>
          <w:sz w:val="44"/>
          <w:szCs w:val="44"/>
        </w:rPr>
      </w:pPr>
      <w:r>
        <w:rPr>
          <w:rFonts w:ascii="黑体" w:hAnsi="黑体" w:eastAsia="黑体" w:cs="黑体"/>
          <w:sz w:val="44"/>
          <w:szCs w:val="44"/>
        </w:rPr>
        <w:t>编 辑 委 员 会</w:t>
      </w:r>
    </w:p>
    <w:p>
      <w:pPr>
        <w:pStyle w:val="10"/>
        <w:widowControl/>
        <w:spacing w:before="0" w:beforeAutospacing="0" w:after="0" w:afterAutospacing="0" w:line="700" w:lineRule="exact"/>
        <w:jc w:val="both"/>
        <w:rPr>
          <w:rFonts w:ascii="黑体" w:hAnsi="黑体" w:eastAsia="黑体" w:cs="黑体"/>
          <w:sz w:val="32"/>
          <w:szCs w:val="32"/>
        </w:rPr>
      </w:pPr>
      <w:r>
        <w:rPr>
          <w:rFonts w:ascii="黑体" w:hAnsi="黑体" w:eastAsia="黑体" w:cs="黑体"/>
          <w:sz w:val="32"/>
          <w:szCs w:val="32"/>
        </w:rPr>
        <w:t>顾  问：蔡富强、李华林</w:t>
      </w:r>
    </w:p>
    <w:p>
      <w:pPr>
        <w:pStyle w:val="10"/>
        <w:widowControl/>
        <w:spacing w:before="0" w:beforeAutospacing="0" w:after="0" w:afterAutospacing="0" w:line="700" w:lineRule="exact"/>
        <w:jc w:val="both"/>
        <w:rPr>
          <w:rFonts w:ascii="黑体" w:hAnsi="黑体" w:eastAsia="黑体" w:cs="黑体"/>
          <w:sz w:val="32"/>
          <w:szCs w:val="32"/>
        </w:rPr>
      </w:pPr>
      <w:r>
        <w:rPr>
          <w:rFonts w:ascii="黑体" w:hAnsi="黑体" w:eastAsia="黑体" w:cs="黑体"/>
          <w:sz w:val="32"/>
          <w:szCs w:val="32"/>
        </w:rPr>
        <w:t>主  任：杨丽军</w:t>
      </w:r>
    </w:p>
    <w:p>
      <w:pPr>
        <w:pStyle w:val="10"/>
        <w:widowControl/>
        <w:spacing w:before="0" w:beforeAutospacing="0" w:after="0" w:afterAutospacing="0" w:line="700" w:lineRule="exact"/>
        <w:jc w:val="both"/>
        <w:rPr>
          <w:rFonts w:ascii="黑体" w:hAnsi="黑体" w:eastAsia="黑体" w:cs="黑体"/>
          <w:sz w:val="32"/>
          <w:szCs w:val="32"/>
        </w:rPr>
      </w:pPr>
      <w:r>
        <w:rPr>
          <w:rFonts w:ascii="黑体" w:hAnsi="黑体" w:eastAsia="黑体" w:cs="黑体"/>
          <w:sz w:val="32"/>
          <w:szCs w:val="32"/>
        </w:rPr>
        <w:t>副主任：周振文</w:t>
      </w:r>
    </w:p>
    <w:p>
      <w:pPr>
        <w:pStyle w:val="10"/>
        <w:widowControl/>
        <w:spacing w:before="0" w:beforeAutospacing="0" w:after="0" w:afterAutospacing="0" w:line="700" w:lineRule="exact"/>
        <w:jc w:val="both"/>
        <w:rPr>
          <w:rFonts w:ascii="黑体" w:hAnsi="黑体" w:eastAsia="黑体" w:cs="黑体"/>
          <w:sz w:val="32"/>
          <w:szCs w:val="32"/>
        </w:rPr>
      </w:pPr>
      <w:r>
        <w:rPr>
          <w:rFonts w:ascii="黑体" w:hAnsi="黑体" w:eastAsia="黑体" w:cs="黑体"/>
          <w:sz w:val="32"/>
          <w:szCs w:val="32"/>
        </w:rPr>
        <w:t>委  员：唐耀东、蒋  波、杨  迪、袁  湘、何  滨、蒋  健</w:t>
      </w:r>
    </w:p>
    <w:p>
      <w:pPr>
        <w:pStyle w:val="10"/>
        <w:widowControl/>
        <w:spacing w:before="0" w:beforeAutospacing="0" w:after="0" w:afterAutospacing="0" w:line="700" w:lineRule="exact"/>
        <w:jc w:val="both"/>
        <w:rPr>
          <w:rFonts w:ascii="黑体" w:hAnsi="黑体" w:eastAsia="黑体" w:cs="黑体"/>
          <w:sz w:val="32"/>
          <w:szCs w:val="32"/>
        </w:rPr>
      </w:pPr>
      <w:r>
        <w:rPr>
          <w:rFonts w:ascii="黑体" w:hAnsi="黑体" w:eastAsia="黑体" w:cs="黑体"/>
          <w:sz w:val="32"/>
          <w:szCs w:val="32"/>
        </w:rPr>
        <w:t>编  辑：刘亚玲、曾淑娟</w:t>
      </w:r>
    </w:p>
    <w:p>
      <w:pPr>
        <w:pStyle w:val="10"/>
        <w:widowControl/>
        <w:spacing w:before="0" w:beforeAutospacing="0" w:after="0" w:afterAutospacing="0" w:line="700" w:lineRule="exact"/>
        <w:jc w:val="both"/>
        <w:rPr>
          <w:rFonts w:ascii="黑体" w:hAnsi="黑体" w:eastAsia="黑体" w:cs="黑体"/>
          <w:sz w:val="32"/>
          <w:szCs w:val="32"/>
        </w:rPr>
      </w:pPr>
      <w:r>
        <w:rPr>
          <w:rFonts w:ascii="黑体" w:hAnsi="黑体" w:eastAsia="黑体" w:cs="黑体"/>
          <w:sz w:val="32"/>
          <w:szCs w:val="32"/>
          <w:u w:val="double"/>
        </w:rPr>
        <w:t>双牌县人民政府办公室                  2024年第1-2期</w:t>
      </w:r>
    </w:p>
    <w:p>
      <w:pPr>
        <w:pStyle w:val="10"/>
        <w:widowControl/>
        <w:spacing w:before="0" w:beforeAutospacing="0" w:after="0" w:afterAutospacing="0" w:line="600" w:lineRule="exact"/>
        <w:jc w:val="center"/>
        <w:rPr>
          <w:rFonts w:ascii="黑体" w:hAnsi="黑体" w:eastAsia="黑体" w:cs="黑体"/>
          <w:sz w:val="44"/>
          <w:szCs w:val="44"/>
        </w:rPr>
      </w:pPr>
    </w:p>
    <w:p>
      <w:pPr>
        <w:pStyle w:val="10"/>
        <w:widowControl/>
        <w:spacing w:beforeAutospacing="0" w:afterAutospacing="0" w:line="600" w:lineRule="exact"/>
        <w:jc w:val="center"/>
        <w:rPr>
          <w:rFonts w:ascii="黑体" w:hAnsi="黑体" w:eastAsia="黑体" w:cs="黑体"/>
          <w:sz w:val="44"/>
          <w:szCs w:val="44"/>
        </w:rPr>
      </w:pPr>
      <w:r>
        <w:rPr>
          <w:rFonts w:hint="eastAsia" w:ascii="黑体" w:hAnsi="黑体" w:eastAsia="黑体" w:cs="黑体"/>
          <w:sz w:val="44"/>
          <w:szCs w:val="44"/>
        </w:rPr>
        <w:t>目     录</w:t>
      </w:r>
    </w:p>
    <w:p>
      <w:pPr>
        <w:pStyle w:val="11"/>
        <w:spacing w:after="0" w:line="640" w:lineRule="exact"/>
        <w:ind w:firstLine="0" w:firstLineChars="0"/>
        <w:rPr>
          <w:rFonts w:ascii="黑体" w:hAnsi="黑体" w:eastAsia="黑体" w:cs="黑体"/>
          <w:kern w:val="0"/>
          <w:sz w:val="32"/>
          <w:szCs w:val="32"/>
        </w:rPr>
      </w:pPr>
      <w:r>
        <w:rPr>
          <w:rFonts w:hint="eastAsia" w:ascii="黑体" w:hAnsi="黑体" w:eastAsia="黑体" w:cs="黑体"/>
          <w:kern w:val="0"/>
          <w:sz w:val="32"/>
          <w:szCs w:val="32"/>
        </w:rPr>
        <w:t>【</w:t>
      </w:r>
      <w:r>
        <w:rPr>
          <w:rFonts w:ascii="黑体" w:hAnsi="黑体" w:eastAsia="黑体" w:cs="黑体"/>
          <w:kern w:val="0"/>
          <w:sz w:val="32"/>
          <w:szCs w:val="32"/>
        </w:rPr>
        <w:t>重要政务</w:t>
      </w:r>
      <w:r>
        <w:rPr>
          <w:rFonts w:hint="eastAsia" w:ascii="黑体" w:hAnsi="黑体" w:eastAsia="黑体" w:cs="黑体"/>
          <w:kern w:val="0"/>
          <w:sz w:val="32"/>
          <w:szCs w:val="32"/>
        </w:rPr>
        <w:t>】</w:t>
      </w:r>
    </w:p>
    <w:p>
      <w:pPr>
        <w:spacing w:line="640" w:lineRule="exact"/>
        <w:jc w:val="left"/>
        <w:rPr>
          <w:rFonts w:ascii="仿宋_GB2312" w:hAnsi="仿宋_GB2312" w:eastAsia="仿宋_GB2312" w:cs="仿宋_GB2312"/>
          <w:sz w:val="32"/>
          <w:szCs w:val="32"/>
        </w:rPr>
      </w:pPr>
      <w:r>
        <w:rPr>
          <w:rFonts w:ascii="仿宋_GB2312" w:hAnsi="仿宋_GB2312" w:eastAsia="仿宋_GB2312" w:cs="仿宋_GB2312"/>
          <w:sz w:val="32"/>
          <w:szCs w:val="32"/>
        </w:rPr>
        <w:t>政府工作报告</w:t>
      </w:r>
    </w:p>
    <w:p>
      <w:pPr>
        <w:spacing w:line="640" w:lineRule="exact"/>
        <w:jc w:val="left"/>
        <w:rPr>
          <w:rFonts w:ascii="仿宋_GB2312" w:hAnsi="仿宋_GB2312" w:eastAsia="仿宋_GB2312" w:cs="仿宋_GB2312"/>
          <w:sz w:val="32"/>
          <w:szCs w:val="32"/>
        </w:rPr>
      </w:pPr>
      <w:r>
        <w:rPr>
          <w:rFonts w:ascii="仿宋_GB2312" w:hAnsi="仿宋_GB2312" w:eastAsia="仿宋_GB2312" w:cs="仿宋_GB2312"/>
          <w:sz w:val="32"/>
          <w:szCs w:val="32"/>
        </w:rPr>
        <w:t>——</w:t>
      </w:r>
      <w:r>
        <w:rPr>
          <w:rFonts w:hint="eastAsia" w:ascii="仿宋_GB2312" w:hAnsi="仿宋_GB2312" w:eastAsia="仿宋_GB2312" w:cs="仿宋_GB2312"/>
          <w:sz w:val="32"/>
          <w:szCs w:val="32"/>
        </w:rPr>
        <w:t>2024年3月10日在双牌县第十三届人民代表大会第四次会议上</w:t>
      </w:r>
    </w:p>
    <w:p>
      <w:pPr>
        <w:spacing w:line="640" w:lineRule="exact"/>
        <w:jc w:val="left"/>
        <w:rPr>
          <w:rFonts w:ascii="仿宋_GB2312" w:hAnsi="仿宋_GB2312" w:eastAsia="仿宋_GB2312" w:cs="仿宋_GB2312"/>
          <w:snapToGrid w:val="0"/>
          <w:position w:val="4"/>
          <w:sz w:val="32"/>
          <w:szCs w:val="32"/>
        </w:rPr>
      </w:pPr>
      <w:r>
        <w:rPr>
          <w:rFonts w:ascii="仿宋_GB2312" w:hAnsi="仿宋_GB2312" w:eastAsia="仿宋_GB2312" w:cs="仿宋_GB2312"/>
          <w:sz w:val="32"/>
          <w:szCs w:val="32"/>
        </w:rPr>
        <w:t>双牌县人民政府县长 蔡富强</w:t>
      </w:r>
      <w:r>
        <w:rPr>
          <w:rFonts w:hint="eastAsia" w:ascii="仿宋_GB2312" w:hAnsi="仿宋_GB2312" w:eastAsia="仿宋_GB2312" w:cs="仿宋_GB2312"/>
          <w:snapToGrid w:val="0"/>
          <w:position w:val="4"/>
          <w:sz w:val="32"/>
          <w:szCs w:val="32"/>
        </w:rPr>
        <w:t>…………………………………</w:t>
      </w:r>
      <w:r>
        <w:rPr>
          <w:rFonts w:ascii="仿宋_GB2312" w:hAnsi="仿宋_GB2312" w:eastAsia="仿宋_GB2312" w:cs="仿宋_GB2312"/>
          <w:snapToGrid w:val="0"/>
          <w:position w:val="4"/>
          <w:sz w:val="32"/>
          <w:szCs w:val="32"/>
        </w:rPr>
        <w:t>1</w:t>
      </w:r>
    </w:p>
    <w:p>
      <w:pPr>
        <w:spacing w:line="640" w:lineRule="exact"/>
        <w:jc w:val="left"/>
        <w:rPr>
          <w:rFonts w:ascii="仿宋_GB2312" w:hAnsi="仿宋_GB2312" w:eastAsia="仿宋_GB2312" w:cs="仿宋_GB2312"/>
          <w:snapToGrid w:val="0"/>
          <w:position w:val="4"/>
          <w:sz w:val="32"/>
          <w:szCs w:val="32"/>
        </w:rPr>
      </w:pPr>
    </w:p>
    <w:p>
      <w:pPr>
        <w:spacing w:line="640" w:lineRule="exact"/>
        <w:jc w:val="left"/>
        <w:rPr>
          <w:rFonts w:ascii="仿宋_GB2312" w:hAnsi="仿宋_GB2312" w:eastAsia="仿宋_GB2312" w:cs="仿宋_GB2312"/>
          <w:snapToGrid w:val="0"/>
          <w:position w:val="4"/>
          <w:sz w:val="32"/>
          <w:szCs w:val="32"/>
        </w:rPr>
      </w:pPr>
    </w:p>
    <w:p>
      <w:pPr>
        <w:spacing w:line="640" w:lineRule="exact"/>
        <w:jc w:val="left"/>
        <w:rPr>
          <w:rFonts w:ascii="仿宋_GB2312" w:hAnsi="仿宋_GB2312" w:eastAsia="仿宋_GB2312" w:cs="仿宋_GB2312"/>
          <w:snapToGrid w:val="0"/>
          <w:position w:val="4"/>
          <w:sz w:val="32"/>
          <w:szCs w:val="32"/>
        </w:rPr>
      </w:pPr>
    </w:p>
    <w:p>
      <w:pPr>
        <w:spacing w:line="640" w:lineRule="exact"/>
        <w:jc w:val="left"/>
        <w:rPr>
          <w:rFonts w:ascii="黑体" w:hAnsi="黑体" w:eastAsia="黑体" w:cs="黑体"/>
          <w:kern w:val="0"/>
          <w:sz w:val="36"/>
          <w:szCs w:val="36"/>
        </w:rPr>
      </w:pPr>
      <w:r>
        <w:rPr>
          <w:rFonts w:ascii="黑体" w:hAnsi="黑体" w:eastAsia="黑体" w:cs="黑体"/>
          <w:kern w:val="0"/>
          <w:sz w:val="36"/>
          <w:szCs w:val="36"/>
        </w:rPr>
        <w:t xml:space="preserve">发布政令 </w:t>
      </w:r>
      <w:r>
        <w:rPr>
          <w:rFonts w:hint="eastAsia" w:ascii="黑体" w:hAnsi="黑体" w:eastAsia="黑体" w:cs="黑体"/>
          <w:kern w:val="0"/>
          <w:sz w:val="36"/>
          <w:szCs w:val="36"/>
        </w:rPr>
        <w:t xml:space="preserve">    </w:t>
      </w:r>
      <w:r>
        <w:rPr>
          <w:rFonts w:ascii="黑体" w:hAnsi="黑体" w:eastAsia="黑体" w:cs="黑体"/>
          <w:kern w:val="0"/>
          <w:sz w:val="36"/>
          <w:szCs w:val="36"/>
        </w:rPr>
        <w:t>公开政务</w:t>
      </w:r>
      <w:r>
        <w:rPr>
          <w:rFonts w:hint="eastAsia" w:ascii="黑体" w:hAnsi="黑体" w:eastAsia="黑体" w:cs="黑体"/>
          <w:kern w:val="0"/>
          <w:sz w:val="36"/>
          <w:szCs w:val="36"/>
        </w:rPr>
        <w:t xml:space="preserve">     </w:t>
      </w:r>
      <w:r>
        <w:rPr>
          <w:rFonts w:ascii="黑体" w:hAnsi="黑体" w:eastAsia="黑体" w:cs="黑体"/>
          <w:kern w:val="0"/>
          <w:sz w:val="36"/>
          <w:szCs w:val="36"/>
        </w:rPr>
        <w:t>指导工作</w:t>
      </w:r>
      <w:r>
        <w:rPr>
          <w:rFonts w:hint="eastAsia" w:ascii="黑体" w:hAnsi="黑体" w:eastAsia="黑体" w:cs="黑体"/>
          <w:kern w:val="0"/>
          <w:sz w:val="36"/>
          <w:szCs w:val="36"/>
        </w:rPr>
        <w:t xml:space="preserve">     </w:t>
      </w:r>
      <w:r>
        <w:rPr>
          <w:rFonts w:ascii="黑体" w:hAnsi="黑体" w:eastAsia="黑体" w:cs="黑体"/>
          <w:kern w:val="0"/>
          <w:sz w:val="36"/>
          <w:szCs w:val="36"/>
        </w:rPr>
        <w:t>服务社会</w:t>
      </w:r>
    </w:p>
    <w:p>
      <w:pPr>
        <w:pStyle w:val="11"/>
        <w:spacing w:after="0" w:line="860" w:lineRule="exact"/>
        <w:ind w:firstLine="0" w:firstLineChars="0"/>
        <w:rPr>
          <w:rFonts w:ascii="黑体" w:hAnsi="黑体" w:eastAsia="黑体" w:cs="黑体"/>
          <w:kern w:val="0"/>
          <w:sz w:val="32"/>
          <w:szCs w:val="32"/>
        </w:rPr>
      </w:pPr>
      <w:r>
        <w:rPr>
          <w:rFonts w:hint="eastAsia" w:ascii="黑体" w:hAnsi="黑体" w:eastAsia="黑体" w:cs="黑体"/>
          <w:kern w:val="0"/>
          <w:sz w:val="32"/>
          <w:szCs w:val="32"/>
        </w:rPr>
        <w:t>【</w:t>
      </w:r>
      <w:r>
        <w:rPr>
          <w:rFonts w:ascii="黑体" w:hAnsi="黑体" w:eastAsia="黑体" w:cs="黑体"/>
          <w:kern w:val="0"/>
          <w:sz w:val="32"/>
          <w:szCs w:val="32"/>
        </w:rPr>
        <w:t>县人民政府文件</w:t>
      </w:r>
      <w:r>
        <w:rPr>
          <w:rFonts w:hint="eastAsia" w:ascii="黑体" w:hAnsi="黑体" w:eastAsia="黑体" w:cs="黑体"/>
          <w:kern w:val="0"/>
          <w:sz w:val="32"/>
          <w:szCs w:val="32"/>
        </w:rPr>
        <w:t>】</w:t>
      </w:r>
    </w:p>
    <w:p>
      <w:pPr>
        <w:spacing w:line="620" w:lineRule="exact"/>
        <w:rPr>
          <w:rFonts w:ascii="仿宋_GB2312" w:hAnsi="仿宋_GB2312" w:eastAsia="仿宋_GB2312" w:cs="仿宋_GB2312"/>
          <w:snapToGrid w:val="0"/>
          <w:position w:val="4"/>
          <w:sz w:val="32"/>
          <w:szCs w:val="32"/>
        </w:rPr>
      </w:pPr>
      <w:r>
        <w:rPr>
          <w:rFonts w:ascii="仿宋_GB2312" w:hAnsi="仿宋_GB2312" w:eastAsia="仿宋_GB2312" w:cs="仿宋_GB2312"/>
          <w:snapToGrid w:val="0"/>
          <w:position w:val="4"/>
          <w:sz w:val="32"/>
          <w:szCs w:val="32"/>
        </w:rPr>
        <w:t>双牌县人民政府</w:t>
      </w:r>
      <w:r>
        <w:rPr>
          <w:rFonts w:hint="eastAsia" w:ascii="仿宋_GB2312" w:hAnsi="仿宋_GB2312" w:eastAsia="仿宋_GB2312" w:cs="仿宋_GB2312"/>
          <w:snapToGrid w:val="0"/>
          <w:position w:val="4"/>
          <w:sz w:val="32"/>
          <w:szCs w:val="32"/>
        </w:rPr>
        <w:t>关于印发《双牌县碳达峰行动方案》的通知</w:t>
      </w:r>
    </w:p>
    <w:p>
      <w:pPr>
        <w:spacing w:line="620" w:lineRule="exact"/>
        <w:rPr>
          <w:rFonts w:ascii="黑体" w:hAnsi="黑体" w:eastAsia="黑体" w:cs="黑体"/>
          <w:kern w:val="0"/>
          <w:sz w:val="32"/>
          <w:szCs w:val="32"/>
        </w:rPr>
      </w:pPr>
      <w:r>
        <w:rPr>
          <w:rFonts w:ascii="仿宋_GB2312" w:hAnsi="仿宋_GB2312" w:eastAsia="仿宋_GB2312" w:cs="仿宋_GB2312"/>
          <w:snapToGrid w:val="0"/>
          <w:position w:val="4"/>
          <w:sz w:val="32"/>
          <w:szCs w:val="32"/>
        </w:rPr>
        <w:t>（</w:t>
      </w:r>
      <w:r>
        <w:rPr>
          <w:rFonts w:hint="eastAsia" w:ascii="仿宋_GB2312" w:hAnsi="仿宋_GB2312" w:eastAsia="仿宋_GB2312" w:cs="仿宋_GB2312"/>
          <w:snapToGrid w:val="0"/>
          <w:position w:val="4"/>
          <w:sz w:val="32"/>
          <w:szCs w:val="32"/>
        </w:rPr>
        <w:t>双政发〔202</w:t>
      </w:r>
      <w:r>
        <w:rPr>
          <w:rFonts w:ascii="仿宋_GB2312" w:hAnsi="仿宋_GB2312" w:eastAsia="仿宋_GB2312" w:cs="仿宋_GB2312"/>
          <w:snapToGrid w:val="0"/>
          <w:position w:val="4"/>
          <w:sz w:val="32"/>
          <w:szCs w:val="32"/>
        </w:rPr>
        <w:t>4</w:t>
      </w:r>
      <w:r>
        <w:rPr>
          <w:rFonts w:hint="eastAsia" w:ascii="仿宋_GB2312" w:hAnsi="仿宋_GB2312" w:eastAsia="仿宋_GB2312" w:cs="仿宋_GB2312"/>
          <w:snapToGrid w:val="0"/>
          <w:position w:val="4"/>
          <w:sz w:val="32"/>
          <w:szCs w:val="32"/>
        </w:rPr>
        <w:t>〕</w:t>
      </w:r>
      <w:r>
        <w:rPr>
          <w:rFonts w:ascii="仿宋_GB2312" w:hAnsi="仿宋_GB2312" w:eastAsia="仿宋_GB2312" w:cs="仿宋_GB2312"/>
          <w:snapToGrid w:val="0"/>
          <w:position w:val="4"/>
          <w:sz w:val="32"/>
          <w:szCs w:val="32"/>
        </w:rPr>
        <w:t>1</w:t>
      </w:r>
      <w:r>
        <w:rPr>
          <w:rFonts w:hint="eastAsia" w:ascii="仿宋_GB2312" w:hAnsi="仿宋_GB2312" w:eastAsia="仿宋_GB2312" w:cs="仿宋_GB2312"/>
          <w:snapToGrid w:val="0"/>
          <w:position w:val="4"/>
          <w:sz w:val="32"/>
          <w:szCs w:val="32"/>
        </w:rPr>
        <w:t>号SPDR-2024-00001</w:t>
      </w:r>
      <w:r>
        <w:rPr>
          <w:rFonts w:ascii="仿宋_GB2312" w:hAnsi="仿宋_GB2312" w:eastAsia="仿宋_GB2312" w:cs="仿宋_GB2312"/>
          <w:snapToGrid w:val="0"/>
          <w:position w:val="4"/>
          <w:sz w:val="32"/>
          <w:szCs w:val="32"/>
        </w:rPr>
        <w:t>）……………………26</w:t>
      </w:r>
    </w:p>
    <w:p>
      <w:pPr>
        <w:pStyle w:val="11"/>
        <w:spacing w:after="0" w:line="620" w:lineRule="exact"/>
        <w:ind w:firstLine="0" w:firstLineChars="0"/>
        <w:rPr>
          <w:rFonts w:ascii="黑体" w:hAnsi="黑体" w:eastAsia="黑体" w:cs="黑体"/>
          <w:kern w:val="0"/>
          <w:sz w:val="32"/>
          <w:szCs w:val="32"/>
        </w:rPr>
      </w:pPr>
      <w:r>
        <w:rPr>
          <w:rFonts w:hint="eastAsia" w:ascii="黑体" w:hAnsi="黑体" w:eastAsia="黑体" w:cs="黑体"/>
          <w:kern w:val="0"/>
          <w:sz w:val="32"/>
          <w:szCs w:val="32"/>
        </w:rPr>
        <w:t>【</w:t>
      </w:r>
      <w:r>
        <w:rPr>
          <w:rFonts w:ascii="黑体" w:hAnsi="黑体" w:eastAsia="黑体" w:cs="黑体"/>
          <w:kern w:val="0"/>
          <w:sz w:val="32"/>
          <w:szCs w:val="32"/>
        </w:rPr>
        <w:t>县人民政府办公室文件</w:t>
      </w:r>
      <w:r>
        <w:rPr>
          <w:rFonts w:hint="eastAsia" w:ascii="黑体" w:hAnsi="黑体" w:eastAsia="黑体" w:cs="黑体"/>
          <w:kern w:val="0"/>
          <w:sz w:val="32"/>
          <w:szCs w:val="32"/>
        </w:rPr>
        <w:t>】</w:t>
      </w:r>
    </w:p>
    <w:p>
      <w:pPr>
        <w:spacing w:line="62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双牌县人民政府办公室关于印发《双牌县促进旅游发展十条措施（试行）》的通知 </w:t>
      </w:r>
    </w:p>
    <w:p>
      <w:pPr>
        <w:spacing w:line="620" w:lineRule="exact"/>
        <w:jc w:val="left"/>
        <w:rPr>
          <w:rFonts w:ascii="黑体" w:hAnsi="黑体" w:eastAsia="黑体"/>
          <w:sz w:val="32"/>
          <w:szCs w:val="32"/>
        </w:rPr>
      </w:pPr>
      <w:r>
        <w:rPr>
          <w:rFonts w:ascii="仿宋_GB2312" w:hAnsi="仿宋_GB2312" w:eastAsia="仿宋_GB2312" w:cs="仿宋_GB2312"/>
          <w:snapToGrid w:val="0"/>
          <w:position w:val="4"/>
          <w:sz w:val="32"/>
          <w:szCs w:val="32"/>
        </w:rPr>
        <w:t>（</w:t>
      </w:r>
      <w:r>
        <w:rPr>
          <w:rFonts w:hint="eastAsia" w:ascii="仿宋_GB2312" w:hAnsi="仿宋_GB2312" w:eastAsia="仿宋_GB2312" w:cs="仿宋_GB2312"/>
          <w:snapToGrid w:val="0"/>
          <w:position w:val="4"/>
          <w:sz w:val="32"/>
          <w:szCs w:val="32"/>
        </w:rPr>
        <w:t>双政办发〔202</w:t>
      </w:r>
      <w:r>
        <w:rPr>
          <w:rFonts w:ascii="仿宋_GB2312" w:hAnsi="仿宋_GB2312" w:eastAsia="仿宋_GB2312" w:cs="仿宋_GB2312"/>
          <w:snapToGrid w:val="0"/>
          <w:position w:val="4"/>
          <w:sz w:val="32"/>
          <w:szCs w:val="32"/>
        </w:rPr>
        <w:t>4</w:t>
      </w:r>
      <w:r>
        <w:rPr>
          <w:rFonts w:hint="eastAsia" w:ascii="仿宋_GB2312" w:hAnsi="仿宋_GB2312" w:eastAsia="仿宋_GB2312" w:cs="仿宋_GB2312"/>
          <w:snapToGrid w:val="0"/>
          <w:position w:val="4"/>
          <w:sz w:val="32"/>
          <w:szCs w:val="32"/>
        </w:rPr>
        <w:t>〕</w:t>
      </w:r>
      <w:r>
        <w:rPr>
          <w:rFonts w:ascii="仿宋_GB2312" w:hAnsi="仿宋_GB2312" w:eastAsia="仿宋_GB2312" w:cs="仿宋_GB2312"/>
          <w:snapToGrid w:val="0"/>
          <w:position w:val="4"/>
          <w:sz w:val="32"/>
          <w:szCs w:val="32"/>
        </w:rPr>
        <w:t>1</w:t>
      </w:r>
      <w:r>
        <w:rPr>
          <w:rFonts w:hint="eastAsia" w:ascii="仿宋_GB2312" w:hAnsi="仿宋_GB2312" w:eastAsia="仿宋_GB2312" w:cs="仿宋_GB2312"/>
          <w:snapToGrid w:val="0"/>
          <w:position w:val="4"/>
          <w:sz w:val="32"/>
          <w:szCs w:val="32"/>
        </w:rPr>
        <w:t>号SPDR-2024-01001</w:t>
      </w:r>
      <w:r>
        <w:rPr>
          <w:rFonts w:ascii="仿宋_GB2312" w:hAnsi="仿宋_GB2312" w:eastAsia="仿宋_GB2312" w:cs="仿宋_GB2312"/>
          <w:snapToGrid w:val="0"/>
          <w:position w:val="4"/>
          <w:sz w:val="32"/>
          <w:szCs w:val="32"/>
        </w:rPr>
        <w:t>）………………48</w:t>
      </w:r>
    </w:p>
    <w:p>
      <w:pPr>
        <w:pStyle w:val="11"/>
        <w:spacing w:line="620" w:lineRule="exact"/>
        <w:ind w:firstLine="0" w:firstLineChars="0"/>
        <w:jc w:val="left"/>
        <w:rPr>
          <w:rFonts w:ascii="黑体" w:hAnsi="黑体" w:eastAsia="黑体" w:cs="黑体"/>
          <w:kern w:val="0"/>
          <w:sz w:val="32"/>
          <w:szCs w:val="32"/>
        </w:rPr>
      </w:pPr>
      <w:r>
        <w:rPr>
          <w:rFonts w:hint="eastAsia" w:ascii="黑体" w:hAnsi="黑体" w:eastAsia="黑体" w:cs="黑体"/>
          <w:kern w:val="0"/>
          <w:sz w:val="32"/>
          <w:szCs w:val="32"/>
        </w:rPr>
        <w:t>【</w:t>
      </w:r>
      <w:r>
        <w:rPr>
          <w:rFonts w:ascii="黑体" w:hAnsi="黑体" w:eastAsia="黑体" w:cs="黑体"/>
          <w:kern w:val="0"/>
          <w:sz w:val="32"/>
          <w:szCs w:val="32"/>
        </w:rPr>
        <w:t>人事任免文件</w:t>
      </w:r>
      <w:r>
        <w:rPr>
          <w:rFonts w:hint="eastAsia" w:ascii="黑体" w:hAnsi="黑体" w:eastAsia="黑体" w:cs="黑体"/>
          <w:kern w:val="0"/>
          <w:sz w:val="32"/>
          <w:szCs w:val="32"/>
        </w:rPr>
        <w:t>】</w:t>
      </w:r>
    </w:p>
    <w:p>
      <w:pPr>
        <w:spacing w:line="620" w:lineRule="exact"/>
        <w:jc w:val="left"/>
        <w:rPr>
          <w:rFonts w:ascii="仿宋_GB2312" w:eastAsia="仿宋_GB2312" w:cs="Times New Roman"/>
          <w:sz w:val="32"/>
          <w:szCs w:val="32"/>
        </w:rPr>
      </w:pPr>
      <w:r>
        <w:rPr>
          <w:rFonts w:hint="eastAsia" w:ascii="仿宋_GB2312" w:eastAsia="仿宋_GB2312" w:cs="Times New Roman"/>
          <w:sz w:val="32"/>
          <w:szCs w:val="32"/>
        </w:rPr>
        <w:t>双牌县人民政府关于屈艳斌等同志职务任免的通知</w:t>
      </w:r>
    </w:p>
    <w:p>
      <w:pPr>
        <w:spacing w:line="620" w:lineRule="exact"/>
        <w:jc w:val="left"/>
        <w:rPr>
          <w:rFonts w:ascii="仿宋_GB2312" w:hAnsi="仿宋_GB2312" w:eastAsia="仿宋_GB2312" w:cs="仿宋_GB2312"/>
          <w:snapToGrid w:val="0"/>
          <w:position w:val="4"/>
          <w:sz w:val="32"/>
          <w:szCs w:val="32"/>
        </w:rPr>
      </w:pPr>
      <w:r>
        <w:rPr>
          <w:rFonts w:ascii="仿宋_GB2312" w:eastAsia="仿宋_GB2312" w:cs="Times New Roman"/>
          <w:sz w:val="32"/>
          <w:szCs w:val="32"/>
        </w:rPr>
        <w:t>(</w:t>
      </w:r>
      <w:r>
        <w:rPr>
          <w:rFonts w:hint="eastAsia" w:ascii="仿宋_GB2312" w:eastAsia="仿宋_GB2312" w:cs="Times New Roman"/>
          <w:sz w:val="32"/>
          <w:szCs w:val="32"/>
        </w:rPr>
        <w:t>双政人〔20</w:t>
      </w:r>
      <w:r>
        <w:rPr>
          <w:rFonts w:hint="eastAsia" w:ascii="仿宋_GB2312" w:eastAsia="仿宋_GB2312"/>
          <w:sz w:val="32"/>
          <w:szCs w:val="32"/>
        </w:rPr>
        <w:t>2</w:t>
      </w:r>
      <w:r>
        <w:rPr>
          <w:rFonts w:ascii="仿宋_GB2312" w:eastAsia="仿宋_GB2312"/>
          <w:sz w:val="32"/>
          <w:szCs w:val="32"/>
        </w:rPr>
        <w:t>4</w:t>
      </w:r>
      <w:r>
        <w:rPr>
          <w:rFonts w:hint="eastAsia" w:ascii="仿宋_GB2312" w:eastAsia="仿宋_GB2312" w:cs="Times New Roman"/>
          <w:sz w:val="32"/>
          <w:szCs w:val="32"/>
        </w:rPr>
        <w:t>〕</w:t>
      </w:r>
      <w:r>
        <w:rPr>
          <w:rFonts w:ascii="仿宋_GB2312" w:eastAsia="仿宋_GB2312" w:cs="Times New Roman"/>
          <w:sz w:val="32"/>
          <w:szCs w:val="32"/>
        </w:rPr>
        <w:t>1</w:t>
      </w:r>
      <w:r>
        <w:rPr>
          <w:rFonts w:hint="eastAsia" w:ascii="仿宋_GB2312" w:eastAsia="仿宋_GB2312" w:cs="Times New Roman"/>
          <w:sz w:val="32"/>
          <w:szCs w:val="32"/>
        </w:rPr>
        <w:t>号</w:t>
      </w:r>
      <w:r>
        <w:rPr>
          <w:rFonts w:ascii="仿宋_GB2312" w:eastAsia="仿宋_GB2312" w:cs="Times New Roman"/>
          <w:sz w:val="32"/>
          <w:szCs w:val="32"/>
        </w:rPr>
        <w:t>)</w:t>
      </w:r>
      <w:r>
        <w:rPr>
          <w:rFonts w:ascii="仿宋_GB2312" w:hAnsi="仿宋_GB2312" w:eastAsia="仿宋_GB2312" w:cs="仿宋_GB2312"/>
          <w:snapToGrid w:val="0"/>
          <w:position w:val="4"/>
          <w:sz w:val="32"/>
          <w:szCs w:val="32"/>
        </w:rPr>
        <w:t>…………………………………………56</w:t>
      </w:r>
    </w:p>
    <w:p>
      <w:pPr>
        <w:pStyle w:val="2"/>
      </w:pPr>
    </w:p>
    <w:p/>
    <w:p>
      <w:pPr>
        <w:pStyle w:val="2"/>
      </w:pPr>
    </w:p>
    <w:p/>
    <w:p>
      <w:pPr>
        <w:pStyle w:val="2"/>
      </w:pPr>
    </w:p>
    <w:p/>
    <w:p>
      <w:pPr>
        <w:pStyle w:val="2"/>
      </w:pPr>
    </w:p>
    <w:p/>
    <w:p>
      <w:pPr>
        <w:pStyle w:val="2"/>
      </w:pPr>
    </w:p>
    <w:p/>
    <w:p>
      <w:pPr>
        <w:pStyle w:val="2"/>
      </w:pPr>
    </w:p>
    <w:p/>
    <w:p>
      <w:pPr>
        <w:pStyle w:val="2"/>
      </w:pPr>
    </w:p>
    <w:p/>
    <w:p>
      <w:pPr>
        <w:pStyle w:val="2"/>
        <w:sectPr>
          <w:footerReference r:id="rId3" w:type="default"/>
          <w:footerReference r:id="rId4" w:type="even"/>
          <w:pgSz w:w="11906" w:h="16838"/>
          <w:pgMar w:top="1588" w:right="1701" w:bottom="1474" w:left="1701" w:header="851" w:footer="992" w:gutter="0"/>
          <w:pgNumType w:fmt="numberInDash" w:start="1"/>
          <w:cols w:space="425" w:num="1"/>
          <w:titlePg/>
          <w:docGrid w:type="lines" w:linePitch="312" w:charSpace="0"/>
        </w:sectPr>
      </w:pPr>
    </w:p>
    <w:p>
      <w:pPr>
        <w:spacing w:line="140" w:lineRule="exact"/>
        <w:jc w:val="center"/>
        <w:rPr>
          <w:rFonts w:ascii="方正大标宋_GBK" w:hAnsi="黑体" w:eastAsia="方正大标宋_GBK" w:cs="黑体"/>
          <w:sz w:val="44"/>
          <w:szCs w:val="44"/>
        </w:rPr>
      </w:pPr>
      <w:r>
        <w:rPr>
          <w:sz w:val="44"/>
          <w:szCs w:val="44"/>
        </w:rPr>
        <w:pict>
          <v:shape id="_x0000_s1026" o:spid="_x0000_s1026" o:spt="202" type="#_x0000_t202" style="position:absolute;left:0pt;margin-left:-26.25pt;margin-top:-50.6pt;height:25.55pt;width:477.6pt;z-index:251630592;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p>
    <w:p>
      <w:pPr>
        <w:spacing w:line="600" w:lineRule="exact"/>
        <w:jc w:val="center"/>
        <w:rPr>
          <w:rFonts w:ascii="方正大标宋_GBK" w:hAnsi="黑体" w:eastAsia="方正大标宋_GBK" w:cs="黑体"/>
          <w:sz w:val="44"/>
          <w:szCs w:val="44"/>
        </w:rPr>
      </w:pPr>
      <w:r>
        <w:rPr>
          <w:rFonts w:hint="eastAsia" w:ascii="方正大标宋_GBK" w:hAnsi="黑体" w:eastAsia="方正大标宋_GBK" w:cs="黑体"/>
          <w:sz w:val="44"/>
          <w:szCs w:val="44"/>
        </w:rPr>
        <w:t xml:space="preserve">政 府 </w:t>
      </w:r>
      <w:r>
        <w:rPr>
          <w:rFonts w:ascii="方正大标宋_GBK" w:hAnsi="黑体" w:eastAsia="方正大标宋_GBK" w:cs="黑体"/>
          <w:sz w:val="44"/>
          <w:szCs w:val="44"/>
        </w:rPr>
        <w:t>工</w:t>
      </w:r>
      <w:r>
        <w:rPr>
          <w:rFonts w:hint="eastAsia" w:ascii="方正大标宋_GBK" w:hAnsi="黑体" w:eastAsia="方正大标宋_GBK" w:cs="黑体"/>
          <w:sz w:val="44"/>
          <w:szCs w:val="44"/>
        </w:rPr>
        <w:t xml:space="preserve"> </w:t>
      </w:r>
      <w:r>
        <w:rPr>
          <w:rFonts w:ascii="方正大标宋_GBK" w:hAnsi="黑体" w:eastAsia="方正大标宋_GBK" w:cs="黑体"/>
          <w:sz w:val="44"/>
          <w:szCs w:val="44"/>
        </w:rPr>
        <w:t>作</w:t>
      </w:r>
      <w:r>
        <w:rPr>
          <w:rFonts w:hint="eastAsia" w:ascii="方正大标宋_GBK" w:hAnsi="黑体" w:eastAsia="方正大标宋_GBK" w:cs="黑体"/>
          <w:sz w:val="44"/>
          <w:szCs w:val="44"/>
        </w:rPr>
        <w:t xml:space="preserve"> </w:t>
      </w:r>
      <w:r>
        <w:rPr>
          <w:rFonts w:ascii="方正大标宋_GBK" w:hAnsi="黑体" w:eastAsia="方正大标宋_GBK" w:cs="黑体"/>
          <w:sz w:val="44"/>
          <w:szCs w:val="44"/>
        </w:rPr>
        <w:t>报</w:t>
      </w:r>
      <w:r>
        <w:rPr>
          <w:rFonts w:hint="eastAsia" w:ascii="方正大标宋_GBK" w:hAnsi="黑体" w:eastAsia="方正大标宋_GBK" w:cs="黑体"/>
          <w:sz w:val="44"/>
          <w:szCs w:val="44"/>
        </w:rPr>
        <w:t xml:space="preserve"> </w:t>
      </w:r>
      <w:r>
        <w:rPr>
          <w:rFonts w:ascii="方正大标宋_GBK" w:hAnsi="黑体" w:eastAsia="方正大标宋_GBK" w:cs="黑体"/>
          <w:sz w:val="44"/>
          <w:szCs w:val="44"/>
        </w:rPr>
        <w:t>告</w:t>
      </w:r>
    </w:p>
    <w:p>
      <w:pPr>
        <w:spacing w:line="600" w:lineRule="exact"/>
        <w:jc w:val="center"/>
        <w:rPr>
          <w:rFonts w:ascii="楷体_GB2312" w:hAnsi="黑体" w:eastAsia="楷体_GB2312" w:cs="黑体"/>
          <w:sz w:val="40"/>
          <w:szCs w:val="40"/>
        </w:rPr>
      </w:pPr>
      <w:r>
        <w:rPr>
          <w:rFonts w:hint="eastAsia" w:ascii="楷体_GB2312" w:hAnsi="楷体_GB2312" w:eastAsia="楷体_GB2312"/>
          <w:color w:val="000000"/>
          <w:spacing w:val="-34"/>
          <w:sz w:val="32"/>
          <w:szCs w:val="32"/>
        </w:rPr>
        <w:t>——</w:t>
      </w:r>
      <w:r>
        <w:rPr>
          <w:rFonts w:hint="eastAsia" w:ascii="楷体_GB2312" w:hAnsi="CESI楷体-GB2312" w:eastAsia="楷体_GB2312" w:cs="CESI楷体-GB2312"/>
          <w:color w:val="000000"/>
          <w:sz w:val="28"/>
          <w:szCs w:val="28"/>
        </w:rPr>
        <w:t>2024年3月10日在双牌县第十三届人民代表大会第四次会议上</w:t>
      </w:r>
    </w:p>
    <w:p>
      <w:pPr>
        <w:spacing w:line="580" w:lineRule="exact"/>
        <w:jc w:val="center"/>
        <w:rPr>
          <w:rFonts w:ascii="楷体_GB2312" w:hAnsi="CESI楷体-GB2312" w:eastAsia="楷体_GB2312" w:cs="CESI楷体-GB2312"/>
          <w:color w:val="000000"/>
          <w:sz w:val="32"/>
          <w:szCs w:val="32"/>
        </w:rPr>
      </w:pPr>
      <w:r>
        <w:rPr>
          <w:rFonts w:hint="eastAsia" w:ascii="楷体_GB2312" w:hAnsi="CESI楷体-GB2312" w:eastAsia="楷体_GB2312" w:cs="CESI楷体-GB2312"/>
          <w:color w:val="000000"/>
          <w:sz w:val="32"/>
          <w:szCs w:val="32"/>
        </w:rPr>
        <w:t>县 长  蔡富强</w:t>
      </w:r>
    </w:p>
    <w:p>
      <w:pPr>
        <w:pStyle w:val="17"/>
        <w:spacing w:before="0" w:beforeAutospacing="0" w:after="0" w:afterAutospacing="0"/>
        <w:ind w:left="561"/>
      </w:pPr>
    </w:p>
    <w:p>
      <w:pPr>
        <w:spacing w:line="580" w:lineRule="exact"/>
        <w:rPr>
          <w:rFonts w:ascii="仿宋_GB2312" w:hAnsi="仿宋_GB2312" w:eastAsia="仿宋_GB2312"/>
          <w:color w:val="000000"/>
          <w:sz w:val="32"/>
          <w:szCs w:val="32"/>
        </w:rPr>
        <w:sectPr>
          <w:footerReference r:id="rId5" w:type="first"/>
          <w:pgSz w:w="11906" w:h="16838"/>
          <w:pgMar w:top="1588" w:right="1701" w:bottom="1474" w:left="1701" w:header="851" w:footer="992" w:gutter="0"/>
          <w:pgNumType w:fmt="numberInDash" w:start="1"/>
          <w:cols w:space="425" w:num="1"/>
          <w:titlePg/>
          <w:docGrid w:type="lines" w:linePitch="312" w:charSpace="0"/>
        </w:sectPr>
      </w:pPr>
    </w:p>
    <w:p>
      <w:pPr>
        <w:spacing w:line="560" w:lineRule="exact"/>
        <w:rPr>
          <w:rFonts w:ascii="仿宋_GB2312" w:hAnsi="仿宋_GB2312" w:eastAsia="仿宋_GB2312"/>
          <w:sz w:val="32"/>
          <w:szCs w:val="32"/>
        </w:rPr>
      </w:pPr>
      <w:r>
        <w:rPr>
          <w:rFonts w:hint="eastAsia" w:ascii="仿宋_GB2312" w:hAnsi="仿宋_GB2312" w:eastAsia="仿宋_GB2312" w:cs="仿宋_GB2312"/>
          <w:sz w:val="32"/>
          <w:szCs w:val="32"/>
        </w:rPr>
        <w:t>各位代表：</w:t>
      </w:r>
    </w:p>
    <w:p>
      <w:pPr>
        <w:spacing w:line="560" w:lineRule="exact"/>
        <w:ind w:firstLine="640" w:firstLineChars="200"/>
        <w:rPr>
          <w:rFonts w:ascii="黑体" w:hAnsi="黑体" w:eastAsia="黑体"/>
          <w:sz w:val="32"/>
          <w:szCs w:val="32"/>
        </w:rPr>
      </w:pPr>
      <w:r>
        <w:rPr>
          <w:rFonts w:hint="eastAsia" w:ascii="仿宋_GB2312" w:hAnsi="仿宋_GB2312" w:eastAsia="仿宋_GB2312" w:cs="仿宋_GB2312"/>
          <w:sz w:val="32"/>
          <w:szCs w:val="32"/>
        </w:rPr>
        <w:t>现在，我代表县人民政府，向大会作政府工作报告，请予审议，并请各位政协委员和列席会议的同志提出意见。</w:t>
      </w:r>
    </w:p>
    <w:p>
      <w:pPr>
        <w:spacing w:line="560" w:lineRule="exact"/>
        <w:ind w:firstLine="640" w:firstLineChars="200"/>
        <w:rPr>
          <w:rFonts w:ascii="黑体" w:hAnsi="黑体" w:eastAsia="黑体"/>
          <w:sz w:val="32"/>
          <w:szCs w:val="32"/>
        </w:rPr>
      </w:pPr>
      <w:r>
        <w:rPr>
          <w:rFonts w:hint="eastAsia" w:ascii="黑体" w:hAnsi="黑体" w:eastAsia="黑体" w:cs="黑体"/>
          <w:sz w:val="32"/>
          <w:szCs w:val="32"/>
        </w:rPr>
        <w:t>一、</w:t>
      </w:r>
      <w:r>
        <w:rPr>
          <w:rFonts w:ascii="黑体" w:hAnsi="黑体" w:eastAsia="黑体" w:cs="黑体"/>
          <w:sz w:val="32"/>
          <w:szCs w:val="32"/>
        </w:rPr>
        <w:t>2023</w:t>
      </w:r>
      <w:r>
        <w:rPr>
          <w:rFonts w:hint="eastAsia" w:ascii="黑体" w:hAnsi="黑体" w:eastAsia="黑体" w:cs="黑体"/>
          <w:sz w:val="32"/>
          <w:szCs w:val="32"/>
        </w:rPr>
        <w:t>年工作回顾</w:t>
      </w:r>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过去一年，面对经济下行压力加大和各类风险叠加的困难挑战，全县上下坚持以习近平新时代中国特色社会主义思想为指引，深入贯彻党的二十大精神，认真落实省委省政府、市委市政府决策部署，在县委的坚强领导下，在县人大、县政协的支持监督下，坚决打好“发展六仗”，坚定落实“打造一双王牌，做足两篇文章，努力建设最精最美双牌”发展战略，圆满完成了全年各项目标任务，高质量发展迈出坚实步伐，全县地区生产总值、规模工业增加值、固定资产投资、社会消费品零售总额、地方财政收入等主要经济指标稳步提升、来势看好。商事制度改革、长江十年禁渔、自然资源节约高效利用三项工作获省政府真抓实干表扬激励，为历年最好成绩。</w:t>
      </w:r>
    </w:p>
    <w:p>
      <w:pPr>
        <w:spacing w:line="560" w:lineRule="exact"/>
        <w:ind w:firstLine="642" w:firstLineChars="200"/>
        <w:rPr>
          <w:rFonts w:ascii="仿宋_GB2312" w:hAnsi="仿宋_GB2312" w:eastAsia="仿宋_GB2312"/>
          <w:sz w:val="32"/>
          <w:szCs w:val="32"/>
        </w:rPr>
      </w:pPr>
      <w:r>
        <w:rPr>
          <w:rFonts w:hint="eastAsia" w:ascii="楷体_GB2312" w:hAnsi="楷体_GB2312" w:eastAsia="楷体_GB2312" w:cs="楷体_GB2312"/>
          <w:b/>
          <w:sz w:val="32"/>
          <w:szCs w:val="32"/>
        </w:rPr>
        <w:t>一年来，引进与培育并举，县域经济跨越发展。</w:t>
      </w:r>
      <w:r>
        <w:rPr>
          <w:rFonts w:hint="eastAsia" w:ascii="仿宋_GB2312" w:hAnsi="仿宋_GB2312" w:eastAsia="仿宋_GB2312" w:cs="仿宋_GB2312"/>
          <w:b/>
          <w:sz w:val="32"/>
          <w:szCs w:val="32"/>
        </w:rPr>
        <w:t>文旅康养出圈出彩。</w:t>
      </w:r>
      <w:r>
        <w:rPr>
          <w:rFonts w:hint="eastAsia" w:ascii="仿宋_GB2312" w:hAnsi="仿宋_GB2312" w:eastAsia="仿宋_GB2312" w:cs="仿宋_GB2312"/>
          <w:sz w:val="32"/>
          <w:szCs w:val="32"/>
        </w:rPr>
        <w:t>花千谷·月湖、青龙洞分别成功创建</w:t>
      </w:r>
      <w:r>
        <w:rPr>
          <w:rFonts w:ascii="仿宋_GB2312" w:hAnsi="仿宋_GB2312" w:eastAsia="仿宋_GB2312" w:cs="仿宋_GB2312"/>
          <w:sz w:val="32"/>
          <w:szCs w:val="32"/>
        </w:rPr>
        <w:t>4A</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3A</w:t>
      </w:r>
      <w:r>
        <w:rPr>
          <w:rFonts w:hint="eastAsia" w:ascii="仿宋_GB2312" w:hAnsi="仿宋_GB2312" w:eastAsia="仿宋_GB2312" w:cs="仿宋_GB2312"/>
          <w:sz w:val="32"/>
          <w:szCs w:val="32"/>
        </w:rPr>
        <w:t>景区，阳明山获评全国首批、湖南首个“避暑旅游目的地”</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被授予永州市首家劳模疗休养基地，桐子坳景区入选全国乡村旅游精品路线。成功举办湖南油菜花节（双牌分会场）、阳明山“和”文化旅游节、湖</w:t>
      </w:r>
      <w:r>
        <w:rPr>
          <w:sz w:val="44"/>
          <w:szCs w:val="44"/>
        </w:rPr>
        <w:pict>
          <v:shape id="_x0000_s1105" o:spid="_x0000_s1105" o:spt="202" type="#_x0000_t202" style="position:absolute;left:0pt;margin-left:-25.05pt;margin-top:-53.6pt;height:25.55pt;width:470.55pt;z-index:251655168;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2024年第1-2期</w:t>
                  </w:r>
                </w:p>
              </w:txbxContent>
            </v:textbox>
          </v:shape>
        </w:pict>
      </w:r>
      <w:r>
        <w:rPr>
          <w:rFonts w:hint="eastAsia" w:ascii="仿宋_GB2312" w:hAnsi="仿宋_GB2312" w:eastAsia="仿宋_GB2312" w:cs="仿宋_GB2312"/>
          <w:sz w:val="32"/>
          <w:szCs w:val="32"/>
        </w:rPr>
        <w:t>南省生态旅游节、永州避暑季暨阳明山帐篷露营嘉年华等活动，原创歌曲《走，去永州》引爆全网，“畅享阳明山</w:t>
      </w:r>
      <w:r>
        <w:rPr>
          <w:rFonts w:ascii="仿宋_GB2312" w:hAnsi="仿宋_GB2312" w:eastAsia="仿宋_GB2312" w:cs="仿宋_GB2312"/>
          <w:sz w:val="32"/>
          <w:szCs w:val="32"/>
        </w:rPr>
        <w:t xml:space="preserve"> 22</w:t>
      </w:r>
      <w:r>
        <w:rPr>
          <w:rFonts w:hint="eastAsia" w:ascii="宋体" w:hAnsi="宋体" w:eastAsia="宋体" w:cs="宋体"/>
          <w:sz w:val="32"/>
          <w:szCs w:val="32"/>
        </w:rPr>
        <w:t>℃</w:t>
      </w:r>
      <w:r>
        <w:rPr>
          <w:rFonts w:hint="eastAsia" w:ascii="仿宋_GB2312" w:hAnsi="仿宋_GB2312" w:eastAsia="仿宋_GB2312" w:cs="仿宋_GB2312"/>
          <w:sz w:val="32"/>
          <w:szCs w:val="32"/>
        </w:rPr>
        <w:t>的夏天”“桐子坳的秋”等文旅</w:t>
      </w:r>
      <w:r>
        <w:rPr>
          <w:rFonts w:ascii="仿宋_GB2312" w:hAnsi="仿宋_GB2312" w:eastAsia="仿宋_GB2312" w:cs="仿宋_GB2312"/>
          <w:sz w:val="32"/>
          <w:szCs w:val="32"/>
        </w:rPr>
        <w:t>IP</w:t>
      </w:r>
      <w:r>
        <w:rPr>
          <w:rFonts w:hint="eastAsia" w:ascii="仿宋_GB2312" w:hAnsi="仿宋_GB2312" w:eastAsia="仿宋_GB2312" w:cs="仿宋_GB2312"/>
          <w:sz w:val="32"/>
          <w:szCs w:val="32"/>
        </w:rPr>
        <w:t>持续做强，全年共接待游客</w:t>
      </w:r>
      <w:r>
        <w:rPr>
          <w:rFonts w:ascii="仿宋_GB2312" w:hAnsi="仿宋_GB2312" w:eastAsia="仿宋_GB2312" w:cs="仿宋_GB2312"/>
          <w:sz w:val="32"/>
          <w:szCs w:val="32"/>
        </w:rPr>
        <w:t xml:space="preserve"> 489.02</w:t>
      </w:r>
      <w:r>
        <w:rPr>
          <w:rFonts w:hint="eastAsia" w:ascii="仿宋_GB2312" w:hAnsi="仿宋_GB2312" w:eastAsia="仿宋_GB2312" w:cs="仿宋_GB2312"/>
          <w:sz w:val="32"/>
          <w:szCs w:val="32"/>
        </w:rPr>
        <w:t>万人次，实现旅游综合收入</w:t>
      </w:r>
      <w:r>
        <w:rPr>
          <w:rFonts w:ascii="仿宋_GB2312" w:hAnsi="仿宋_GB2312" w:eastAsia="仿宋_GB2312" w:cs="仿宋_GB2312"/>
          <w:sz w:val="32"/>
          <w:szCs w:val="32"/>
        </w:rPr>
        <w:t>48.62</w:t>
      </w:r>
      <w:r>
        <w:rPr>
          <w:rFonts w:hint="eastAsia" w:ascii="仿宋_GB2312" w:hAnsi="仿宋_GB2312" w:eastAsia="仿宋_GB2312" w:cs="仿宋_GB2312"/>
          <w:sz w:val="32"/>
          <w:szCs w:val="32"/>
        </w:rPr>
        <w:t>亿元，同比分别增长</w:t>
      </w:r>
      <w:r>
        <w:rPr>
          <w:rFonts w:ascii="仿宋_GB2312" w:hAnsi="仿宋_GB2312" w:eastAsia="仿宋_GB2312" w:cs="仿宋_GB2312"/>
          <w:sz w:val="32"/>
          <w:szCs w:val="32"/>
        </w:rPr>
        <w:t>53.1%</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73.14%</w:t>
      </w:r>
      <w:r>
        <w:rPr>
          <w:rFonts w:hint="eastAsia" w:ascii="仿宋_GB2312" w:hAnsi="仿宋_GB2312" w:eastAsia="仿宋_GB2312" w:cs="仿宋_GB2312"/>
          <w:sz w:val="32"/>
          <w:szCs w:val="32"/>
        </w:rPr>
        <w:t>，旅游总收入增速位居全市第一。</w:t>
      </w:r>
      <w:r>
        <w:rPr>
          <w:rFonts w:hint="eastAsia" w:ascii="仿宋_GB2312" w:hAnsi="仿宋_GB2312" w:eastAsia="仿宋_GB2312" w:cs="仿宋_GB2312"/>
          <w:b/>
          <w:sz w:val="32"/>
          <w:szCs w:val="32"/>
        </w:rPr>
        <w:t>竹木产业成势见效。</w:t>
      </w:r>
      <w:r>
        <w:rPr>
          <w:rFonts w:hint="eastAsia" w:ascii="仿宋_GB2312" w:hAnsi="仿宋_GB2312" w:eastAsia="仿宋_GB2312" w:cs="仿宋_GB2312"/>
          <w:sz w:val="32"/>
          <w:szCs w:val="32"/>
        </w:rPr>
        <w:t>开启与中南林科大新一轮战略合作，携手打造林科教工程</w:t>
      </w:r>
      <w:r>
        <w:rPr>
          <w:rFonts w:ascii="仿宋_GB2312" w:hAnsi="仿宋_GB2312" w:eastAsia="仿宋_GB2312" w:cs="仿宋_GB2312"/>
          <w:sz w:val="32"/>
          <w:szCs w:val="32"/>
        </w:rPr>
        <w:t>3.0</w:t>
      </w:r>
      <w:r>
        <w:rPr>
          <w:rFonts w:hint="eastAsia" w:ascii="仿宋_GB2312" w:hAnsi="仿宋_GB2312" w:eastAsia="仿宋_GB2312" w:cs="仿宋_GB2312"/>
          <w:sz w:val="32"/>
          <w:szCs w:val="32"/>
        </w:rPr>
        <w:t>。成立全县竹木产业协会。投资</w:t>
      </w:r>
      <w:r>
        <w:rPr>
          <w:rFonts w:ascii="仿宋_GB2312" w:hAnsi="仿宋_GB2312" w:eastAsia="仿宋_GB2312" w:cs="仿宋_GB2312"/>
          <w:sz w:val="32"/>
          <w:szCs w:val="32"/>
        </w:rPr>
        <w:t>2.5</w:t>
      </w:r>
      <w:r>
        <w:rPr>
          <w:rFonts w:hint="eastAsia" w:ascii="仿宋_GB2312" w:hAnsi="仿宋_GB2312" w:eastAsia="仿宋_GB2312" w:cs="仿宋_GB2312"/>
          <w:sz w:val="32"/>
          <w:szCs w:val="32"/>
        </w:rPr>
        <w:t>亿元的深加工区建成投用，新引进</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家竹木精加工企业建成投产，大湾区宠物用品产业基地二期加紧建设，欧洲中东客商来我县实地考察竹木产业并达成意向合作协议。全县竹木产业实现综合产值</w:t>
      </w:r>
      <w:r>
        <w:rPr>
          <w:rFonts w:ascii="仿宋_GB2312" w:hAnsi="仿宋_GB2312" w:eastAsia="仿宋_GB2312" w:cs="仿宋_GB2312"/>
          <w:sz w:val="32"/>
          <w:szCs w:val="32"/>
        </w:rPr>
        <w:t>20.53</w:t>
      </w:r>
      <w:r>
        <w:rPr>
          <w:rFonts w:hint="eastAsia" w:ascii="仿宋_GB2312" w:hAnsi="仿宋_GB2312" w:eastAsia="仿宋_GB2312" w:cs="仿宋_GB2312"/>
          <w:sz w:val="32"/>
          <w:szCs w:val="32"/>
        </w:rPr>
        <w:t>亿元。</w:t>
      </w:r>
      <w:r>
        <w:rPr>
          <w:rFonts w:hint="eastAsia" w:ascii="仿宋_GB2312" w:hAnsi="仿宋_GB2312" w:eastAsia="仿宋_GB2312" w:cs="仿宋_GB2312"/>
          <w:b/>
          <w:sz w:val="32"/>
          <w:szCs w:val="32"/>
        </w:rPr>
        <w:t>新能源新材料动能强劲。</w:t>
      </w:r>
      <w:r>
        <w:rPr>
          <w:rFonts w:hint="eastAsia" w:ascii="仿宋_GB2312" w:hAnsi="仿宋_GB2312" w:eastAsia="仿宋_GB2312" w:cs="仿宋_GB2312"/>
          <w:sz w:val="32"/>
          <w:szCs w:val="32"/>
        </w:rPr>
        <w:t>动态投资过百亿元的双牌抽水蓄能电站项目组织有力、推进顺利，</w:t>
      </w:r>
      <w:r>
        <w:rPr>
          <w:rFonts w:ascii="仿宋_GB2312" w:hAnsi="仿宋_GB2312" w:eastAsia="仿宋_GB2312" w:cs="仿宋_GB2312"/>
          <w:sz w:val="32"/>
          <w:szCs w:val="32"/>
        </w:rPr>
        <w:t>8</w:t>
      </w:r>
      <w:r>
        <w:rPr>
          <w:rFonts w:hint="eastAsia" w:ascii="仿宋_GB2312" w:hAnsi="仿宋_GB2312" w:eastAsia="仿宋_GB2312" w:cs="仿宋_GB2312"/>
          <w:sz w:val="32"/>
          <w:szCs w:val="32"/>
        </w:rPr>
        <w:t>个风电项目完成核准并开工建设。打鼓坪风电一期并网发电，舒家塘</w:t>
      </w:r>
      <w:r>
        <w:rPr>
          <w:rFonts w:ascii="仿宋_GB2312" w:hAnsi="仿宋_GB2312" w:eastAsia="仿宋_GB2312" w:cs="仿宋_GB2312"/>
          <w:sz w:val="32"/>
          <w:szCs w:val="32"/>
        </w:rPr>
        <w:t>220</w:t>
      </w:r>
      <w:r>
        <w:rPr>
          <w:rFonts w:hint="eastAsia" w:ascii="仿宋_GB2312" w:hAnsi="仿宋_GB2312" w:eastAsia="仿宋_GB2312" w:cs="仿宋_GB2312"/>
          <w:sz w:val="32"/>
          <w:szCs w:val="32"/>
        </w:rPr>
        <w:t>千伏输变电工程竣工投用，化学储能项目开工</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个月内建成投产，创造项目建设新的“双牌速度”。昊利科技碳酸锂产品在广州期货市场模拟交割中成为“全国第一单”，被认定为锂盐行业标本；</w:t>
      </w:r>
      <w:r>
        <w:rPr>
          <w:rFonts w:hint="eastAsia" w:ascii="仿宋_GB2312" w:hAnsi="仿宋_GB2312" w:eastAsia="仿宋_GB2312" w:cs="仿宋_GB2312"/>
          <w:sz w:val="36"/>
          <w:szCs w:val="36"/>
        </w:rPr>
        <w:t>昇</w:t>
      </w:r>
      <w:r>
        <w:rPr>
          <w:rFonts w:hint="eastAsia" w:ascii="仿宋_GB2312" w:hAnsi="仿宋_GB2312" w:eastAsia="仿宋_GB2312" w:cs="仿宋_GB2312"/>
          <w:sz w:val="32"/>
          <w:szCs w:val="32"/>
        </w:rPr>
        <w:t>宇科技、麦克斯新能源稳产达效，三墨新材料建成投产，新材料成长为县域支柱产业。</w:t>
      </w:r>
    </w:p>
    <w:p>
      <w:pPr>
        <w:spacing w:line="560" w:lineRule="exact"/>
        <w:ind w:firstLine="642" w:firstLineChars="200"/>
        <w:rPr>
          <w:rFonts w:ascii="仿宋_GB2312" w:hAnsi="仿宋_GB2312" w:eastAsia="仿宋_GB2312"/>
          <w:sz w:val="32"/>
          <w:szCs w:val="32"/>
        </w:rPr>
      </w:pPr>
      <w:r>
        <w:rPr>
          <w:rFonts w:hint="eastAsia" w:ascii="楷体_GB2312" w:hAnsi="楷体_GB2312" w:eastAsia="楷体_GB2312" w:cs="楷体_GB2312"/>
          <w:b/>
          <w:sz w:val="32"/>
          <w:szCs w:val="32"/>
        </w:rPr>
        <w:t>一年来，改革与开放并重，发展动能不断增强。</w:t>
      </w:r>
      <w:r>
        <w:rPr>
          <w:rFonts w:hint="eastAsia" w:ascii="仿宋_GB2312" w:hAnsi="仿宋_GB2312" w:eastAsia="仿宋_GB2312" w:cs="仿宋_GB2312"/>
          <w:b/>
          <w:sz w:val="32"/>
          <w:szCs w:val="32"/>
        </w:rPr>
        <w:t>“五好”园区提质增效。</w:t>
      </w:r>
      <w:r>
        <w:rPr>
          <w:rFonts w:hint="eastAsia" w:ascii="仿宋_GB2312" w:hAnsi="仿宋_GB2312" w:eastAsia="仿宋_GB2312" w:cs="仿宋_GB2312"/>
          <w:sz w:val="32"/>
          <w:szCs w:val="32"/>
        </w:rPr>
        <w:t>园区污水处理厂竣工验收，工人俱乐部建成投用，供水管网提质改造加快推进。深化园区“放管服”改革，实现园区事项园区办。园区规模工业实缴税收</w:t>
      </w:r>
      <w:r>
        <w:rPr>
          <w:rFonts w:ascii="仿宋_GB2312" w:hAnsi="仿宋_GB2312" w:eastAsia="仿宋_GB2312" w:cs="仿宋_GB2312"/>
          <w:sz w:val="32"/>
          <w:szCs w:val="32"/>
        </w:rPr>
        <w:t>4229.39</w:t>
      </w:r>
      <w:r>
        <w:rPr>
          <w:rFonts w:hint="eastAsia" w:ascii="仿宋_GB2312" w:hAnsi="仿宋_GB2312" w:eastAsia="仿宋_GB2312" w:cs="仿宋_GB2312"/>
          <w:sz w:val="32"/>
          <w:szCs w:val="32"/>
        </w:rPr>
        <w:t>万元、同比增长</w:t>
      </w:r>
      <w:r>
        <w:rPr>
          <w:rFonts w:ascii="仿宋_GB2312" w:hAnsi="仿宋_GB2312" w:eastAsia="仿宋_GB2312" w:cs="仿宋_GB2312"/>
          <w:sz w:val="32"/>
          <w:szCs w:val="32"/>
        </w:rPr>
        <w:t>36.55%</w:t>
      </w:r>
      <w:r>
        <w:rPr>
          <w:rFonts w:hint="eastAsia" w:ascii="仿宋_GB2312" w:hAnsi="仿宋_GB2312" w:eastAsia="仿宋_GB2312" w:cs="仿宋_GB2312"/>
          <w:sz w:val="32"/>
          <w:szCs w:val="32"/>
        </w:rPr>
        <w:t>。全县新增规模工业企业</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家，培育首次产值过</w:t>
      </w:r>
      <w:r>
        <w:rPr>
          <w:rFonts w:ascii="仿宋_GB2312" w:hAnsi="仿宋_GB2312" w:eastAsia="仿宋_GB2312" w:cs="仿宋_GB2312"/>
          <w:sz w:val="32"/>
          <w:szCs w:val="32"/>
        </w:rPr>
        <w:t>10</w:t>
      </w:r>
      <w:r>
        <w:rPr>
          <w:sz w:val="44"/>
          <w:szCs w:val="44"/>
        </w:rPr>
        <w:pict>
          <v:shape id="_x0000_s1106" o:spid="_x0000_s1106" o:spt="202" type="#_x0000_t202" style="position:absolute;left:0pt;margin-left:-22.05pt;margin-top:-53pt;height:25.55pt;width:476.4pt;z-index:251656192;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r>
        <w:rPr>
          <w:rFonts w:hint="eastAsia" w:ascii="仿宋_GB2312" w:hAnsi="仿宋_GB2312" w:eastAsia="仿宋_GB2312" w:cs="仿宋_GB2312"/>
          <w:sz w:val="32"/>
          <w:szCs w:val="32"/>
        </w:rPr>
        <w:t>亿元工业企业</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家，新增省级公共服务平台</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个。双牌产业开发区获评全省公共机构分布式光伏发电示范项目单位。</w:t>
      </w:r>
      <w:r>
        <w:rPr>
          <w:rFonts w:hint="eastAsia" w:ascii="仿宋_GB2312" w:hAnsi="仿宋_GB2312" w:eastAsia="仿宋_GB2312" w:cs="仿宋_GB2312"/>
          <w:b/>
          <w:sz w:val="32"/>
          <w:szCs w:val="32"/>
        </w:rPr>
        <w:t>上争外引主动作为。</w:t>
      </w:r>
      <w:r>
        <w:rPr>
          <w:rFonts w:hint="eastAsia" w:ascii="仿宋_GB2312" w:hAnsi="仿宋_GB2312" w:eastAsia="仿宋_GB2312" w:cs="仿宋_GB2312"/>
          <w:sz w:val="32"/>
          <w:szCs w:val="32"/>
        </w:rPr>
        <w:t>重点项目完成投资</w:t>
      </w:r>
      <w:r>
        <w:rPr>
          <w:rFonts w:ascii="仿宋_GB2312" w:hAnsi="仿宋_GB2312" w:eastAsia="仿宋_GB2312" w:cs="仿宋_GB2312"/>
          <w:sz w:val="32"/>
          <w:szCs w:val="32"/>
        </w:rPr>
        <w:t>56</w:t>
      </w:r>
      <w:r>
        <w:rPr>
          <w:rFonts w:hint="eastAsia" w:ascii="仿宋_GB2312" w:hAnsi="仿宋_GB2312" w:eastAsia="仿宋_GB2312" w:cs="仿宋_GB2312"/>
          <w:sz w:val="32"/>
          <w:szCs w:val="32"/>
        </w:rPr>
        <w:t>亿元，市重点项目入统金额占年计划投资比重位居全市第一。全年共争取上级各项补助资金</w:t>
      </w:r>
      <w:r>
        <w:rPr>
          <w:rFonts w:ascii="仿宋_GB2312" w:hAnsi="仿宋_GB2312" w:eastAsia="仿宋_GB2312" w:cs="仿宋_GB2312"/>
          <w:sz w:val="32"/>
          <w:szCs w:val="32"/>
        </w:rPr>
        <w:t>18.6</w:t>
      </w:r>
      <w:r>
        <w:rPr>
          <w:rFonts w:hint="eastAsia" w:ascii="仿宋_GB2312" w:hAnsi="仿宋_GB2312" w:eastAsia="仿宋_GB2312" w:cs="仿宋_GB2312"/>
          <w:sz w:val="32"/>
          <w:szCs w:val="32"/>
        </w:rPr>
        <w:t>亿元、增长</w:t>
      </w:r>
      <w:r>
        <w:rPr>
          <w:rFonts w:ascii="仿宋_GB2312" w:hAnsi="仿宋_GB2312" w:eastAsia="仿宋_GB2312" w:cs="仿宋_GB2312"/>
          <w:sz w:val="32"/>
          <w:szCs w:val="32"/>
        </w:rPr>
        <w:t>3.74%</w:t>
      </w:r>
      <w:r>
        <w:rPr>
          <w:rFonts w:hint="eastAsia" w:ascii="仿宋_GB2312" w:hAnsi="仿宋_GB2312" w:eastAsia="仿宋_GB2312" w:cs="仿宋_GB2312"/>
          <w:sz w:val="32"/>
          <w:szCs w:val="32"/>
        </w:rPr>
        <w:t>。完成</w:t>
      </w:r>
      <w:r>
        <w:rPr>
          <w:rFonts w:ascii="仿宋_GB2312" w:hAnsi="仿宋_GB2312" w:eastAsia="仿宋_GB2312" w:cs="仿宋_GB2312"/>
          <w:sz w:val="32"/>
          <w:szCs w:val="32"/>
        </w:rPr>
        <w:t>5000</w:t>
      </w:r>
      <w:r>
        <w:rPr>
          <w:rFonts w:hint="eastAsia" w:ascii="仿宋_GB2312" w:hAnsi="仿宋_GB2312" w:eastAsia="仿宋_GB2312" w:cs="仿宋_GB2312"/>
          <w:sz w:val="32"/>
          <w:szCs w:val="32"/>
        </w:rPr>
        <w:t>万元以上工业项目签约</w:t>
      </w:r>
      <w:r>
        <w:rPr>
          <w:rFonts w:ascii="仿宋_GB2312" w:hAnsi="仿宋_GB2312" w:eastAsia="仿宋_GB2312" w:cs="仿宋_GB2312"/>
          <w:sz w:val="32"/>
          <w:szCs w:val="32"/>
        </w:rPr>
        <w:t>18</w:t>
      </w:r>
      <w:r>
        <w:rPr>
          <w:rFonts w:hint="eastAsia" w:ascii="仿宋_GB2312" w:hAnsi="仿宋_GB2312" w:eastAsia="仿宋_GB2312" w:cs="仿宋_GB2312"/>
          <w:sz w:val="32"/>
          <w:szCs w:val="32"/>
        </w:rPr>
        <w:t>个，总投资</w:t>
      </w:r>
      <w:r>
        <w:rPr>
          <w:rFonts w:ascii="仿宋_GB2312" w:hAnsi="仿宋_GB2312" w:eastAsia="仿宋_GB2312" w:cs="仿宋_GB2312"/>
          <w:sz w:val="32"/>
          <w:szCs w:val="32"/>
        </w:rPr>
        <w:t>97.16</w:t>
      </w:r>
      <w:r>
        <w:rPr>
          <w:rFonts w:hint="eastAsia" w:ascii="仿宋_GB2312" w:hAnsi="仿宋_GB2312" w:eastAsia="仿宋_GB2312" w:cs="仿宋_GB2312"/>
          <w:sz w:val="32"/>
          <w:szCs w:val="32"/>
        </w:rPr>
        <w:t>亿元；引进三类</w:t>
      </w:r>
      <w:r>
        <w:rPr>
          <w:rFonts w:ascii="仿宋_GB2312" w:hAnsi="仿宋_GB2312" w:eastAsia="仿宋_GB2312" w:cs="仿宋_GB2312"/>
          <w:sz w:val="32"/>
          <w:szCs w:val="32"/>
        </w:rPr>
        <w:t>500</w:t>
      </w:r>
      <w:r>
        <w:rPr>
          <w:rFonts w:hint="eastAsia" w:ascii="仿宋_GB2312" w:hAnsi="仿宋_GB2312" w:eastAsia="仿宋_GB2312" w:cs="仿宋_GB2312"/>
          <w:sz w:val="32"/>
          <w:szCs w:val="32"/>
        </w:rPr>
        <w:t>强项目</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个；湘商回归完成新注册企业</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个，到位资金</w:t>
      </w:r>
      <w:r>
        <w:rPr>
          <w:rFonts w:ascii="仿宋_GB2312" w:hAnsi="仿宋_GB2312" w:eastAsia="仿宋_GB2312" w:cs="仿宋_GB2312"/>
          <w:sz w:val="32"/>
          <w:szCs w:val="32"/>
        </w:rPr>
        <w:t>18.2</w:t>
      </w:r>
      <w:r>
        <w:rPr>
          <w:rFonts w:hint="eastAsia" w:ascii="仿宋_GB2312" w:hAnsi="仿宋_GB2312" w:eastAsia="仿宋_GB2312" w:cs="仿宋_GB2312"/>
          <w:sz w:val="32"/>
          <w:szCs w:val="32"/>
        </w:rPr>
        <w:t>亿元，均超额完成年度任务。</w:t>
      </w:r>
      <w:r>
        <w:rPr>
          <w:rFonts w:hint="eastAsia" w:ascii="仿宋_GB2312" w:hAnsi="仿宋_GB2312" w:eastAsia="仿宋_GB2312" w:cs="仿宋_GB2312"/>
          <w:b/>
          <w:sz w:val="32"/>
          <w:szCs w:val="32"/>
        </w:rPr>
        <w:t>营商环境优化升级。</w:t>
      </w:r>
      <w:r>
        <w:rPr>
          <w:rFonts w:hint="eastAsia" w:ascii="仿宋_GB2312" w:hAnsi="仿宋_GB2312" w:eastAsia="仿宋_GB2312" w:cs="仿宋_GB2312"/>
          <w:sz w:val="32"/>
          <w:szCs w:val="32"/>
        </w:rPr>
        <w:t>营商环境评价全省排第</w:t>
      </w:r>
      <w:r>
        <w:rPr>
          <w:rFonts w:ascii="仿宋_GB2312" w:hAnsi="仿宋_GB2312" w:eastAsia="仿宋_GB2312" w:cs="仿宋_GB2312"/>
          <w:sz w:val="32"/>
          <w:szCs w:val="32"/>
        </w:rPr>
        <w:t>32</w:t>
      </w:r>
      <w:r>
        <w:rPr>
          <w:rFonts w:hint="eastAsia" w:ascii="仿宋_GB2312" w:hAnsi="仿宋_GB2312" w:eastAsia="仿宋_GB2312" w:cs="仿宋_GB2312"/>
          <w:sz w:val="32"/>
          <w:szCs w:val="32"/>
        </w:rPr>
        <w:t>名、较上年上升</w:t>
      </w:r>
      <w:r>
        <w:rPr>
          <w:rFonts w:ascii="仿宋_GB2312" w:hAnsi="仿宋_GB2312" w:eastAsia="仿宋_GB2312" w:cs="仿宋_GB2312"/>
          <w:sz w:val="32"/>
          <w:szCs w:val="32"/>
        </w:rPr>
        <w:t>19</w:t>
      </w:r>
      <w:r>
        <w:rPr>
          <w:rFonts w:hint="eastAsia" w:ascii="仿宋_GB2312" w:hAnsi="仿宋_GB2312" w:eastAsia="仿宋_GB2312" w:cs="仿宋_GB2312"/>
          <w:sz w:val="32"/>
          <w:szCs w:val="32"/>
        </w:rPr>
        <w:t>位，双牌产业开发区在园区营商环境评价测评中进入全省前列。联动处置</w:t>
      </w:r>
      <w:r>
        <w:rPr>
          <w:rFonts w:ascii="仿宋_GB2312" w:hAnsi="仿宋_GB2312" w:eastAsia="仿宋_GB2312" w:cs="仿宋_GB2312"/>
          <w:sz w:val="32"/>
          <w:szCs w:val="32"/>
        </w:rPr>
        <w:t>12345</w:t>
      </w:r>
      <w:r>
        <w:rPr>
          <w:rFonts w:hint="eastAsia" w:ascii="仿宋_GB2312" w:hAnsi="仿宋_GB2312" w:eastAsia="仿宋_GB2312" w:cs="仿宋_GB2312"/>
          <w:sz w:val="32"/>
          <w:szCs w:val="32"/>
        </w:rPr>
        <w:t>热线工作连续</w:t>
      </w:r>
      <w:r>
        <w:rPr>
          <w:rFonts w:ascii="仿宋_GB2312" w:hAnsi="仿宋_GB2312" w:eastAsia="仿宋_GB2312" w:cs="仿宋_GB2312"/>
          <w:sz w:val="32"/>
          <w:szCs w:val="32"/>
        </w:rPr>
        <w:t>14</w:t>
      </w:r>
      <w:r>
        <w:rPr>
          <w:rFonts w:hint="eastAsia" w:ascii="仿宋_GB2312" w:hAnsi="仿宋_GB2312" w:eastAsia="仿宋_GB2312" w:cs="仿宋_GB2312"/>
          <w:sz w:val="32"/>
          <w:szCs w:val="32"/>
        </w:rPr>
        <w:t>个月位列全市第一，信用体系建设考核全市先进。全县新增“个转企”</w:t>
      </w:r>
      <w:r>
        <w:rPr>
          <w:rFonts w:ascii="仿宋_GB2312" w:hAnsi="仿宋_GB2312" w:eastAsia="仿宋_GB2312" w:cs="仿宋_GB2312"/>
          <w:sz w:val="32"/>
          <w:szCs w:val="32"/>
        </w:rPr>
        <w:t>14</w:t>
      </w:r>
      <w:r>
        <w:rPr>
          <w:rFonts w:hint="eastAsia" w:ascii="仿宋_GB2312" w:hAnsi="仿宋_GB2312" w:eastAsia="仿宋_GB2312" w:cs="仿宋_GB2312"/>
          <w:sz w:val="32"/>
          <w:szCs w:val="32"/>
        </w:rPr>
        <w:t>家、市场主体</w:t>
      </w:r>
      <w:r>
        <w:rPr>
          <w:rFonts w:ascii="仿宋_GB2312" w:hAnsi="仿宋_GB2312" w:eastAsia="仿宋_GB2312" w:cs="仿宋_GB2312"/>
          <w:sz w:val="32"/>
          <w:szCs w:val="32"/>
        </w:rPr>
        <w:t>2417</w:t>
      </w:r>
      <w:r>
        <w:rPr>
          <w:rFonts w:hint="eastAsia" w:ascii="仿宋_GB2312" w:hAnsi="仿宋_GB2312" w:eastAsia="仿宋_GB2312" w:cs="仿宋_GB2312"/>
          <w:sz w:val="32"/>
          <w:szCs w:val="32"/>
        </w:rPr>
        <w:t>户。</w:t>
      </w:r>
      <w:r>
        <w:rPr>
          <w:rFonts w:hint="eastAsia" w:ascii="仿宋_GB2312" w:hAnsi="仿宋_GB2312" w:eastAsia="仿宋_GB2312" w:cs="仿宋_GB2312"/>
          <w:b/>
          <w:sz w:val="32"/>
          <w:szCs w:val="32"/>
        </w:rPr>
        <w:t>科技创新有的放矢。</w:t>
      </w:r>
      <w:r>
        <w:rPr>
          <w:rFonts w:hint="eastAsia" w:ascii="仿宋_GB2312" w:eastAsia="仿宋_GB2312" w:cs="仿宋_GB2312"/>
          <w:sz w:val="32"/>
          <w:szCs w:val="32"/>
        </w:rPr>
        <w:t>吴义强院士团队创新工作室成功落户，</w:t>
      </w:r>
      <w:r>
        <w:rPr>
          <w:rFonts w:hint="eastAsia" w:ascii="仿宋_GB2312" w:hAnsi="仿宋_GB2312" w:eastAsia="仿宋_GB2312" w:cs="仿宋_GB2312"/>
          <w:sz w:val="32"/>
          <w:szCs w:val="32"/>
        </w:rPr>
        <w:t>与企业签订产学研合作协议</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份，</w:t>
      </w:r>
      <w:r>
        <w:rPr>
          <w:rFonts w:hint="eastAsia" w:ascii="仿宋_GB2312" w:eastAsia="仿宋_GB2312" w:cs="仿宋_GB2312"/>
          <w:sz w:val="32"/>
          <w:szCs w:val="32"/>
        </w:rPr>
        <w:t>实现</w:t>
      </w:r>
      <w:r>
        <w:rPr>
          <w:rFonts w:hint="eastAsia" w:ascii="仿宋_GB2312" w:hAnsi="仿宋_GB2312" w:eastAsia="仿宋_GB2312" w:cs="仿宋_GB2312"/>
          <w:sz w:val="32"/>
          <w:szCs w:val="32"/>
        </w:rPr>
        <w:t>科技成果转化金额达</w:t>
      </w:r>
      <w:r>
        <w:rPr>
          <w:rFonts w:ascii="仿宋_GB2312" w:hAnsi="仿宋_GB2312" w:eastAsia="仿宋_GB2312" w:cs="仿宋_GB2312"/>
          <w:sz w:val="32"/>
          <w:szCs w:val="32"/>
        </w:rPr>
        <w:t>400</w:t>
      </w:r>
      <w:r>
        <w:rPr>
          <w:rFonts w:hint="eastAsia" w:ascii="仿宋_GB2312" w:hAnsi="仿宋_GB2312" w:eastAsia="仿宋_GB2312" w:cs="仿宋_GB2312"/>
          <w:sz w:val="32"/>
          <w:szCs w:val="32"/>
        </w:rPr>
        <w:t>万元</w:t>
      </w:r>
      <w:r>
        <w:rPr>
          <w:rFonts w:hint="eastAsia" w:ascii="仿宋_GB2312" w:eastAsia="仿宋_GB2312" w:cs="仿宋_GB2312"/>
          <w:sz w:val="32"/>
          <w:szCs w:val="32"/>
        </w:rPr>
        <w:t>。全县新认定高新技术企</w:t>
      </w:r>
      <w:r>
        <w:rPr>
          <w:rFonts w:hint="eastAsia" w:ascii="仿宋_GB2312" w:hAnsi="仿宋_GB2312" w:eastAsia="仿宋_GB2312" w:cs="仿宋_GB2312"/>
          <w:sz w:val="32"/>
          <w:szCs w:val="32"/>
        </w:rPr>
        <w:t>业</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家，培育省级</w:t>
      </w:r>
      <w:r>
        <w:rPr>
          <w:rFonts w:hint="eastAsia" w:ascii="仿宋_GB2312" w:eastAsia="仿宋_GB2312" w:cs="仿宋_GB2312"/>
          <w:sz w:val="32"/>
          <w:szCs w:val="32"/>
        </w:rPr>
        <w:t>专精特新中小企业</w:t>
      </w:r>
      <w:r>
        <w:rPr>
          <w:rFonts w:ascii="仿宋_GB2312" w:eastAsia="仿宋_GB2312" w:cs="仿宋_GB2312"/>
          <w:sz w:val="32"/>
          <w:szCs w:val="32"/>
        </w:rPr>
        <w:t>7</w:t>
      </w:r>
      <w:r>
        <w:rPr>
          <w:rFonts w:hint="eastAsia" w:ascii="仿宋_GB2312" w:eastAsia="仿宋_GB2312" w:cs="仿宋_GB2312"/>
          <w:sz w:val="32"/>
          <w:szCs w:val="32"/>
        </w:rPr>
        <w:t>家，德普瑞生物获评</w:t>
      </w:r>
      <w:r>
        <w:rPr>
          <w:rFonts w:ascii="仿宋_GB2312" w:eastAsia="仿宋_GB2312" w:cs="仿宋_GB2312"/>
          <w:sz w:val="32"/>
          <w:szCs w:val="32"/>
        </w:rPr>
        <w:t>2023</w:t>
      </w:r>
      <w:r>
        <w:rPr>
          <w:rFonts w:hint="eastAsia" w:ascii="仿宋_GB2312" w:eastAsia="仿宋_GB2312" w:cs="仿宋_GB2312"/>
          <w:sz w:val="32"/>
          <w:szCs w:val="32"/>
        </w:rPr>
        <w:t>年湖南省专家工作站，有竹科技企业负责人陈林碧被评为</w:t>
      </w:r>
      <w:r>
        <w:rPr>
          <w:rFonts w:ascii="仿宋_GB2312" w:eastAsia="仿宋_GB2312" w:cs="仿宋_GB2312"/>
          <w:sz w:val="32"/>
          <w:szCs w:val="32"/>
        </w:rPr>
        <w:t>2023</w:t>
      </w:r>
      <w:r>
        <w:rPr>
          <w:rFonts w:hint="eastAsia" w:ascii="仿宋_GB2312" w:eastAsia="仿宋_GB2312" w:cs="仿宋_GB2312"/>
          <w:sz w:val="32"/>
          <w:szCs w:val="32"/>
        </w:rPr>
        <w:t>年湖南省卓越工程师。</w:t>
      </w:r>
    </w:p>
    <w:p>
      <w:pPr>
        <w:spacing w:line="560" w:lineRule="exact"/>
        <w:ind w:firstLine="642" w:firstLineChars="200"/>
        <w:rPr>
          <w:rFonts w:ascii="仿宋_GB2312" w:eastAsia="仿宋_GB2312"/>
          <w:sz w:val="32"/>
          <w:szCs w:val="32"/>
        </w:rPr>
      </w:pPr>
      <w:r>
        <w:rPr>
          <w:rFonts w:hint="eastAsia" w:ascii="楷体_GB2312" w:hAnsi="楷体_GB2312" w:eastAsia="楷体_GB2312" w:cs="楷体_GB2312"/>
          <w:b/>
          <w:sz w:val="32"/>
          <w:szCs w:val="32"/>
        </w:rPr>
        <w:t>一年来，建设与保护并力，城乡一体融合共进。</w:t>
      </w:r>
      <w:r>
        <w:rPr>
          <w:rFonts w:hint="eastAsia" w:ascii="仿宋_GB2312" w:hAnsi="仿宋_GB2312" w:eastAsia="仿宋_GB2312" w:cs="仿宋_GB2312"/>
          <w:b/>
          <w:sz w:val="32"/>
          <w:szCs w:val="32"/>
        </w:rPr>
        <w:t>城镇化基础不断夯实。</w:t>
      </w:r>
      <w:r>
        <w:rPr>
          <w:rFonts w:hint="eastAsia" w:ascii="仿宋_GB2312" w:hAnsi="仿宋_GB2312" w:eastAsia="仿宋_GB2312" w:cs="仿宋_GB2312"/>
          <w:sz w:val="32"/>
          <w:szCs w:val="32"/>
        </w:rPr>
        <w:t>零道高速、潇水二桥积极推进，提质改造农村公路</w:t>
      </w:r>
      <w:r>
        <w:rPr>
          <w:rFonts w:ascii="仿宋_GB2312" w:hAnsi="仿宋_GB2312" w:eastAsia="仿宋_GB2312" w:cs="仿宋_GB2312"/>
          <w:sz w:val="32"/>
          <w:szCs w:val="32"/>
        </w:rPr>
        <w:t>49</w:t>
      </w:r>
      <w:r>
        <w:rPr>
          <w:rFonts w:hint="eastAsia" w:ascii="仿宋_GB2312" w:hAnsi="仿宋_GB2312" w:eastAsia="仿宋_GB2312" w:cs="仿宋_GB2312"/>
          <w:sz w:val="32"/>
          <w:szCs w:val="32"/>
        </w:rPr>
        <w:t>公里，新建通景公路、农村公路</w:t>
      </w:r>
      <w:r>
        <w:rPr>
          <w:rFonts w:ascii="仿宋_GB2312" w:hAnsi="仿宋_GB2312" w:eastAsia="仿宋_GB2312" w:cs="仿宋_GB2312"/>
          <w:sz w:val="32"/>
          <w:szCs w:val="32"/>
        </w:rPr>
        <w:t>31</w:t>
      </w:r>
      <w:r>
        <w:rPr>
          <w:rFonts w:hint="eastAsia" w:ascii="仿宋_GB2312" w:hAnsi="仿宋_GB2312" w:eastAsia="仿宋_GB2312" w:cs="仿宋_GB2312"/>
          <w:sz w:val="32"/>
          <w:szCs w:val="32"/>
        </w:rPr>
        <w:t>公里，安装安全防护栏</w:t>
      </w:r>
      <w:r>
        <w:rPr>
          <w:rFonts w:ascii="仿宋_GB2312" w:hAnsi="仿宋_GB2312" w:eastAsia="仿宋_GB2312" w:cs="仿宋_GB2312"/>
          <w:sz w:val="32"/>
          <w:szCs w:val="32"/>
        </w:rPr>
        <w:t>34</w:t>
      </w:r>
      <w:r>
        <w:rPr>
          <w:rFonts w:hint="eastAsia" w:ascii="仿宋_GB2312" w:hAnsi="仿宋_GB2312" w:eastAsia="仿宋_GB2312" w:cs="仿宋_GB2312"/>
          <w:sz w:val="32"/>
          <w:szCs w:val="32"/>
        </w:rPr>
        <w:t>公里</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rPr>
        <w:t>加固改造危旧桥梁</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座。</w:t>
      </w:r>
      <w:r>
        <w:rPr>
          <w:rFonts w:hint="eastAsia" w:ascii="仿宋_GB2312" w:hAnsi="仿宋_GB2312" w:eastAsia="仿宋_GB2312" w:cs="仿宋_GB2312"/>
          <w:sz w:val="32"/>
          <w:szCs w:val="32"/>
          <w:shd w:val="clear" w:color="auto" w:fill="FFFFFF"/>
        </w:rPr>
        <w:t>新改建小游园</w:t>
      </w:r>
      <w:r>
        <w:rPr>
          <w:rFonts w:ascii="仿宋_GB2312" w:hAnsi="仿宋_GB2312" w:eastAsia="仿宋_GB2312" w:cs="仿宋_GB2312"/>
          <w:sz w:val="32"/>
          <w:szCs w:val="32"/>
          <w:shd w:val="clear" w:color="auto" w:fill="FFFFFF"/>
        </w:rPr>
        <w:t>3</w:t>
      </w:r>
      <w:r>
        <w:rPr>
          <w:rFonts w:hint="eastAsia" w:ascii="仿宋_GB2312" w:hAnsi="仿宋_GB2312" w:eastAsia="仿宋_GB2312" w:cs="仿宋_GB2312"/>
          <w:sz w:val="32"/>
          <w:szCs w:val="32"/>
          <w:shd w:val="clear" w:color="auto" w:fill="FFFFFF"/>
        </w:rPr>
        <w:t>处、</w:t>
      </w:r>
      <w:r>
        <w:rPr>
          <w:rFonts w:hint="eastAsia" w:ascii="仿宋_GB2312" w:hAnsi="仿宋_GB2312" w:eastAsia="仿宋_GB2312" w:cs="仿宋_GB2312"/>
          <w:sz w:val="32"/>
          <w:szCs w:val="32"/>
        </w:rPr>
        <w:t>城区公厕</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座，</w:t>
      </w:r>
      <w:r>
        <w:rPr>
          <w:rFonts w:hint="eastAsia" w:ascii="仿宋_GB2312" w:hAnsi="仿宋_GB2312" w:eastAsia="仿宋_GB2312" w:cs="仿宋_GB2312"/>
          <w:sz w:val="32"/>
          <w:szCs w:val="32"/>
          <w:shd w:val="clear" w:color="auto" w:fill="FFFFFF"/>
        </w:rPr>
        <w:t>新建城市停车位</w:t>
      </w:r>
      <w:r>
        <w:rPr>
          <w:rFonts w:ascii="仿宋_GB2312" w:hAnsi="仿宋_GB2312" w:eastAsia="仿宋_GB2312" w:cs="仿宋_GB2312"/>
          <w:sz w:val="32"/>
          <w:szCs w:val="32"/>
          <w:shd w:val="clear" w:color="auto" w:fill="FFFFFF"/>
        </w:rPr>
        <w:t>200</w:t>
      </w:r>
      <w:r>
        <w:rPr>
          <w:rFonts w:hint="eastAsia" w:ascii="仿宋_GB2312" w:hAnsi="仿宋_GB2312" w:eastAsia="仿宋_GB2312" w:cs="仿宋_GB2312"/>
          <w:sz w:val="32"/>
          <w:szCs w:val="32"/>
          <w:shd w:val="clear" w:color="auto" w:fill="FFFFFF"/>
        </w:rPr>
        <w:t>个，规划设置摊点摊位</w:t>
      </w:r>
      <w:r>
        <w:rPr>
          <w:rFonts w:ascii="仿宋_GB2312" w:hAnsi="仿宋_GB2312" w:eastAsia="仿宋_GB2312" w:cs="仿宋_GB2312"/>
          <w:sz w:val="32"/>
          <w:szCs w:val="32"/>
          <w:shd w:val="clear" w:color="auto" w:fill="FFFFFF"/>
        </w:rPr>
        <w:t>290</w:t>
      </w:r>
      <w:r>
        <w:rPr>
          <w:rFonts w:hint="eastAsia" w:ascii="仿宋_GB2312" w:hAnsi="仿宋_GB2312" w:eastAsia="仿宋_GB2312" w:cs="仿宋_GB2312"/>
          <w:sz w:val="32"/>
          <w:szCs w:val="32"/>
          <w:shd w:val="clear" w:color="auto" w:fill="FFFFFF"/>
        </w:rPr>
        <w:t>余个。</w:t>
      </w:r>
      <w:r>
        <w:rPr>
          <w:rFonts w:ascii="仿宋_GB2312" w:hAnsi="仿宋_GB2312" w:eastAsia="仿宋_GB2312" w:cs="仿宋_GB2312"/>
          <w:sz w:val="32"/>
          <w:szCs w:val="32"/>
        </w:rPr>
        <w:t>19</w:t>
      </w:r>
      <w:r>
        <w:rPr>
          <w:rFonts w:hint="eastAsia" w:ascii="仿宋_GB2312" w:hAnsi="仿宋_GB2312" w:eastAsia="仿宋_GB2312" w:cs="仿宋_GB2312"/>
          <w:sz w:val="32"/>
          <w:szCs w:val="32"/>
        </w:rPr>
        <w:t>个老旧小区改造稳步实施，永水路雨污分流改造全面完工</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b/>
          <w:sz w:val="32"/>
          <w:szCs w:val="32"/>
        </w:rPr>
        <w:t>乡村振兴</w:t>
      </w:r>
      <w:r>
        <w:rPr>
          <w:sz w:val="44"/>
          <w:szCs w:val="44"/>
        </w:rPr>
        <w:pict>
          <v:shape id="_x0000_s1107" o:spid="_x0000_s1107" o:spt="202" type="#_x0000_t202" style="position:absolute;left:0pt;margin-left:-20.85pt;margin-top:-52.4pt;height:25.55pt;width:466.35pt;z-index:251657216;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r>
        <w:rPr>
          <w:rFonts w:hint="eastAsia" w:ascii="仿宋_GB2312" w:hAnsi="仿宋_GB2312" w:eastAsia="仿宋_GB2312" w:cs="仿宋_GB2312"/>
          <w:b/>
          <w:sz w:val="32"/>
          <w:szCs w:val="32"/>
        </w:rPr>
        <w:t>加力推进。</w:t>
      </w:r>
      <w:r>
        <w:rPr>
          <w:rFonts w:hint="eastAsia" w:ascii="仿宋_GB2312" w:hAnsi="仿宋_GB2312" w:eastAsia="仿宋_GB2312" w:cs="仿宋_GB2312"/>
          <w:sz w:val="32"/>
          <w:szCs w:val="32"/>
        </w:rPr>
        <w:t>粮食产量达</w:t>
      </w:r>
      <w:r>
        <w:rPr>
          <w:rFonts w:ascii="仿宋_GB2312" w:hAnsi="仿宋_GB2312" w:eastAsia="仿宋_GB2312" w:cs="仿宋_GB2312"/>
          <w:sz w:val="32"/>
          <w:szCs w:val="32"/>
        </w:rPr>
        <w:t>7.23</w:t>
      </w:r>
      <w:r>
        <w:rPr>
          <w:rFonts w:hint="eastAsia" w:ascii="仿宋_GB2312" w:hAnsi="仿宋_GB2312" w:eastAsia="仿宋_GB2312" w:cs="仿宋_GB2312"/>
          <w:sz w:val="32"/>
          <w:szCs w:val="32"/>
        </w:rPr>
        <w:t>万吨，完成生猪出栏</w:t>
      </w:r>
      <w:r>
        <w:rPr>
          <w:rFonts w:ascii="仿宋_GB2312" w:hAnsi="仿宋_GB2312" w:eastAsia="仿宋_GB2312" w:cs="仿宋_GB2312"/>
          <w:sz w:val="32"/>
          <w:szCs w:val="32"/>
        </w:rPr>
        <w:t>33</w:t>
      </w:r>
      <w:r>
        <w:rPr>
          <w:rFonts w:hint="eastAsia" w:ascii="仿宋_GB2312" w:hAnsi="仿宋_GB2312" w:eastAsia="仿宋_GB2312" w:cs="仿宋_GB2312"/>
          <w:sz w:val="32"/>
          <w:szCs w:val="32"/>
        </w:rPr>
        <w:t>万头，超额完成市定任务。古巴雪茄扩种至</w:t>
      </w:r>
      <w:r>
        <w:rPr>
          <w:rFonts w:ascii="仿宋_GB2312" w:hAnsi="仿宋_GB2312" w:eastAsia="仿宋_GB2312" w:cs="仿宋_GB2312"/>
          <w:sz w:val="32"/>
          <w:szCs w:val="32"/>
        </w:rPr>
        <w:t>400</w:t>
      </w:r>
      <w:r>
        <w:rPr>
          <w:rFonts w:hint="eastAsia" w:ascii="仿宋_GB2312" w:hAnsi="仿宋_GB2312" w:eastAsia="仿宋_GB2312" w:cs="仿宋_GB2312"/>
          <w:sz w:val="32"/>
          <w:szCs w:val="32"/>
        </w:rPr>
        <w:t>亩以上。全县脱贫户人均可支配收入增长至</w:t>
      </w:r>
      <w:r>
        <w:rPr>
          <w:rFonts w:ascii="仿宋_GB2312" w:hAnsi="仿宋_GB2312" w:eastAsia="仿宋_GB2312" w:cs="仿宋_GB2312"/>
          <w:sz w:val="32"/>
          <w:szCs w:val="32"/>
        </w:rPr>
        <w:t>18998</w:t>
      </w:r>
      <w:r>
        <w:rPr>
          <w:rFonts w:hint="eastAsia" w:ascii="仿宋_GB2312" w:hAnsi="仿宋_GB2312" w:eastAsia="仿宋_GB2312" w:cs="仿宋_GB2312"/>
          <w:sz w:val="32"/>
          <w:szCs w:val="32"/>
        </w:rPr>
        <w:t>元，</w:t>
      </w:r>
      <w:r>
        <w:rPr>
          <w:rFonts w:hint="eastAsia" w:ascii="仿宋_GB2312" w:hAnsi="Calibri" w:eastAsia="仿宋_GB2312" w:cs="仿宋_GB2312"/>
          <w:sz w:val="32"/>
          <w:szCs w:val="32"/>
        </w:rPr>
        <w:t>库区移民村集体经济持续壮大。</w:t>
      </w:r>
      <w:r>
        <w:rPr>
          <w:rFonts w:hint="eastAsia" w:ascii="仿宋_GB2312" w:hAnsi="仿宋_GB2312" w:eastAsia="仿宋_GB2312" w:cs="仿宋_GB2312"/>
          <w:sz w:val="32"/>
          <w:szCs w:val="32"/>
        </w:rPr>
        <w:t>农村卫生厕所普及率达</w:t>
      </w:r>
      <w:r>
        <w:rPr>
          <w:rFonts w:ascii="仿宋_GB2312" w:hAnsi="仿宋_GB2312" w:eastAsia="仿宋_GB2312" w:cs="仿宋_GB2312"/>
          <w:sz w:val="32"/>
          <w:szCs w:val="32"/>
        </w:rPr>
        <w:t>90%</w:t>
      </w:r>
      <w:r>
        <w:rPr>
          <w:rFonts w:hint="eastAsia" w:ascii="仿宋_GB2312" w:hAnsi="仿宋_GB2312" w:eastAsia="仿宋_GB2312" w:cs="仿宋_GB2312"/>
          <w:sz w:val="32"/>
          <w:szCs w:val="32"/>
        </w:rPr>
        <w:t>以上，行政村生活垃圾处置覆盖率达</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，污水处理设施实现建制镇全覆盖，拆除空心房</w:t>
      </w:r>
      <w:r>
        <w:rPr>
          <w:rFonts w:ascii="仿宋_GB2312" w:hAnsi="仿宋_GB2312" w:eastAsia="仿宋_GB2312" w:cs="仿宋_GB2312"/>
          <w:sz w:val="32"/>
          <w:szCs w:val="32"/>
        </w:rPr>
        <w:t>6200</w:t>
      </w:r>
      <w:r>
        <w:rPr>
          <w:rFonts w:hint="eastAsia" w:ascii="仿宋_GB2312" w:hAnsi="仿宋_GB2312" w:eastAsia="仿宋_GB2312" w:cs="仿宋_GB2312"/>
          <w:sz w:val="32"/>
          <w:szCs w:val="32"/>
        </w:rPr>
        <w:t>多栋近</w:t>
      </w:r>
      <w:r>
        <w:rPr>
          <w:rFonts w:ascii="仿宋_GB2312" w:hAnsi="仿宋_GB2312" w:eastAsia="仿宋_GB2312" w:cs="仿宋_GB2312"/>
          <w:sz w:val="32"/>
          <w:szCs w:val="32"/>
        </w:rPr>
        <w:t>45.9</w:t>
      </w:r>
      <w:r>
        <w:rPr>
          <w:rFonts w:hint="eastAsia" w:ascii="仿宋_GB2312" w:hAnsi="仿宋_GB2312" w:eastAsia="仿宋_GB2312" w:cs="仿宋_GB2312"/>
          <w:sz w:val="32"/>
          <w:szCs w:val="32"/>
        </w:rPr>
        <w:t>万平方米。双牌虎爪姜荣获</w:t>
      </w: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年中国农民丰收节“魅力农产品奖”，我县获评全省农</w:t>
      </w:r>
      <w:r>
        <w:rPr>
          <w:rFonts w:hint="eastAsia" w:ascii="仿宋_GB2312" w:hAnsi="Calibri" w:eastAsia="仿宋_GB2312" w:cs="仿宋_GB2312"/>
          <w:sz w:val="32"/>
          <w:szCs w:val="32"/>
        </w:rPr>
        <w:t>产品质量安全县，上梧江盘家村成功申报湖南省和美湘村示范创建村，泷泊镇霞灯村入选首批湖南省数字乡村试点名单，五里牌镇有效衔接工作“三个一”制度全市推介，理家坪乡获评全市粮食生产先进乡镇。</w:t>
      </w:r>
      <w:r>
        <w:rPr>
          <w:rFonts w:hint="eastAsia" w:ascii="仿宋_GB2312" w:hAnsi="仿宋_GB2312" w:eastAsia="仿宋_GB2312" w:cs="仿宋_GB2312"/>
          <w:b/>
          <w:sz w:val="32"/>
          <w:szCs w:val="32"/>
        </w:rPr>
        <w:t>生态环境稳定改善。</w:t>
      </w:r>
      <w:r>
        <w:rPr>
          <w:rFonts w:hint="eastAsia" w:ascii="仿宋_GB2312" w:hAnsi="Calibri" w:eastAsia="仿宋_GB2312" w:cs="仿宋_GB2312"/>
          <w:sz w:val="32"/>
          <w:szCs w:val="32"/>
        </w:rPr>
        <w:t>发动义务植树</w:t>
      </w:r>
      <w:r>
        <w:rPr>
          <w:rFonts w:ascii="仿宋_GB2312" w:hAnsi="Calibri" w:eastAsia="仿宋_GB2312" w:cs="仿宋_GB2312"/>
          <w:sz w:val="32"/>
          <w:szCs w:val="32"/>
        </w:rPr>
        <w:t>46.7</w:t>
      </w:r>
      <w:r>
        <w:rPr>
          <w:rFonts w:hint="eastAsia" w:ascii="仿宋_GB2312" w:hAnsi="Calibri" w:eastAsia="仿宋_GB2312" w:cs="仿宋_GB2312"/>
          <w:sz w:val="32"/>
          <w:szCs w:val="32"/>
        </w:rPr>
        <w:t>万株，</w:t>
      </w:r>
      <w:r>
        <w:rPr>
          <w:rFonts w:hint="eastAsia" w:ascii="仿宋_GB2312" w:hAnsi="仿宋_GB2312" w:eastAsia="仿宋_GB2312" w:cs="仿宋_GB2312"/>
          <w:sz w:val="32"/>
          <w:szCs w:val="32"/>
        </w:rPr>
        <w:t>新造林、森林抚育</w:t>
      </w:r>
      <w:r>
        <w:rPr>
          <w:rFonts w:ascii="仿宋_GB2312" w:hAnsi="仿宋_GB2312" w:eastAsia="仿宋_GB2312" w:cs="仿宋_GB2312"/>
          <w:sz w:val="32"/>
          <w:szCs w:val="32"/>
        </w:rPr>
        <w:t>3.8</w:t>
      </w:r>
      <w:r>
        <w:rPr>
          <w:rFonts w:hint="eastAsia" w:ascii="仿宋_GB2312" w:eastAsia="仿宋_GB2312" w:cs="仿宋_GB2312"/>
          <w:sz w:val="32"/>
          <w:szCs w:val="32"/>
        </w:rPr>
        <w:t>万亩，</w:t>
      </w:r>
      <w:r>
        <w:rPr>
          <w:rFonts w:hint="eastAsia" w:ascii="仿宋_GB2312" w:hAnsi="仿宋_GB2312" w:eastAsia="仿宋_GB2312" w:cs="仿宋_GB2312"/>
          <w:sz w:val="32"/>
          <w:szCs w:val="32"/>
        </w:rPr>
        <w:t>全省古树名木保护现场会在我县召开，江村镇荣获全省林长制工作先进单位。“夏季攻势”任务全面完</w:t>
      </w:r>
      <w:r>
        <w:rPr>
          <w:rFonts w:hint="eastAsia" w:ascii="仿宋_GB2312" w:eastAsia="仿宋_GB2312" w:cs="仿宋_GB2312"/>
          <w:sz w:val="32"/>
          <w:szCs w:val="32"/>
        </w:rPr>
        <w:t>成，土壤环境质量安全可控，有害生物成灾率低于省控指标，水质、空气质量分别居全省第</w:t>
      </w:r>
      <w:r>
        <w:rPr>
          <w:rFonts w:ascii="仿宋_GB2312" w:eastAsia="仿宋_GB2312" w:cs="仿宋_GB2312"/>
          <w:sz w:val="32"/>
          <w:szCs w:val="32"/>
        </w:rPr>
        <w:t>7</w:t>
      </w:r>
      <w:r>
        <w:rPr>
          <w:rFonts w:hint="eastAsia" w:ascii="仿宋_GB2312" w:eastAsia="仿宋_GB2312" w:cs="仿宋_GB2312"/>
          <w:sz w:val="32"/>
          <w:szCs w:val="32"/>
        </w:rPr>
        <w:t>位、第</w:t>
      </w:r>
      <w:r>
        <w:rPr>
          <w:rFonts w:ascii="仿宋_GB2312" w:eastAsia="仿宋_GB2312" w:cs="仿宋_GB2312"/>
          <w:sz w:val="32"/>
          <w:szCs w:val="32"/>
        </w:rPr>
        <w:t>24</w:t>
      </w:r>
      <w:r>
        <w:rPr>
          <w:rFonts w:hint="eastAsia" w:ascii="仿宋_GB2312" w:eastAsia="仿宋_GB2312" w:cs="仿宋_GB2312"/>
          <w:sz w:val="32"/>
          <w:szCs w:val="32"/>
        </w:rPr>
        <w:t>位。全年实现森林火灾零发生，湿地保护率、生态环境满意度均位居全市第一。</w:t>
      </w:r>
    </w:p>
    <w:p>
      <w:pPr>
        <w:pStyle w:val="26"/>
        <w:spacing w:after="0" w:line="560" w:lineRule="exact"/>
        <w:ind w:left="0" w:leftChars="0" w:firstLine="643"/>
        <w:rPr>
          <w:rFonts w:ascii="仿宋_GB2312" w:eastAsia="仿宋_GB2312" w:cs="Tahoma"/>
          <w:sz w:val="32"/>
          <w:szCs w:val="32"/>
        </w:rPr>
      </w:pPr>
      <w:r>
        <w:rPr>
          <w:rFonts w:hint="eastAsia" w:ascii="楷体_GB2312" w:hAnsi="楷体_GB2312" w:eastAsia="楷体_GB2312" w:cs="楷体_GB2312"/>
          <w:b/>
          <w:bCs/>
          <w:sz w:val="32"/>
          <w:szCs w:val="32"/>
        </w:rPr>
        <w:t>一年来，发展与安全并行，社会大局安定和谐。</w:t>
      </w:r>
      <w:r>
        <w:rPr>
          <w:rFonts w:hint="eastAsia" w:ascii="仿宋_GB2312" w:eastAsia="仿宋_GB2312" w:cs="仿宋_GB2312"/>
          <w:b/>
          <w:bCs/>
          <w:sz w:val="32"/>
          <w:szCs w:val="32"/>
        </w:rPr>
        <w:t>民生保障持续改善。</w:t>
      </w:r>
      <w:r>
        <w:rPr>
          <w:rFonts w:hint="eastAsia" w:ascii="仿宋_GB2312" w:eastAsia="仿宋_GB2312" w:cs="仿宋_GB2312"/>
          <w:spacing w:val="-1"/>
          <w:sz w:val="32"/>
          <w:szCs w:val="32"/>
        </w:rPr>
        <w:t>重点民生实事项目全面完成。</w:t>
      </w:r>
      <w:r>
        <w:rPr>
          <w:rFonts w:hint="eastAsia" w:ascii="仿宋_GB2312" w:eastAsia="仿宋_GB2312" w:cs="仿宋_GB2312"/>
          <w:sz w:val="32"/>
          <w:szCs w:val="32"/>
        </w:rPr>
        <w:t>失业保险、工伤保险参保率分别达到</w:t>
      </w:r>
      <w:r>
        <w:rPr>
          <w:rFonts w:ascii="仿宋_GB2312" w:eastAsia="仿宋_GB2312" w:cs="仿宋_GB2312"/>
          <w:sz w:val="32"/>
          <w:szCs w:val="32"/>
        </w:rPr>
        <w:t>100%</w:t>
      </w:r>
      <w:r>
        <w:rPr>
          <w:rFonts w:hint="eastAsia" w:ascii="仿宋_GB2312" w:eastAsia="仿宋_GB2312" w:cs="仿宋_GB2312"/>
          <w:sz w:val="32"/>
          <w:szCs w:val="32"/>
        </w:rPr>
        <w:t>、</w:t>
      </w:r>
      <w:r>
        <w:rPr>
          <w:rFonts w:ascii="仿宋_GB2312" w:eastAsia="仿宋_GB2312" w:cs="仿宋_GB2312"/>
          <w:sz w:val="32"/>
          <w:szCs w:val="32"/>
        </w:rPr>
        <w:t>110.21%</w:t>
      </w:r>
      <w:r>
        <w:rPr>
          <w:rFonts w:hint="eastAsia" w:ascii="仿宋_GB2312" w:eastAsia="仿宋_GB2312" w:cs="仿宋_GB2312"/>
          <w:sz w:val="32"/>
          <w:szCs w:val="32"/>
        </w:rPr>
        <w:t>，</w:t>
      </w:r>
      <w:r>
        <w:rPr>
          <w:rFonts w:hint="eastAsia" w:ascii="仿宋_GB2312" w:eastAsia="仿宋_GB2312" w:cs="仿宋_GB2312"/>
          <w:spacing w:val="-1"/>
          <w:sz w:val="32"/>
          <w:szCs w:val="32"/>
        </w:rPr>
        <w:t>获全省困难群众基本生活救助工作绩效评价优秀奖。</w:t>
      </w:r>
      <w:r>
        <w:rPr>
          <w:rFonts w:hint="eastAsia" w:ascii="仿宋_GB2312" w:eastAsia="仿宋_GB2312" w:cs="仿宋_GB2312"/>
          <w:b/>
          <w:bCs/>
          <w:spacing w:val="-1"/>
          <w:sz w:val="32"/>
          <w:szCs w:val="32"/>
        </w:rPr>
        <w:t>社会事业稳步推进。</w:t>
      </w:r>
      <w:r>
        <w:rPr>
          <w:rFonts w:hint="eastAsia" w:ascii="仿宋_GB2312" w:eastAsia="仿宋_GB2312" w:cs="仿宋_GB2312"/>
          <w:sz w:val="32"/>
          <w:szCs w:val="32"/>
        </w:rPr>
        <w:t>双牌二中“徐特立项目”加紧建设，高考本科上线人数突破</w:t>
      </w:r>
      <w:r>
        <w:rPr>
          <w:rFonts w:ascii="仿宋_GB2312" w:eastAsia="仿宋_GB2312" w:cs="仿宋_GB2312"/>
          <w:sz w:val="32"/>
          <w:szCs w:val="32"/>
        </w:rPr>
        <w:t>400</w:t>
      </w:r>
      <w:r>
        <w:rPr>
          <w:rFonts w:hint="eastAsia" w:ascii="仿宋_GB2312" w:eastAsia="仿宋_GB2312" w:cs="仿宋_GB2312"/>
          <w:sz w:val="32"/>
          <w:szCs w:val="32"/>
        </w:rPr>
        <w:t>人大关，</w:t>
      </w:r>
      <w:r>
        <w:rPr>
          <w:rFonts w:hint="eastAsia" w:ascii="仿宋_GB2312" w:hAnsi="仿宋_GB2312" w:eastAsia="仿宋_GB2312" w:cs="仿宋_GB2312"/>
          <w:sz w:val="32"/>
          <w:szCs w:val="32"/>
        </w:rPr>
        <w:t>连续</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年未发生一起学生溺水事故，</w:t>
      </w:r>
      <w:r>
        <w:rPr>
          <w:rFonts w:hint="eastAsia" w:ascii="仿宋_GB2312" w:eastAsia="仿宋_GB2312" w:cs="仿宋_GB2312"/>
          <w:sz w:val="32"/>
          <w:szCs w:val="32"/>
        </w:rPr>
        <w:t>“双减”典型经验获教育部专刊推介。建好</w:t>
      </w:r>
      <w:r>
        <w:rPr>
          <w:rFonts w:ascii="仿宋_GB2312" w:eastAsia="仿宋_GB2312" w:cs="仿宋_GB2312"/>
          <w:sz w:val="32"/>
          <w:szCs w:val="32"/>
        </w:rPr>
        <w:t>1</w:t>
      </w:r>
      <w:r>
        <w:rPr>
          <w:rFonts w:hint="eastAsia" w:ascii="仿宋_GB2312" w:eastAsia="仿宋_GB2312" w:cs="仿宋_GB2312"/>
          <w:sz w:val="32"/>
          <w:szCs w:val="32"/>
        </w:rPr>
        <w:t>个糖尿病防控中心和</w:t>
      </w:r>
      <w:r>
        <w:rPr>
          <w:sz w:val="44"/>
          <w:szCs w:val="44"/>
        </w:rPr>
        <w:pict>
          <v:shape id="_x0000_s1108" o:spid="_x0000_s1108" o:spt="202" type="#_x0000_t202" style="position:absolute;left:0pt;margin-left:-19.05pt;margin-top:-49.4pt;height:25.55pt;width:464.55pt;z-index:251658240;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r>
        <w:rPr>
          <w:rFonts w:ascii="仿宋_GB2312" w:eastAsia="仿宋_GB2312" w:cs="仿宋_GB2312"/>
          <w:sz w:val="32"/>
          <w:szCs w:val="32"/>
        </w:rPr>
        <w:t>11</w:t>
      </w:r>
      <w:r>
        <w:rPr>
          <w:rFonts w:hint="eastAsia" w:ascii="仿宋_GB2312" w:eastAsia="仿宋_GB2312" w:cs="仿宋_GB2312"/>
          <w:sz w:val="32"/>
          <w:szCs w:val="32"/>
        </w:rPr>
        <w:t>个基层标准化门诊，完成急危重症救治网络体系建设，</w:t>
      </w:r>
      <w:r>
        <w:rPr>
          <w:rFonts w:ascii="仿宋_GB2312" w:eastAsia="仿宋_GB2312" w:cs="仿宋_GB2312"/>
          <w:sz w:val="32"/>
          <w:szCs w:val="32"/>
        </w:rPr>
        <w:t>2</w:t>
      </w:r>
      <w:r>
        <w:rPr>
          <w:rFonts w:hint="eastAsia" w:ascii="仿宋_GB2312" w:eastAsia="仿宋_GB2312" w:cs="仿宋_GB2312"/>
          <w:sz w:val="32"/>
          <w:szCs w:val="32"/>
        </w:rPr>
        <w:t>个省级卫生乡镇通过技术评估。适龄妇女“两癌”免费筛查完成率达</w:t>
      </w:r>
      <w:r>
        <w:rPr>
          <w:rFonts w:ascii="仿宋_GB2312" w:eastAsia="仿宋_GB2312" w:cs="仿宋_GB2312"/>
          <w:sz w:val="32"/>
          <w:szCs w:val="32"/>
        </w:rPr>
        <w:t>100.9%</w:t>
      </w:r>
      <w:r>
        <w:rPr>
          <w:rFonts w:hint="eastAsia" w:ascii="仿宋_GB2312" w:eastAsia="仿宋_GB2312" w:cs="仿宋_GB2312"/>
          <w:sz w:val="32"/>
          <w:szCs w:val="32"/>
        </w:rPr>
        <w:t>，国家药物制度改革全省第三。县图书馆升级为国家二级馆。五星岭乡荣获“全国五四红旗团委”称号。</w:t>
      </w:r>
      <w:r>
        <w:rPr>
          <w:rFonts w:hint="eastAsia" w:ascii="仿宋_GB2312" w:eastAsia="仿宋_GB2312" w:cs="仿宋_GB2312"/>
          <w:b/>
          <w:bCs/>
          <w:sz w:val="32"/>
          <w:szCs w:val="32"/>
        </w:rPr>
        <w:t>重大风险防范有效。</w:t>
      </w:r>
      <w:r>
        <w:rPr>
          <w:rFonts w:hint="eastAsia" w:ascii="仿宋_GB2312" w:eastAsia="仿宋_GB2312" w:cs="仿宋_GB2312"/>
          <w:sz w:val="32"/>
          <w:szCs w:val="32"/>
        </w:rPr>
        <w:t>完成化债任务</w:t>
      </w:r>
      <w:r>
        <w:rPr>
          <w:rFonts w:ascii="仿宋_GB2312" w:eastAsia="仿宋_GB2312" w:cs="仿宋_GB2312"/>
          <w:sz w:val="32"/>
          <w:szCs w:val="32"/>
        </w:rPr>
        <w:t>3.84</w:t>
      </w:r>
      <w:r>
        <w:rPr>
          <w:rFonts w:hint="eastAsia" w:ascii="仿宋_GB2312" w:eastAsia="仿宋_GB2312" w:cs="仿宋_GB2312"/>
          <w:sz w:val="32"/>
          <w:szCs w:val="32"/>
        </w:rPr>
        <w:t>亿元，非法集资陈案审结率</w:t>
      </w:r>
      <w:r>
        <w:rPr>
          <w:rFonts w:ascii="仿宋_GB2312" w:eastAsia="仿宋_GB2312" w:cs="仿宋_GB2312"/>
          <w:sz w:val="32"/>
          <w:szCs w:val="32"/>
        </w:rPr>
        <w:t>100%</w:t>
      </w:r>
      <w:r>
        <w:rPr>
          <w:rFonts w:hint="eastAsia" w:ascii="仿宋_GB2312" w:eastAsia="仿宋_GB2312" w:cs="仿宋_GB2312"/>
          <w:sz w:val="32"/>
          <w:szCs w:val="32"/>
        </w:rPr>
        <w:t>，守住了不发生系统性金融风险底线。</w:t>
      </w:r>
      <w:r>
        <w:rPr>
          <w:rFonts w:ascii="仿宋_GB2312" w:eastAsia="仿宋_GB2312" w:cs="仿宋_GB2312"/>
          <w:sz w:val="32"/>
          <w:szCs w:val="32"/>
        </w:rPr>
        <w:t>296</w:t>
      </w:r>
      <w:r>
        <w:rPr>
          <w:rFonts w:hint="eastAsia" w:ascii="仿宋_GB2312" w:eastAsia="仿宋_GB2312" w:cs="仿宋_GB2312"/>
          <w:sz w:val="32"/>
          <w:szCs w:val="32"/>
        </w:rPr>
        <w:t>套保交楼任务全面完成。全县未发生较大及以上生产安全事故，防汛救灾工作获省防汛抗旱指挥部通报表扬，打鼓坪乡获评“湖南省安全发展工作示范乡镇”。</w:t>
      </w:r>
      <w:r>
        <w:rPr>
          <w:rFonts w:hint="eastAsia" w:ascii="仿宋_GB2312" w:eastAsia="仿宋_GB2312" w:cs="仿宋_GB2312"/>
          <w:b/>
          <w:bCs/>
          <w:sz w:val="32"/>
          <w:szCs w:val="32"/>
        </w:rPr>
        <w:t>社会治理积极有为。</w:t>
      </w:r>
      <w:r>
        <w:rPr>
          <w:rFonts w:hint="eastAsia" w:ascii="仿宋_GB2312" w:eastAsia="仿宋_GB2312" w:cs="仿宋_GB2312"/>
          <w:sz w:val="32"/>
          <w:szCs w:val="32"/>
        </w:rPr>
        <w:t>践行新时代“枫桥经验”，处理各类信访件</w:t>
      </w:r>
      <w:r>
        <w:rPr>
          <w:rFonts w:ascii="仿宋_GB2312" w:eastAsia="仿宋_GB2312" w:cs="仿宋_GB2312"/>
          <w:sz w:val="32"/>
          <w:szCs w:val="32"/>
        </w:rPr>
        <w:t>149</w:t>
      </w:r>
      <w:r>
        <w:rPr>
          <w:rFonts w:hint="eastAsia" w:ascii="仿宋_GB2312" w:eastAsia="仿宋_GB2312" w:cs="仿宋_GB2312"/>
          <w:sz w:val="32"/>
          <w:szCs w:val="32"/>
        </w:rPr>
        <w:t>起，全年无赴省进京非访事件和负面舆情。茶林镇桐子坳村荣获“第三批全国乡村治理示范村”称号，麻江镇获评全省基层治理创新实验单位，江村镇、塘底乡连续两年跻身“全市信访工作示范乡镇”，何家洞镇连续</w:t>
      </w:r>
      <w:r>
        <w:rPr>
          <w:rFonts w:ascii="仿宋_GB2312" w:eastAsia="仿宋_GB2312" w:cs="仿宋_GB2312"/>
          <w:sz w:val="32"/>
          <w:szCs w:val="32"/>
        </w:rPr>
        <w:t>37</w:t>
      </w:r>
      <w:r>
        <w:rPr>
          <w:rFonts w:hint="eastAsia" w:ascii="仿宋_GB2312" w:eastAsia="仿宋_GB2312" w:cs="仿宋_GB2312"/>
          <w:sz w:val="32"/>
          <w:szCs w:val="32"/>
        </w:rPr>
        <w:t>年实现省级边界“四无”，“街长制”管理模式被《湖南日报》头版头条推介。常态化开展扫黑除恶、利剑护蕾等专项行动，综治民调位居全省第五、全市第一，连续</w:t>
      </w:r>
      <w:r>
        <w:rPr>
          <w:rFonts w:ascii="仿宋_GB2312" w:eastAsia="仿宋_GB2312" w:cs="仿宋_GB2312"/>
          <w:sz w:val="32"/>
          <w:szCs w:val="32"/>
        </w:rPr>
        <w:t>17</w:t>
      </w:r>
      <w:r>
        <w:rPr>
          <w:rFonts w:hint="eastAsia" w:ascii="仿宋_GB2312" w:eastAsia="仿宋_GB2312" w:cs="仿宋_GB2312"/>
          <w:sz w:val="32"/>
          <w:szCs w:val="32"/>
        </w:rPr>
        <w:t>年进入全省平安县行列。</w:t>
      </w:r>
    </w:p>
    <w:p>
      <w:pPr>
        <w:spacing w:line="580" w:lineRule="exact"/>
        <w:ind w:firstLine="642" w:firstLineChars="200"/>
        <w:rPr>
          <w:rFonts w:ascii="仿宋_GB2312" w:hAnsi="仿宋_GB2312" w:eastAsia="仿宋_GB2312"/>
          <w:sz w:val="32"/>
          <w:szCs w:val="32"/>
        </w:rPr>
      </w:pPr>
      <w:r>
        <w:rPr>
          <w:rFonts w:hint="eastAsia" w:ascii="楷体_GB2312" w:hAnsi="楷体_GB2312" w:eastAsia="楷体_GB2312" w:cs="楷体_GB2312"/>
          <w:b/>
          <w:sz w:val="32"/>
          <w:szCs w:val="32"/>
        </w:rPr>
        <w:t>一年来，守正与创新并进，自身建设全面加强。</w:t>
      </w:r>
      <w:r>
        <w:rPr>
          <w:rFonts w:hint="eastAsia" w:ascii="仿宋_GB2312" w:hAnsi="Calibri" w:eastAsia="仿宋_GB2312" w:cs="仿宋_GB2312"/>
          <w:sz w:val="32"/>
          <w:szCs w:val="32"/>
        </w:rPr>
        <w:t>坚持“一张蓝图绘到底”不折腾，推进“一双王牌”创新发展；坚持生态优先、绿色发展不动摇，推进新能源新材料产业创新发展，加速资源变资产；传承发扬双牌水库精神、“西山”精神不懈怠，先立后破、破立并举，创新推出“企业早餐会”“揭榜挂帅竞优”等措施，真抓实干、优化营商环境取得可喜成绩。扛牢全面从严治党主体责任，</w:t>
      </w:r>
      <w:r>
        <w:rPr>
          <w:rFonts w:hint="eastAsia" w:ascii="仿宋_GB2312" w:eastAsia="仿宋_GB2312" w:cs="仿宋_GB2312"/>
          <w:sz w:val="32"/>
          <w:szCs w:val="32"/>
        </w:rPr>
        <w:t>政府系统党的建设全面加强</w:t>
      </w:r>
      <w:r>
        <w:rPr>
          <w:rFonts w:hint="eastAsia" w:ascii="仿宋_GB2312" w:hAnsi="Calibri" w:eastAsia="仿宋_GB2312" w:cs="仿宋_GB2312"/>
          <w:sz w:val="32"/>
          <w:szCs w:val="32"/>
        </w:rPr>
        <w:t>。加快推进法治政府建设，</w:t>
      </w:r>
      <w:r>
        <w:rPr>
          <w:rFonts w:hint="eastAsia" w:ascii="仿宋_GB2312" w:eastAsia="仿宋_GB2312" w:cs="仿宋_GB2312"/>
          <w:sz w:val="32"/>
          <w:szCs w:val="32"/>
        </w:rPr>
        <w:t>严格政府规范性文件审查，</w:t>
      </w:r>
      <w:r>
        <w:rPr>
          <w:rFonts w:hint="eastAsia" w:ascii="仿宋_GB2312" w:hAnsi="仿宋_GB2312" w:eastAsia="仿宋_GB2312" w:cs="仿宋_GB2312"/>
          <w:sz w:val="32"/>
          <w:szCs w:val="32"/>
        </w:rPr>
        <w:t>全年共制定和备案规范性文件</w:t>
      </w:r>
      <w:r>
        <w:rPr>
          <w:rFonts w:ascii="仿宋_GB2312" w:hAnsi="仿宋_GB2312" w:eastAsia="仿宋_GB2312" w:cs="仿宋_GB2312"/>
          <w:sz w:val="32"/>
          <w:szCs w:val="32"/>
        </w:rPr>
        <w:t>12</w:t>
      </w:r>
      <w:r>
        <w:rPr>
          <w:rFonts w:hint="eastAsia" w:ascii="仿宋_GB2312" w:hAnsi="仿宋_GB2312" w:eastAsia="仿宋_GB2312" w:cs="仿宋_GB2312"/>
          <w:sz w:val="32"/>
          <w:szCs w:val="32"/>
        </w:rPr>
        <w:t>件；</w:t>
      </w:r>
      <w:r>
        <w:rPr>
          <w:rFonts w:hint="eastAsia" w:ascii="仿宋_GB2312" w:eastAsia="仿宋_GB2312" w:cs="仿宋_GB2312"/>
          <w:sz w:val="32"/>
          <w:szCs w:val="32"/>
        </w:rPr>
        <w:t>办理市人大代表建议</w:t>
      </w:r>
      <w:r>
        <w:rPr>
          <w:rFonts w:ascii="仿宋_GB2312" w:eastAsia="仿宋_GB2312" w:cs="仿宋_GB2312"/>
          <w:sz w:val="32"/>
          <w:szCs w:val="32"/>
        </w:rPr>
        <w:t>5</w:t>
      </w:r>
      <w:r>
        <w:rPr>
          <w:rFonts w:hint="eastAsia" w:ascii="仿宋_GB2312" w:eastAsia="仿宋_GB2312" w:cs="仿宋_GB2312"/>
          <w:sz w:val="32"/>
          <w:szCs w:val="32"/>
        </w:rPr>
        <w:t>件，县人大代表建议</w:t>
      </w:r>
      <w:r>
        <w:rPr>
          <w:rFonts w:ascii="仿宋_GB2312" w:eastAsia="仿宋_GB2312" w:cs="仿宋_GB2312"/>
          <w:sz w:val="32"/>
          <w:szCs w:val="32"/>
        </w:rPr>
        <w:t>74</w:t>
      </w:r>
      <w:r>
        <w:rPr>
          <w:rFonts w:hint="eastAsia" w:ascii="仿宋_GB2312" w:eastAsia="仿宋_GB2312" w:cs="仿宋_GB2312"/>
          <w:sz w:val="32"/>
          <w:szCs w:val="32"/>
        </w:rPr>
        <w:t>件，县政协委员提案</w:t>
      </w:r>
      <w:r>
        <w:rPr>
          <w:rFonts w:ascii="仿宋_GB2312" w:eastAsia="仿宋_GB2312" w:cs="仿宋_GB2312"/>
          <w:sz w:val="32"/>
          <w:szCs w:val="32"/>
        </w:rPr>
        <w:t>32</w:t>
      </w:r>
      <w:r>
        <w:rPr>
          <w:rFonts w:hint="eastAsia" w:ascii="仿宋_GB2312" w:eastAsia="仿宋_GB2312" w:cs="仿宋_GB2312"/>
          <w:sz w:val="32"/>
          <w:szCs w:val="32"/>
        </w:rPr>
        <w:t>件。严格执行中央八项规定及其实施细则精神，压减一般性及非重点项目支出</w:t>
      </w:r>
      <w:r>
        <w:rPr>
          <w:rFonts w:ascii="仿宋_GB2312" w:eastAsia="仿宋_GB2312" w:cs="仿宋_GB2312"/>
          <w:sz w:val="32"/>
          <w:szCs w:val="32"/>
        </w:rPr>
        <w:t>2200</w:t>
      </w:r>
      <w:r>
        <w:rPr>
          <w:rFonts w:hint="eastAsia" w:ascii="仿宋_GB2312" w:eastAsia="仿宋_GB2312" w:cs="仿宋_GB2312"/>
          <w:sz w:val="32"/>
          <w:szCs w:val="32"/>
        </w:rPr>
        <w:t>余万元。抓好省委巡视反馈问题整改。审计、统计监督更加有效。</w:t>
      </w:r>
    </w:p>
    <w:p>
      <w:pPr>
        <w:pStyle w:val="2"/>
        <w:spacing w:after="0" w:line="580" w:lineRule="exact"/>
      </w:pPr>
      <w:r>
        <w:rPr>
          <w:sz w:val="44"/>
          <w:szCs w:val="44"/>
        </w:rPr>
        <w:pict>
          <v:shape id="_x0000_s1109" o:spid="_x0000_s1109" o:spt="202" type="#_x0000_t202" style="position:absolute;left:0pt;margin-left:-22.65pt;margin-top:-357.4pt;height:25.55pt;width:472.95pt;z-index:251659264;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r>
        <w:rPr>
          <w:rFonts w:hint="eastAsia" w:ascii="仿宋_GB2312" w:hAnsi="仿宋_GB2312" w:eastAsia="仿宋_GB2312" w:cs="仿宋_GB2312"/>
          <w:sz w:val="32"/>
          <w:szCs w:val="32"/>
        </w:rPr>
        <w:t xml:space="preserve">    全县国防动员和后备力量建设扎实有效，武警、退役军人、人民防空等工作不断发展，双拥工作深入推进。档案保密、史志、外事侨务、对台、民族宗教、机关事务、供销、住房公积金、气象、水文等工作取得新成效。工会、共青团、妇联、残联、文联、科协、红十字会、计生协会等群团组织，在经济社会发展中发挥了积极作用。</w:t>
      </w:r>
    </w:p>
    <w:p>
      <w:pPr>
        <w:spacing w:line="58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各位代表！过去一年，我们克难奋进、坚定前行，成绩来之不易。这是习近平新时代中国特色社会主义思想科学指引的结果，是市委、市政府和县委正确领导、科学决策的结果，是县人大、县政协和衷共济、鼎力支持的结果，是全县人民众志成城、团结奋斗的结果，在此，我代表县人民政府，向全县人民，向工商联、无党派人士、各人民团体，向驻双部队、武警官兵、政法干警、民兵预备役人员和消防救援队伍，向省市驻双单位，向所有关心、支持、参与双牌经济社会发展的同志们、朋友们，表示诚挚的感谢！</w:t>
      </w:r>
    </w:p>
    <w:p>
      <w:pPr>
        <w:spacing w:line="58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我们也清醒地认识到，全县发展还面临不少困难和挑战，主要表现在：县域产业实力不强，产业配套不完善、集聚效应不明显；招商引资成效不佳，围绕“一主一特”延链补链还有差距；土地、资金、人才等要素保障供给不足；安全稳定形势依然严峻，金融债务、房地产、安全生产、生态环保等领域风险隐患较多；公共服务供给不均衡，民生保障水平与人民群众的新期待有差距；部分干部干事创业的精气神不足，政府行政效能还需进一步提升，等等。我们必须高度重视，采取有效措施，全力加以解决。</w:t>
      </w:r>
    </w:p>
    <w:p>
      <w:pPr>
        <w:spacing w:line="560" w:lineRule="exact"/>
        <w:rPr>
          <w:rFonts w:ascii="黑体" w:hAnsi="黑体" w:eastAsia="黑体"/>
          <w:sz w:val="32"/>
          <w:szCs w:val="32"/>
        </w:rPr>
      </w:pPr>
      <w:r>
        <w:rPr>
          <w:sz w:val="44"/>
          <w:szCs w:val="44"/>
        </w:rPr>
        <w:pict>
          <v:shape id="_x0000_s1110" o:spid="_x0000_s1110" o:spt="202" type="#_x0000_t202" style="position:absolute;left:0pt;margin-left:-22.05pt;margin-top:-430.6pt;height:25.55pt;width:467.55pt;z-index:251660288;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r>
        <w:rPr>
          <w:rFonts w:hint="eastAsia" w:ascii="黑体" w:hAnsi="黑体" w:eastAsia="黑体" w:cs="黑体"/>
          <w:sz w:val="32"/>
          <w:szCs w:val="32"/>
        </w:rPr>
        <w:t xml:space="preserve">    二、</w:t>
      </w:r>
      <w:r>
        <w:rPr>
          <w:rFonts w:ascii="黑体" w:hAnsi="黑体" w:eastAsia="黑体" w:cs="黑体"/>
          <w:sz w:val="32"/>
          <w:szCs w:val="32"/>
        </w:rPr>
        <w:t>2024</w:t>
      </w:r>
      <w:r>
        <w:rPr>
          <w:rFonts w:hint="eastAsia" w:ascii="黑体" w:hAnsi="黑体" w:eastAsia="黑体" w:cs="黑体"/>
          <w:sz w:val="32"/>
          <w:szCs w:val="32"/>
        </w:rPr>
        <w:t>年工作安排</w:t>
      </w:r>
    </w:p>
    <w:p>
      <w:pPr>
        <w:pStyle w:val="2"/>
        <w:spacing w:after="0" w:line="560" w:lineRule="exact"/>
        <w:ind w:firstLine="640" w:firstLineChars="200"/>
      </w:pPr>
      <w:r>
        <w:rPr>
          <w:rFonts w:hint="eastAsia" w:ascii="仿宋_GB2312" w:hAnsi="仿宋_GB2312" w:eastAsia="仿宋_GB2312" w:cs="仿宋_GB2312"/>
          <w:sz w:val="32"/>
          <w:szCs w:val="32"/>
        </w:rPr>
        <w:t>发展不停步，奋斗正当时。今年，是新中国成立</w:t>
      </w:r>
      <w:r>
        <w:rPr>
          <w:rFonts w:ascii="仿宋_GB2312" w:hAnsi="仿宋_GB2312" w:eastAsia="仿宋_GB2312" w:cs="仿宋_GB2312"/>
          <w:sz w:val="32"/>
          <w:szCs w:val="32"/>
        </w:rPr>
        <w:t>75</w:t>
      </w:r>
      <w:r>
        <w:rPr>
          <w:rFonts w:hint="eastAsia" w:ascii="仿宋_GB2312" w:hAnsi="仿宋_GB2312" w:eastAsia="仿宋_GB2312" w:cs="仿宋_GB2312"/>
          <w:sz w:val="32"/>
          <w:szCs w:val="32"/>
        </w:rPr>
        <w:t>周年，是实施“十四五”规划的关键一年，做好全年经济工作至关重要、意义重大。当前，世界形势错综复杂，但我国经济发展的韧性强、潜力足、回旋余地大，回升向好、长期向好的基本趋势没有改变，新一轮科技革命和产业变革正催生大量新产业、新业态、新模式，发展面临的有利条件大于不利因素。全省上下积极开展解放思想大讨论活动，大力推进“八大行动”，各方纷纷看好湖南、投资湖南，加快高质量发展其略已定、其势已成。全市发展基础不断夯实，农业特色产业优势日益明显，新能源新材料等新兴产业带来发展新动能，一批重大项目开工建设增强发展推动力。经过多年打基础、固根本，我县的发展目标更加明确、发展路径更加清晰、发展动能更加强劲，开启了高质量发展的新征程。新的一年，我们将不负时代、不负人民，锚定</w:t>
      </w:r>
      <w:r>
        <w:rPr>
          <w:rFonts w:ascii="仿宋_GB2312" w:hAnsi="仿宋_GB2312" w:eastAsia="仿宋_GB2312" w:cs="仿宋_GB2312"/>
          <w:sz w:val="32"/>
          <w:szCs w:val="32"/>
        </w:rPr>
        <w:t>GDP</w:t>
      </w:r>
      <w:r>
        <w:rPr>
          <w:rFonts w:hint="eastAsia" w:ascii="仿宋_GB2312" w:hAnsi="仿宋_GB2312" w:eastAsia="仿宋_GB2312" w:cs="仿宋_GB2312"/>
          <w:sz w:val="32"/>
          <w:szCs w:val="32"/>
        </w:rPr>
        <w:t>过百亿目标不动摇，坚定信心、迎难而上，真抓实干、敢作善为，以一县之力尽发展之责，以一域之为给全局添彩！</w:t>
      </w:r>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工作</w:t>
      </w:r>
      <w:r>
        <w:rPr>
          <w:rFonts w:hint="eastAsia" w:ascii="仿宋_GB2312" w:hAnsi="楷体_GB2312" w:eastAsia="仿宋_GB2312" w:cs="楷体_GB2312"/>
          <w:sz w:val="32"/>
          <w:szCs w:val="32"/>
        </w:rPr>
        <w:t>总体要求</w:t>
      </w:r>
      <w:r>
        <w:rPr>
          <w:rFonts w:hint="eastAsia" w:ascii="仿宋_GB2312" w:hAnsi="仿宋_GB2312" w:eastAsia="仿宋_GB2312" w:cs="仿宋_GB2312"/>
          <w:sz w:val="32"/>
          <w:szCs w:val="32"/>
        </w:rPr>
        <w:t>是</w:t>
      </w:r>
      <w:r>
        <w:rPr>
          <w:rFonts w:ascii="仿宋_GB2312" w:hAnsi="仿宋_GB2312" w:eastAsia="仿宋_GB2312" w:cs="仿宋_GB2312"/>
          <w:sz w:val="32"/>
          <w:szCs w:val="32"/>
        </w:rPr>
        <w:t>:</w:t>
      </w:r>
      <w:r>
        <w:rPr>
          <w:rFonts w:hint="eastAsia" w:ascii="仿宋_GB2312" w:hAnsi="仿宋_GB2312" w:eastAsia="仿宋_GB2312" w:cs="仿宋_GB2312"/>
          <w:b/>
          <w:sz w:val="32"/>
          <w:szCs w:val="32"/>
        </w:rPr>
        <w:t>以习近平新时代中国特色社会主义</w:t>
      </w:r>
      <w:r>
        <w:rPr>
          <w:sz w:val="44"/>
          <w:szCs w:val="44"/>
        </w:rPr>
        <w:pict>
          <v:shape id="_x0000_s1111" o:spid="_x0000_s1111" o:spt="202" type="#_x0000_t202" style="position:absolute;left:0pt;margin-left:-23.85pt;margin-top:-51.8pt;height:25.55pt;width:469.35pt;z-index:251661312;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r>
        <w:rPr>
          <w:rFonts w:hint="eastAsia" w:ascii="仿宋_GB2312" w:hAnsi="仿宋_GB2312" w:eastAsia="仿宋_GB2312" w:cs="仿宋_GB2312"/>
          <w:b/>
          <w:sz w:val="32"/>
          <w:szCs w:val="32"/>
        </w:rPr>
        <w:t>思想为指引，全面贯彻落实党的二十大、中央经济工作会议、省委十二届五次全会、市委经济工作会议和县委十一届五次全会精神，坚持稳中求进工作总基调，完整准确全面贯彻新发展理念</w:t>
      </w:r>
      <w:r>
        <w:rPr>
          <w:rFonts w:hint="eastAsia" w:ascii="仿宋_GB2312" w:hAnsi="仿宋_GB2312" w:eastAsia="仿宋_GB2312" w:cs="仿宋_GB2312"/>
          <w:b/>
          <w:spacing w:val="-2"/>
          <w:sz w:val="32"/>
          <w:szCs w:val="32"/>
        </w:rPr>
        <w:t>，服务和融入新发展格局，锚定“三高四新”美好蓝图，全面落实“八大行动”，牢牢</w:t>
      </w:r>
      <w:r>
        <w:rPr>
          <w:rFonts w:hint="eastAsia" w:ascii="仿宋_GB2312" w:hAnsi="仿宋_GB2312" w:eastAsia="仿宋_GB2312" w:cs="仿宋_GB2312"/>
          <w:b/>
          <w:spacing w:val="-6"/>
          <w:sz w:val="32"/>
          <w:szCs w:val="32"/>
        </w:rPr>
        <w:t>把握“六大战略支点”，着力推进高质量发展，全面深化改革开放，加快创新驱动发展，统筹扩大内需和深化供给侧结构性改革，统筹新型城镇化和乡村全面振兴，统筹高质量发展和高水平安全，切实增强经济活力、防范化解风险、改善社会预期，持续推动经济实现质的有效提升和量的合理增长，增进民生福祉，保持社会稳定，加快“打造一双王牌、做足两篇文章，努力建设最精最美双牌”，推动现代化新双牌建设取得新的更大进展。</w:t>
      </w:r>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主要预期目标是</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地区生产总值增长</w:t>
      </w:r>
      <w:r>
        <w:rPr>
          <w:rFonts w:ascii="仿宋_GB2312" w:hAnsi="仿宋_GB2312" w:eastAsia="仿宋_GB2312" w:cs="仿宋_GB2312"/>
          <w:sz w:val="32"/>
          <w:szCs w:val="32"/>
        </w:rPr>
        <w:t>7.1%</w:t>
      </w:r>
      <w:r>
        <w:rPr>
          <w:rFonts w:hint="eastAsia" w:ascii="仿宋_GB2312" w:hAnsi="仿宋_GB2312" w:eastAsia="仿宋_GB2312" w:cs="仿宋_GB2312"/>
          <w:sz w:val="32"/>
          <w:szCs w:val="32"/>
        </w:rPr>
        <w:t>，规模工业增加值增长</w:t>
      </w:r>
      <w:r>
        <w:rPr>
          <w:rFonts w:ascii="仿宋_GB2312" w:hAnsi="仿宋_GB2312" w:eastAsia="仿宋_GB2312" w:cs="仿宋_GB2312"/>
          <w:sz w:val="32"/>
          <w:szCs w:val="32"/>
        </w:rPr>
        <w:t>9%</w:t>
      </w:r>
      <w:r>
        <w:rPr>
          <w:rFonts w:hint="eastAsia" w:ascii="仿宋_GB2312" w:hAnsi="仿宋_GB2312" w:eastAsia="仿宋_GB2312" w:cs="仿宋_GB2312"/>
          <w:sz w:val="32"/>
          <w:szCs w:val="32"/>
        </w:rPr>
        <w:t>，固定资产投资增长</w:t>
      </w:r>
      <w:r>
        <w:rPr>
          <w:rFonts w:ascii="仿宋_GB2312" w:hAnsi="仿宋_GB2312" w:eastAsia="仿宋_GB2312" w:cs="仿宋_GB2312"/>
          <w:sz w:val="32"/>
          <w:szCs w:val="32"/>
        </w:rPr>
        <w:t>8.5%</w:t>
      </w:r>
      <w:r>
        <w:rPr>
          <w:rFonts w:hint="eastAsia" w:ascii="仿宋_GB2312" w:hAnsi="仿宋_GB2312" w:eastAsia="仿宋_GB2312" w:cs="仿宋_GB2312"/>
          <w:sz w:val="32"/>
          <w:szCs w:val="32"/>
        </w:rPr>
        <w:t>，社会消费品零售总额增长</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，地方一般公共预算收入增长</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，进出口总额增长</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，居民收入增长增速高于经济增速，农村居民收入增速高于城镇居民增速。城镇调查失业率与省市保持一致。环境保护、资源节约、安全生产等约束性指标完成市定任务。</w:t>
      </w:r>
    </w:p>
    <w:p>
      <w:pPr>
        <w:spacing w:line="560" w:lineRule="exact"/>
        <w:ind w:firstLine="640" w:firstLineChars="200"/>
        <w:rPr>
          <w:rFonts w:ascii="楷体_GB2312" w:hAnsi="楷体_GB2312" w:eastAsia="楷体_GB2312"/>
          <w:b/>
          <w:sz w:val="32"/>
          <w:szCs w:val="32"/>
        </w:rPr>
      </w:pPr>
      <w:r>
        <w:rPr>
          <w:rFonts w:hint="eastAsia" w:ascii="仿宋_GB2312" w:hAnsi="仿宋_GB2312" w:eastAsia="仿宋_GB2312" w:cs="仿宋_GB2312"/>
          <w:sz w:val="32"/>
          <w:szCs w:val="32"/>
        </w:rPr>
        <w:t>完成今年的目标任务，我们要坚持稳中求进、以进促稳、先立后破，贯彻落实党中央决策部署和省市工作安排，全面落实县委“八个方面工作任务”，扎实做好今年经济工作。</w:t>
      </w:r>
    </w:p>
    <w:p>
      <w:pPr>
        <w:spacing w:line="560" w:lineRule="exact"/>
        <w:ind w:firstLine="642" w:firstLineChars="200"/>
        <w:rPr>
          <w:rFonts w:ascii="楷体_GB2312" w:hAnsi="楷体_GB2312" w:eastAsia="楷体_GB2312"/>
          <w:b/>
          <w:sz w:val="32"/>
          <w:szCs w:val="32"/>
        </w:rPr>
      </w:pPr>
      <w:r>
        <w:rPr>
          <w:rFonts w:ascii="楷体_GB2312" w:hAnsi="楷体_GB2312" w:eastAsia="楷体_GB2312" w:cs="楷体_GB2312"/>
          <w:b/>
          <w:sz w:val="32"/>
          <w:szCs w:val="32"/>
        </w:rPr>
        <w:t>1.</w:t>
      </w:r>
      <w:r>
        <w:rPr>
          <w:rFonts w:hint="eastAsia" w:ascii="楷体_GB2312" w:hAnsi="楷体_GB2312" w:eastAsia="楷体_GB2312" w:cs="楷体_GB2312"/>
          <w:b/>
          <w:sz w:val="32"/>
          <w:szCs w:val="32"/>
        </w:rPr>
        <w:t>坚持生态立县，加快建设最精最美双牌</w:t>
      </w:r>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青山就是美丽，蓝天呈现幸福。双牌是一幅绝美的山水画卷，双牌有你恋恋不舍的乡愁，我们要守护好双牌的绿水青山，筑牢全县人民的“幸福靠山”，加快打造最具魅力的山水生态新城。</w:t>
      </w:r>
    </w:p>
    <w:p>
      <w:pPr>
        <w:spacing w:line="560" w:lineRule="exact"/>
        <w:rPr>
          <w:rFonts w:ascii="仿宋_GB2312" w:hAnsi="仿宋_GB2312" w:eastAsia="仿宋_GB2312"/>
          <w:sz w:val="32"/>
          <w:szCs w:val="32"/>
        </w:rPr>
      </w:pPr>
      <w:r>
        <w:rPr>
          <w:sz w:val="44"/>
          <w:szCs w:val="44"/>
        </w:rPr>
        <w:pict>
          <v:shape id="_x0000_s1112" o:spid="_x0000_s1112" o:spt="202" type="#_x0000_t202" style="position:absolute;left:0pt;margin-left:-20.85pt;margin-top:-163.8pt;height:25.55pt;width:466.35pt;z-index:251662336;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r>
        <w:rPr>
          <w:rFonts w:hint="eastAsia" w:ascii="仿宋_GB2312" w:hAnsi="仿宋_GB2312" w:eastAsia="仿宋_GB2312" w:cs="仿宋_GB2312"/>
          <w:b/>
          <w:sz w:val="32"/>
          <w:szCs w:val="32"/>
        </w:rPr>
        <w:t xml:space="preserve">    建设生态文明</w:t>
      </w:r>
      <w:r>
        <w:rPr>
          <w:rFonts w:hint="eastAsia" w:ascii="仿宋_GB2312" w:hAnsi="Calibri" w:eastAsia="仿宋_GB2312" w:cs="仿宋_GB2312"/>
          <w:b/>
          <w:spacing w:val="-1"/>
          <w:sz w:val="32"/>
          <w:szCs w:val="32"/>
        </w:rPr>
        <w:t>。</w:t>
      </w:r>
      <w:r>
        <w:rPr>
          <w:rFonts w:hint="eastAsia" w:ascii="仿宋_GB2312" w:hAnsi="仿宋_GB2312" w:eastAsia="仿宋_GB2312" w:cs="仿宋_GB2312"/>
          <w:sz w:val="32"/>
          <w:szCs w:val="32"/>
        </w:rPr>
        <w:t>持续打好“三大保卫战”，积极推进“夏季攻势”“利剑”等专项行动，高质量完成环保督察反馈问题整改，力争集中式饮用水水源地水质达标率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，地表水环境质量位居全市前列，</w:t>
      </w:r>
      <w:r>
        <w:rPr>
          <w:rFonts w:ascii="仿宋_GB2312" w:hAnsi="仿宋_GB2312" w:eastAsia="仿宋_GB2312" w:cs="仿宋_GB2312"/>
          <w:sz w:val="32"/>
          <w:szCs w:val="32"/>
        </w:rPr>
        <w:t>PM2.5</w:t>
      </w:r>
      <w:r>
        <w:rPr>
          <w:rFonts w:hint="eastAsia" w:ascii="仿宋_GB2312" w:hAnsi="仿宋_GB2312" w:eastAsia="仿宋_GB2312" w:cs="仿宋_GB2312"/>
          <w:sz w:val="32"/>
          <w:szCs w:val="32"/>
        </w:rPr>
        <w:t>年平均值保持在</w:t>
      </w:r>
      <w:r>
        <w:rPr>
          <w:rFonts w:ascii="仿宋_GB2312" w:hAnsi="仿宋_GB2312" w:eastAsia="仿宋_GB2312" w:cs="仿宋_GB2312"/>
          <w:sz w:val="32"/>
          <w:szCs w:val="32"/>
        </w:rPr>
        <w:t>25</w:t>
      </w:r>
      <w:r>
        <w:rPr>
          <w:rFonts w:hint="eastAsia" w:ascii="仿宋_GB2312" w:hAnsi="仿宋_GB2312" w:eastAsia="仿宋_GB2312" w:cs="仿宋_GB2312"/>
          <w:sz w:val="32"/>
          <w:szCs w:val="32"/>
        </w:rPr>
        <w:t>以内。推动“三长制”融合共进，有序推进湘江源生态综合治理项目（第一期），阳明山、日月湖候鸟保护站建设，确保“千年鸟道”安全畅通。落实好“长江十年禁渔”，巩固提升禁捕退捕成果，争创省河长制工作先进县。坚持造林与护林并重，科学开展国土绿化，实施古树名木保护专项行动。加强国家储备林基地建设，建设省级生态廊道</w:t>
      </w:r>
      <w:r>
        <w:rPr>
          <w:rFonts w:ascii="仿宋_GB2312" w:hAnsi="仿宋_GB2312" w:eastAsia="仿宋_GB2312" w:cs="仿宋_GB2312"/>
          <w:sz w:val="32"/>
          <w:szCs w:val="32"/>
        </w:rPr>
        <w:t>640</w:t>
      </w:r>
      <w:r>
        <w:rPr>
          <w:rFonts w:hint="eastAsia" w:ascii="仿宋_GB2312" w:hAnsi="仿宋_GB2312" w:eastAsia="仿宋_GB2312" w:cs="仿宋_GB2312"/>
          <w:sz w:val="32"/>
          <w:szCs w:val="32"/>
        </w:rPr>
        <w:t>亩，提升固碳能力和碳汇增量，力争跻身碳汇经济先行区，加快创建国家生态文明示范县。</w:t>
      </w:r>
    </w:p>
    <w:p>
      <w:pPr>
        <w:spacing w:line="560" w:lineRule="exact"/>
        <w:ind w:firstLine="638" w:firstLineChars="200"/>
        <w:rPr>
          <w:rFonts w:ascii="仿宋_GB2312" w:hAnsi="仿宋_GB2312" w:eastAsia="仿宋_GB2312"/>
          <w:sz w:val="32"/>
          <w:szCs w:val="32"/>
        </w:rPr>
      </w:pPr>
      <w:r>
        <w:rPr>
          <w:rFonts w:hint="eastAsia" w:ascii="仿宋_GB2312" w:hAnsi="Calibri" w:eastAsia="仿宋_GB2312" w:cs="仿宋_GB2312"/>
          <w:b/>
          <w:spacing w:val="-1"/>
          <w:sz w:val="32"/>
          <w:szCs w:val="32"/>
        </w:rPr>
        <w:t>改善基础设施。</w:t>
      </w:r>
      <w:r>
        <w:rPr>
          <w:rFonts w:hint="eastAsia" w:ascii="仿宋_GB2312" w:hAnsi="仿宋_GB2312" w:eastAsia="仿宋_GB2312" w:cs="仿宋_GB2312"/>
          <w:sz w:val="32"/>
          <w:szCs w:val="32"/>
        </w:rPr>
        <w:t>加速零道高速、潇水二桥、双红快车道等路网建设，配合做好广清永高铁、湘桂运河建设前期工作，着力构建“对外大开放、对内大循环”的立体交通路网。加快推进旅游路网建设，新建通景公路</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条；乡镇通三级公路</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条、合并村便捷道</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条，完成农村公路安防建设</w:t>
      </w:r>
      <w:r>
        <w:rPr>
          <w:rFonts w:ascii="仿宋_GB2312" w:hAnsi="仿宋_GB2312" w:eastAsia="仿宋_GB2312" w:cs="仿宋_GB2312"/>
          <w:sz w:val="32"/>
          <w:szCs w:val="32"/>
        </w:rPr>
        <w:t>80</w:t>
      </w:r>
      <w:r>
        <w:rPr>
          <w:rFonts w:hint="eastAsia" w:ascii="仿宋_GB2312" w:hAnsi="仿宋_GB2312" w:eastAsia="仿宋_GB2312" w:cs="仿宋_GB2312"/>
          <w:sz w:val="32"/>
          <w:szCs w:val="32"/>
        </w:rPr>
        <w:t>公里。加快城乡客运一体化建设，创建全省城乡客运一体化示范县。加快推进湘江东源（潇水）沙背甸至平福头段右岸治理工程、病险水库除险加固、中小河流治理等水利重点项目建设，维修改造水库机埠</w:t>
      </w:r>
      <w:r>
        <w:rPr>
          <w:rFonts w:ascii="仿宋_GB2312" w:hAnsi="仿宋_GB2312" w:eastAsia="仿宋_GB2312" w:cs="仿宋_GB2312"/>
          <w:sz w:val="32"/>
          <w:szCs w:val="32"/>
        </w:rPr>
        <w:t>36</w:t>
      </w:r>
      <w:r>
        <w:rPr>
          <w:rFonts w:hint="eastAsia" w:ascii="仿宋_GB2312" w:hAnsi="仿宋_GB2312" w:eastAsia="仿宋_GB2312" w:cs="仿宋_GB2312"/>
          <w:sz w:val="32"/>
          <w:szCs w:val="32"/>
        </w:rPr>
        <w:t>座。</w:t>
      </w:r>
    </w:p>
    <w:p>
      <w:pPr>
        <w:spacing w:line="560" w:lineRule="exact"/>
        <w:ind w:firstLine="638" w:firstLineChars="200"/>
        <w:rPr>
          <w:rFonts w:ascii="仿宋_GB2312" w:hAnsi="仿宋_GB2312" w:eastAsia="仿宋_GB2312"/>
          <w:sz w:val="32"/>
          <w:szCs w:val="32"/>
        </w:rPr>
      </w:pPr>
      <w:r>
        <w:rPr>
          <w:rFonts w:hint="eastAsia" w:ascii="仿宋_GB2312" w:hAnsi="Calibri" w:eastAsia="仿宋_GB2312" w:cs="仿宋_GB2312"/>
          <w:b/>
          <w:spacing w:val="-1"/>
          <w:sz w:val="32"/>
          <w:szCs w:val="32"/>
        </w:rPr>
        <w:t>打造宜居县城。</w:t>
      </w:r>
      <w:r>
        <w:rPr>
          <w:rFonts w:hint="eastAsia" w:ascii="仿宋_GB2312" w:hAnsi="仿宋_GB2312" w:eastAsia="仿宋_GB2312" w:cs="仿宋_GB2312"/>
          <w:sz w:val="32"/>
          <w:szCs w:val="32"/>
        </w:rPr>
        <w:t>用好城区风貌专项规划，突出“小巧精新”特色，统筹推进“一城三区”建设。开展城区主干道“五线”整治，加快城区供水、排水管网改造。积极推进小吃一条街建设，抓好老城区滨水风光画廊、文旅特色街区建设，完成断桥、文化广场、滨江广场景观打造，提质双电路、平阳路等主要街道绿化美化，修缮和维护好城市路灯。稳步推进“平急两用”公共基础设施建设、城中村改造和</w:t>
      </w:r>
      <w:r>
        <w:rPr>
          <w:rFonts w:ascii="仿宋_GB2312" w:hAnsi="仿宋_GB2312" w:eastAsia="仿宋_GB2312" w:cs="仿宋_GB2312"/>
          <w:sz w:val="32"/>
          <w:szCs w:val="32"/>
        </w:rPr>
        <w:t>47</w:t>
      </w:r>
      <w:r>
        <w:rPr>
          <w:rFonts w:hint="eastAsia" w:ascii="仿宋_GB2312" w:hAnsi="仿宋_GB2312" w:eastAsia="仿宋_GB2312" w:cs="仿宋_GB2312"/>
          <w:sz w:val="32"/>
          <w:szCs w:val="32"/>
        </w:rPr>
        <w:t>个老旧小区改造，建成保障性租赁住房</w:t>
      </w:r>
      <w:r>
        <w:rPr>
          <w:rFonts w:ascii="仿宋_GB2312" w:hAnsi="仿宋_GB2312" w:eastAsia="仿宋_GB2312" w:cs="仿宋_GB2312"/>
          <w:sz w:val="32"/>
          <w:szCs w:val="32"/>
        </w:rPr>
        <w:t>267</w:t>
      </w:r>
      <w:r>
        <w:rPr>
          <w:rFonts w:hint="eastAsia" w:ascii="仿宋_GB2312" w:hAnsi="仿宋_GB2312" w:eastAsia="仿宋_GB2312" w:cs="仿宋_GB2312"/>
          <w:sz w:val="32"/>
          <w:szCs w:val="32"/>
        </w:rPr>
        <w:t>套，新增城区公共停车位</w:t>
      </w:r>
      <w:r>
        <w:rPr>
          <w:rFonts w:ascii="仿宋_GB2312" w:hAnsi="仿宋_GB2312" w:eastAsia="仿宋_GB2312" w:cs="仿宋_GB2312"/>
          <w:sz w:val="32"/>
          <w:szCs w:val="32"/>
        </w:rPr>
        <w:t>500</w:t>
      </w:r>
      <w:r>
        <w:rPr>
          <w:rFonts w:hint="eastAsia" w:ascii="仿宋_GB2312" w:hAnsi="仿宋_GB2312" w:eastAsia="仿宋_GB2312" w:cs="仿宋_GB2312"/>
          <w:sz w:val="32"/>
          <w:szCs w:val="32"/>
        </w:rPr>
        <w:t>个，完成城镇住宅小区“一户一表”改造任务。深入推进“街长制”和数字城管有效衔接，加强小区协同治理，加大控违拆违、渣土管理等执法力度，抓好停车标准化管理，加快建设高品位更宜居的“最美花园县城”。</w:t>
      </w:r>
    </w:p>
    <w:p>
      <w:pPr>
        <w:spacing w:line="560" w:lineRule="exact"/>
        <w:rPr>
          <w:rFonts w:ascii="仿宋_GB2312" w:hAnsi="Calibri" w:eastAsia="仿宋_GB2312"/>
          <w:b/>
          <w:spacing w:val="-1"/>
          <w:sz w:val="32"/>
          <w:szCs w:val="32"/>
        </w:rPr>
      </w:pPr>
      <w:r>
        <w:rPr>
          <w:sz w:val="44"/>
          <w:szCs w:val="44"/>
        </w:rPr>
        <w:pict>
          <v:shape id="_x0000_s1113" o:spid="_x0000_s1113" o:spt="202" type="#_x0000_t202" style="position:absolute;left:0pt;margin-left:-21.45pt;margin-top:-637.4pt;height:25.55pt;width:466.95pt;z-index:251663360;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r>
        <w:rPr>
          <w:rFonts w:hint="eastAsia" w:ascii="仿宋_GB2312" w:hAnsi="仿宋_GB2312" w:eastAsia="仿宋_GB2312" w:cs="仿宋_GB2312"/>
          <w:sz w:val="32"/>
          <w:szCs w:val="32"/>
        </w:rPr>
        <w:t xml:space="preserve">    滚动实施十大基础设施项目：零道高速双牌段；潇水二桥建设；地质灾害综合防治治理；塘底乡三级公路改造；潇水壹号；永山府一期；城区排水防涝设施建设；南岭至竹木产业科技园给排水主管网建设；保障性租赁住房建设；花园式县城。</w:t>
      </w:r>
    </w:p>
    <w:p>
      <w:pPr>
        <w:spacing w:line="580" w:lineRule="exact"/>
        <w:ind w:firstLine="638" w:firstLineChars="200"/>
        <w:rPr>
          <w:rFonts w:ascii="仿宋_GB2312" w:hAnsi="仿宋_GB2312" w:eastAsia="仿宋_GB2312"/>
          <w:sz w:val="32"/>
          <w:szCs w:val="32"/>
        </w:rPr>
      </w:pPr>
      <w:r>
        <w:rPr>
          <w:rFonts w:hint="eastAsia" w:ascii="仿宋_GB2312" w:hAnsi="Calibri" w:eastAsia="仿宋_GB2312" w:cs="仿宋_GB2312"/>
          <w:b/>
          <w:spacing w:val="-1"/>
          <w:sz w:val="32"/>
          <w:szCs w:val="32"/>
        </w:rPr>
        <w:t>推进乡村振兴。</w:t>
      </w:r>
      <w:r>
        <w:rPr>
          <w:rFonts w:hint="eastAsia" w:ascii="仿宋_GB2312" w:hAnsi="仿宋_GB2312" w:eastAsia="仿宋_GB2312" w:cs="仿宋_GB2312"/>
          <w:sz w:val="32"/>
          <w:szCs w:val="32"/>
        </w:rPr>
        <w:t>扛牢粮食生产政治责任，“三位一体”保护耕地，“两手发力”保障粮食生产，全年粮食种植总面积</w:t>
      </w:r>
      <w:r>
        <w:rPr>
          <w:rFonts w:ascii="仿宋_GB2312" w:hAnsi="仿宋_GB2312" w:eastAsia="仿宋_GB2312" w:cs="仿宋_GB2312"/>
          <w:sz w:val="32"/>
          <w:szCs w:val="32"/>
        </w:rPr>
        <w:t>21.9</w:t>
      </w:r>
      <w:r>
        <w:rPr>
          <w:rFonts w:hint="eastAsia" w:ascii="仿宋_GB2312" w:hAnsi="仿宋_GB2312" w:eastAsia="仿宋_GB2312" w:cs="仿宋_GB2312"/>
          <w:sz w:val="32"/>
          <w:szCs w:val="32"/>
        </w:rPr>
        <w:t>万亩以上、总产量</w:t>
      </w:r>
      <w:r>
        <w:rPr>
          <w:rFonts w:ascii="仿宋_GB2312" w:hAnsi="仿宋_GB2312" w:eastAsia="仿宋_GB2312" w:cs="仿宋_GB2312"/>
          <w:sz w:val="32"/>
          <w:szCs w:val="32"/>
        </w:rPr>
        <w:t>7.3</w:t>
      </w:r>
      <w:r>
        <w:rPr>
          <w:rFonts w:hint="eastAsia" w:ascii="仿宋_GB2312" w:hAnsi="仿宋_GB2312" w:eastAsia="仿宋_GB2312" w:cs="仿宋_GB2312"/>
          <w:sz w:val="32"/>
          <w:szCs w:val="32"/>
        </w:rPr>
        <w:t>万吨以上。完成生猪出栏</w:t>
      </w:r>
      <w:r>
        <w:rPr>
          <w:rFonts w:ascii="仿宋_GB2312" w:hAnsi="仿宋_GB2312" w:eastAsia="仿宋_GB2312" w:cs="仿宋_GB2312"/>
          <w:sz w:val="32"/>
          <w:szCs w:val="32"/>
        </w:rPr>
        <w:t>34</w:t>
      </w:r>
      <w:r>
        <w:rPr>
          <w:rFonts w:hint="eastAsia" w:ascii="仿宋_GB2312" w:hAnsi="仿宋_GB2312" w:eastAsia="仿宋_GB2312" w:cs="仿宋_GB2312"/>
          <w:sz w:val="32"/>
          <w:szCs w:val="32"/>
        </w:rPr>
        <w:t>万头以上。抓实防返贫动态监测，巩固拓展“</w:t>
      </w:r>
      <w:r>
        <w:rPr>
          <w:rFonts w:ascii="仿宋_GB2312" w:hAnsi="仿宋_GB2312" w:eastAsia="仿宋_GB2312" w:cs="仿宋_GB2312"/>
          <w:sz w:val="32"/>
          <w:szCs w:val="32"/>
        </w:rPr>
        <w:t>3+1</w:t>
      </w:r>
      <w:r>
        <w:rPr>
          <w:rFonts w:hint="eastAsia" w:ascii="仿宋_GB2312" w:hAnsi="仿宋_GB2312" w:eastAsia="仿宋_GB2312" w:cs="仿宋_GB2312"/>
          <w:sz w:val="32"/>
          <w:szCs w:val="32"/>
        </w:rPr>
        <w:t>”保障成果，做好产业就业帮扶，脱贫人口转移就业</w:t>
      </w:r>
      <w:r>
        <w:rPr>
          <w:rFonts w:ascii="仿宋_GB2312" w:hAnsi="仿宋_GB2312" w:eastAsia="仿宋_GB2312" w:cs="仿宋_GB2312"/>
          <w:sz w:val="32"/>
          <w:szCs w:val="32"/>
        </w:rPr>
        <w:t>1.2</w:t>
      </w:r>
      <w:r>
        <w:rPr>
          <w:rFonts w:hint="eastAsia" w:ascii="仿宋_GB2312" w:hAnsi="仿宋_GB2312" w:eastAsia="仿宋_GB2312" w:cs="仿宋_GB2312"/>
          <w:sz w:val="32"/>
          <w:szCs w:val="32"/>
        </w:rPr>
        <w:t>万人，确保不发生规模性返贫。推行第二轮土地承包到期后再延长</w:t>
      </w:r>
      <w:r>
        <w:rPr>
          <w:rFonts w:ascii="仿宋_GB2312" w:hAnsi="仿宋_GB2312" w:eastAsia="仿宋_GB2312" w:cs="仿宋_GB2312"/>
          <w:sz w:val="32"/>
          <w:szCs w:val="32"/>
        </w:rPr>
        <w:t>30</w:t>
      </w:r>
      <w:r>
        <w:rPr>
          <w:rFonts w:hint="eastAsia" w:ascii="仿宋_GB2312" w:hAnsi="仿宋_GB2312" w:eastAsia="仿宋_GB2312" w:cs="仿宋_GB2312"/>
          <w:sz w:val="32"/>
          <w:szCs w:val="32"/>
        </w:rPr>
        <w:t>年试点。持续抓好“竹茶药菜鸡”五大特色主导产业，种植古巴雪茄</w:t>
      </w:r>
      <w:r>
        <w:rPr>
          <w:rFonts w:ascii="仿宋_GB2312" w:hAnsi="仿宋_GB2312" w:eastAsia="仿宋_GB2312" w:cs="仿宋_GB2312"/>
          <w:sz w:val="32"/>
          <w:szCs w:val="32"/>
        </w:rPr>
        <w:t>600</w:t>
      </w:r>
      <w:r>
        <w:rPr>
          <w:rFonts w:hint="eastAsia" w:ascii="仿宋_GB2312" w:hAnsi="仿宋_GB2312" w:eastAsia="仿宋_GB2312" w:cs="仿宋_GB2312"/>
          <w:sz w:val="32"/>
          <w:szCs w:val="32"/>
        </w:rPr>
        <w:t>亩以上，发展虎爪姜种植</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万亩以上。做强中医药产业，打造生物提取原材</w:t>
      </w:r>
      <w:r>
        <w:rPr>
          <w:sz w:val="44"/>
          <w:szCs w:val="44"/>
        </w:rPr>
        <w:pict>
          <v:shape id="_x0000_s1114" o:spid="_x0000_s1114" o:spt="202" type="#_x0000_t202" style="position:absolute;left:0pt;margin-left:-20.85pt;margin-top:-49.4pt;height:25.55pt;width:472.8pt;z-index:251664384;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r>
        <w:rPr>
          <w:rFonts w:hint="eastAsia" w:ascii="仿宋_GB2312" w:hAnsi="仿宋_GB2312" w:eastAsia="仿宋_GB2312" w:cs="仿宋_GB2312"/>
          <w:sz w:val="32"/>
          <w:szCs w:val="32"/>
        </w:rPr>
        <w:t>料示范基地。做优藤茶、野生茶品牌，力争剁椒鱼销量达到</w:t>
      </w:r>
      <w:r>
        <w:rPr>
          <w:rFonts w:ascii="仿宋_GB2312" w:hAnsi="仿宋_GB2312" w:eastAsia="仿宋_GB2312" w:cs="仿宋_GB2312"/>
          <w:sz w:val="32"/>
          <w:szCs w:val="32"/>
        </w:rPr>
        <w:t>200</w:t>
      </w:r>
      <w:r>
        <w:rPr>
          <w:rFonts w:hint="eastAsia" w:ascii="仿宋_GB2312" w:hAnsi="仿宋_GB2312" w:eastAsia="仿宋_GB2312" w:cs="仿宋_GB2312"/>
          <w:sz w:val="32"/>
          <w:szCs w:val="32"/>
        </w:rPr>
        <w:t>万单以上。大力发展村级集体经济，有效化解村级债务。支持农户发展特色种养、手工作坊、林下经济等家庭经营项目，新建农产品场地冷藏保鲜设施</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个，力争粤港澳大湾区“菜篮子”生产基地达</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家以上、蔬菜出口货值突破</w:t>
      </w:r>
      <w:r>
        <w:rPr>
          <w:rFonts w:ascii="仿宋_GB2312" w:hAnsi="仿宋_GB2312" w:eastAsia="仿宋_GB2312" w:cs="仿宋_GB2312"/>
          <w:sz w:val="32"/>
          <w:szCs w:val="32"/>
        </w:rPr>
        <w:t>2000</w:t>
      </w:r>
      <w:r>
        <w:rPr>
          <w:rFonts w:hint="eastAsia" w:ascii="仿宋_GB2312" w:hAnsi="仿宋_GB2312" w:eastAsia="仿宋_GB2312" w:cs="仿宋_GB2312"/>
          <w:sz w:val="32"/>
          <w:szCs w:val="32"/>
        </w:rPr>
        <w:t>万元，争创“三品一标”农产品</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个以上。推进和美乡村建设</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完成乡镇国土空间规划、村庄规划编制。学习运用“千万工程”经验，扎实开展农村人居环境整治，抓好村庄清洁行动和“百村大比武”活动，加快建设“一廊一带一片”。继续抓好水库移民工作。不断深化供销综合改革，提升综合为农服务能力。推行乡村振兴月例会制度，持续推进农村移风易俗。打造省、市级美丽乡村</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个，争创全省实施乡村振兴战略和有效衔接工作考核先进县。</w:t>
      </w:r>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滚动实施十大农业类项目：桴江河双牌段治理工程；高标准农田建设项目；畜禽粪污集中处理中心；水库雨水情监测设施建设；城东保护圈潇水大桥至陶家屋段堤防治理工程；阳明雪茄烟叶种植项目；潇水双牌段沙背甸至全家洲段治理工程；上梧江、理家坪、江村山苍籽高产示范基地建设；县域流通服务网络建设项目；国家储备林基地建设项目。</w:t>
      </w:r>
    </w:p>
    <w:p>
      <w:pPr>
        <w:spacing w:line="560" w:lineRule="exact"/>
        <w:ind w:firstLine="642" w:firstLineChars="200"/>
        <w:rPr>
          <w:rFonts w:ascii="楷体_GB2312" w:hAnsi="楷体_GB2312" w:eastAsia="楷体_GB2312"/>
          <w:b/>
          <w:sz w:val="32"/>
          <w:szCs w:val="32"/>
        </w:rPr>
      </w:pPr>
      <w:r>
        <w:rPr>
          <w:rFonts w:ascii="楷体_GB2312" w:hAnsi="楷体_GB2312" w:eastAsia="楷体_GB2312" w:cs="楷体_GB2312"/>
          <w:b/>
          <w:sz w:val="32"/>
          <w:szCs w:val="32"/>
        </w:rPr>
        <w:t>2.</w:t>
      </w:r>
      <w:r>
        <w:rPr>
          <w:rFonts w:hint="eastAsia" w:ascii="楷体_GB2312" w:hAnsi="楷体_GB2312" w:eastAsia="楷体_GB2312" w:cs="楷体_GB2312"/>
          <w:b/>
          <w:sz w:val="32"/>
          <w:szCs w:val="32"/>
        </w:rPr>
        <w:t>坚持旅游兴县，推动和美双牌展现新风采</w:t>
      </w:r>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旅游兴，则双牌兴。打好文化旅游康养王牌是发展所需、民生所盼、机遇所在，要坚持以旅游统筹经济社会发展，全面落实“</w:t>
      </w:r>
      <w:r>
        <w:rPr>
          <w:rFonts w:ascii="仿宋_GB2312" w:hAnsi="仿宋_GB2312" w:eastAsia="仿宋_GB2312" w:cs="仿宋_GB2312"/>
          <w:sz w:val="32"/>
          <w:szCs w:val="32"/>
        </w:rPr>
        <w:t>1147</w:t>
      </w:r>
      <w:r>
        <w:rPr>
          <w:rFonts w:hint="eastAsia" w:ascii="仿宋_GB2312" w:hAnsi="仿宋_GB2312" w:eastAsia="仿宋_GB2312" w:cs="仿宋_GB2312"/>
          <w:sz w:val="32"/>
          <w:szCs w:val="32"/>
        </w:rPr>
        <w:t>”发展思路，聚力打造高质量旅游产业体系，让双牌的美景、美食、美物更加美丽动人、光彩照人。</w:t>
      </w:r>
    </w:p>
    <w:p>
      <w:pPr>
        <w:spacing w:line="560" w:lineRule="exact"/>
        <w:rPr>
          <w:rFonts w:ascii="仿宋_GB2312" w:hAnsi="仿宋_GB2312" w:eastAsia="仿宋_GB2312"/>
          <w:b/>
          <w:sz w:val="32"/>
          <w:szCs w:val="32"/>
        </w:rPr>
      </w:pPr>
      <w:r>
        <w:rPr>
          <w:sz w:val="44"/>
          <w:szCs w:val="44"/>
        </w:rPr>
        <w:pict>
          <v:shape id="_x0000_s1115" o:spid="_x0000_s1115" o:spt="202" type="#_x0000_t202" style="position:absolute;left:0pt;margin-left:-20.85pt;margin-top:-78pt;height:25.55pt;width:473.4pt;z-index:251665408;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r>
        <w:rPr>
          <w:rFonts w:hint="eastAsia" w:ascii="仿宋_GB2312" w:hAnsi="仿宋_GB2312" w:eastAsia="仿宋_GB2312" w:cs="仿宋_GB2312"/>
          <w:b/>
          <w:sz w:val="32"/>
          <w:szCs w:val="32"/>
        </w:rPr>
        <w:t xml:space="preserve">    完善功能配套。</w:t>
      </w:r>
      <w:r>
        <w:rPr>
          <w:rFonts w:hint="eastAsia" w:ascii="楷体_GB2312" w:hAnsi="楷体_GB2312" w:eastAsia="楷体_GB2312" w:cs="楷体_GB2312"/>
          <w:sz w:val="32"/>
          <w:szCs w:val="32"/>
        </w:rPr>
        <w:t>抓好景观提质，</w:t>
      </w:r>
      <w:r>
        <w:rPr>
          <w:rFonts w:hint="eastAsia" w:ascii="仿宋_GB2312" w:hAnsi="仿宋_GB2312" w:eastAsia="仿宋_GB2312" w:cs="仿宋_GB2312"/>
          <w:sz w:val="32"/>
          <w:szCs w:val="32"/>
        </w:rPr>
        <w:t>加快阳明山游客中心、</w:t>
      </w:r>
      <w:r>
        <w:rPr>
          <w:rFonts w:ascii="仿宋_GB2312" w:hAnsi="仿宋_GB2312" w:eastAsia="仿宋_GB2312" w:cs="仿宋_GB2312"/>
          <w:sz w:val="32"/>
          <w:szCs w:val="32"/>
        </w:rPr>
        <w:t>4C</w:t>
      </w:r>
      <w:r>
        <w:rPr>
          <w:rFonts w:hint="eastAsia" w:ascii="仿宋_GB2312" w:hAnsi="仿宋_GB2312" w:eastAsia="仿宋_GB2312" w:cs="仿宋_GB2312"/>
          <w:sz w:val="32"/>
          <w:szCs w:val="32"/>
        </w:rPr>
        <w:t>级自驾车旅居车营地、阳明山景区智慧旅游系统建设，用大数据管理景区和服务游客，启动国家级旅游度假区创建。有序推进河东温泉康养体验区建设，规划建设天子山景区和飞机岭生态景观带。拓展桐子坳景区银杏景观，擦亮“四季花海”品牌，打造中国银杏特色小镇、湖南省原创歌曲展演基地。推进青龙洞创建国家</w:t>
      </w:r>
      <w:r>
        <w:rPr>
          <w:rFonts w:ascii="仿宋_GB2312" w:hAnsi="仿宋_GB2312" w:eastAsia="仿宋_GB2312" w:cs="仿宋_GB2312"/>
          <w:sz w:val="32"/>
          <w:szCs w:val="32"/>
        </w:rPr>
        <w:t>4A</w:t>
      </w:r>
      <w:r>
        <w:rPr>
          <w:rFonts w:hint="eastAsia" w:ascii="仿宋_GB2312" w:hAnsi="仿宋_GB2312" w:eastAsia="仿宋_GB2312" w:cs="仿宋_GB2312"/>
          <w:sz w:val="32"/>
          <w:szCs w:val="32"/>
        </w:rPr>
        <w:t>级景区，丰富花千谷·月湖景区旅游项目，积极申报省级中小学研学教育基地、省级森林康养基地，</w:t>
      </w:r>
      <w:r>
        <w:rPr>
          <w:rFonts w:hint="eastAsia" w:ascii="仿宋_GB2312" w:hAnsi="仿宋_GB2312" w:eastAsia="仿宋_GB2312" w:cs="仿宋_GB2312"/>
          <w:sz w:val="32"/>
          <w:szCs w:val="32"/>
          <w:shd w:val="clear" w:color="auto" w:fill="FFFFFF"/>
        </w:rPr>
        <w:t>开发建设坦田村、访尧村等景点，打造一批微旅游“网红”打卡点，建设一批星级乡村旅游区（点）。</w:t>
      </w:r>
      <w:r>
        <w:rPr>
          <w:rFonts w:hint="eastAsia" w:ascii="楷体_GB2312" w:hAnsi="楷体_GB2312" w:eastAsia="楷体_GB2312" w:cs="楷体_GB2312"/>
          <w:sz w:val="32"/>
          <w:szCs w:val="32"/>
        </w:rPr>
        <w:t>提升服务能力，</w:t>
      </w:r>
      <w:r>
        <w:rPr>
          <w:rFonts w:hint="eastAsia" w:ascii="仿宋_GB2312" w:hAnsi="仿宋_GB2312" w:eastAsia="仿宋_GB2312" w:cs="仿宋_GB2312"/>
          <w:sz w:val="32"/>
          <w:szCs w:val="32"/>
        </w:rPr>
        <w:t>提质改造阆苑宾馆，加快建设阳明溪谷度假酒店。引进品牌民宿运营团队，启动花千谷“氟”温泉等精品特色民宿建设，推动阳明山小黄江源、万和湖民宿群落地。推进星级民宿创建，深化“金杜鹃、银杜鹃、铜杜鹃”评比，开展旅游从业人员培训。</w:t>
      </w:r>
      <w:r>
        <w:rPr>
          <w:rFonts w:hint="eastAsia" w:ascii="楷体_GB2312" w:hAnsi="楷体_GB2312" w:eastAsia="楷体_GB2312" w:cs="楷体_GB2312"/>
          <w:sz w:val="32"/>
          <w:szCs w:val="32"/>
        </w:rPr>
        <w:t>建好通景公路，</w:t>
      </w:r>
      <w:r>
        <w:rPr>
          <w:rFonts w:hint="eastAsia" w:ascii="仿宋_GB2312" w:hAnsi="仿宋_GB2312" w:eastAsia="仿宋_GB2312" w:cs="仿宋_GB2312"/>
          <w:sz w:val="32"/>
          <w:szCs w:val="32"/>
        </w:rPr>
        <w:t>加快阳明山牌楼至万和湖“最美旅游公路”、观云峰环景道路等公路建设，完善各景区游道、停车场、标识标牌、旅游厕所、观景台等配套设施。</w:t>
      </w:r>
    </w:p>
    <w:p>
      <w:pPr>
        <w:spacing w:line="560" w:lineRule="exact"/>
        <w:ind w:firstLine="642" w:firstLineChars="200"/>
        <w:rPr>
          <w:rFonts w:ascii="仿宋_GB2312" w:hAnsi="仿宋_GB2312" w:eastAsia="仿宋_GB2312"/>
          <w:sz w:val="32"/>
          <w:szCs w:val="32"/>
        </w:rPr>
      </w:pPr>
      <w:r>
        <w:rPr>
          <w:rFonts w:hint="eastAsia" w:ascii="仿宋_GB2312" w:hAnsi="仿宋_GB2312" w:eastAsia="仿宋_GB2312" w:cs="仿宋_GB2312"/>
          <w:b/>
          <w:sz w:val="32"/>
          <w:szCs w:val="32"/>
        </w:rPr>
        <w:t>丰富内涵业态。</w:t>
      </w:r>
      <w:r>
        <w:rPr>
          <w:rFonts w:hint="eastAsia" w:ascii="楷体_GB2312" w:hAnsi="楷体_GB2312" w:eastAsia="楷体_GB2312" w:cs="楷体_GB2312"/>
          <w:sz w:val="32"/>
          <w:szCs w:val="32"/>
        </w:rPr>
        <w:t>打造品牌节会，</w:t>
      </w:r>
      <w:r>
        <w:rPr>
          <w:rFonts w:hint="eastAsia" w:ascii="仿宋_GB2312" w:hAnsi="仿宋_GB2312" w:eastAsia="仿宋_GB2312" w:cs="仿宋_GB2312"/>
          <w:sz w:val="32"/>
          <w:szCs w:val="32"/>
        </w:rPr>
        <w:t>办好阳明山“和”文化旅游节、阳明山避暑旅游季、桐子坳赏秋等品牌节会，持续唱响“阳明山</w:t>
      </w:r>
      <w:r>
        <w:rPr>
          <w:rFonts w:ascii="仿宋_GB2312" w:hAnsi="仿宋_GB2312" w:eastAsia="仿宋_GB2312" w:cs="仿宋_GB2312"/>
          <w:sz w:val="32"/>
          <w:szCs w:val="32"/>
        </w:rPr>
        <w:t>22</w:t>
      </w:r>
      <w:r>
        <w:rPr>
          <w:rFonts w:hint="eastAsia" w:ascii="宋体" w:hAnsi="宋体" w:eastAsia="宋体" w:cs="宋体"/>
          <w:sz w:val="32"/>
          <w:szCs w:val="32"/>
        </w:rPr>
        <w:t>℃</w:t>
      </w:r>
      <w:r>
        <w:rPr>
          <w:rFonts w:hint="eastAsia" w:ascii="仿宋_GB2312" w:hAnsi="仿宋_GB2312" w:eastAsia="仿宋_GB2312" w:cs="仿宋_GB2312"/>
          <w:sz w:val="32"/>
          <w:szCs w:val="32"/>
        </w:rPr>
        <w:t>的夏天”品牌，打造全省避暑旅游标杆。大力推进“一乡一特色”建设，做到“月月有活动，季季有节庆”。</w:t>
      </w:r>
      <w:r>
        <w:rPr>
          <w:rFonts w:hint="eastAsia" w:ascii="楷体_GB2312" w:hAnsi="楷体_GB2312" w:eastAsia="楷体_GB2312" w:cs="楷体_GB2312"/>
          <w:sz w:val="32"/>
          <w:szCs w:val="32"/>
        </w:rPr>
        <w:t>做好融合文章，</w:t>
      </w:r>
      <w:r>
        <w:rPr>
          <w:rFonts w:hint="eastAsia" w:ascii="仿宋_GB2312" w:hAnsi="仿宋_GB2312" w:eastAsia="仿宋_GB2312" w:cs="仿宋_GB2312"/>
          <w:sz w:val="32"/>
          <w:szCs w:val="32"/>
        </w:rPr>
        <w:t>深入挖掘王船山理学文化、周文武装红色文化，做好阳明山与王阳明演绎文章，将红色文化、象文化、“和”文化、佛文化等文化元素与旅游康养深度融合，推动旅游内涵式发展。</w:t>
      </w:r>
      <w:r>
        <w:rPr>
          <w:rFonts w:hint="eastAsia" w:ascii="楷体_GB2312" w:hAnsi="楷体_GB2312" w:eastAsia="楷体_GB2312" w:cs="楷体_GB2312"/>
          <w:sz w:val="32"/>
          <w:szCs w:val="32"/>
        </w:rPr>
        <w:t>开辟精品路线，</w:t>
      </w:r>
      <w:r>
        <w:rPr>
          <w:rFonts w:hint="eastAsia" w:ascii="仿宋_GB2312" w:hAnsi="仿宋_GB2312" w:eastAsia="仿宋_GB2312" w:cs="仿宋_GB2312"/>
          <w:sz w:val="32"/>
          <w:szCs w:val="32"/>
        </w:rPr>
        <w:t>深度融入南岭旅游联盟，加强与周边景区及粤港澳大湾区、长株潭等重点客源地的合作，开辟深秋暖冬游、文化古迹寻根游、工业研学游等</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条全域旅游精品线路。强化景区景点协同联动，不断提升旅游能级。</w:t>
      </w:r>
      <w:r>
        <w:rPr>
          <w:rFonts w:hint="eastAsia" w:ascii="楷体_GB2312" w:hAnsi="楷体_GB2312" w:eastAsia="楷体_GB2312" w:cs="楷体_GB2312"/>
          <w:sz w:val="32"/>
          <w:szCs w:val="32"/>
        </w:rPr>
        <w:t>开发旅游产品，</w:t>
      </w:r>
      <w:r>
        <w:rPr>
          <w:rFonts w:hint="eastAsia" w:ascii="仿宋_GB2312" w:hAnsi="仿宋_GB2312" w:eastAsia="仿宋_GB2312" w:cs="仿宋_GB2312"/>
          <w:sz w:val="32"/>
          <w:szCs w:val="32"/>
        </w:rPr>
        <w:t>全力打造“双牌味道”文创美食品牌，持续开展“名菜、名厨、名店”推介活动，创新开发以竹木、杜鹃花、银杏等为主题的文创产品，推动旅游商品提档升级，建立</w:t>
      </w:r>
      <w:r>
        <w:rPr>
          <w:rFonts w:ascii="仿宋_GB2312" w:hAnsi="仿宋_GB2312" w:eastAsia="仿宋_GB2312" w:cs="仿宋_GB2312"/>
          <w:sz w:val="32"/>
          <w:szCs w:val="32"/>
        </w:rPr>
        <w:t>A</w:t>
      </w:r>
      <w:r>
        <w:rPr>
          <w:rFonts w:hint="eastAsia" w:ascii="仿宋_GB2312" w:hAnsi="仿宋_GB2312" w:eastAsia="仿宋_GB2312" w:cs="仿宋_GB2312"/>
          <w:sz w:val="32"/>
          <w:szCs w:val="32"/>
        </w:rPr>
        <w:t>级景区、乡村旅游区（点）销售网点。推出温泉度假、水上游乐、中医药康养等沉浸式旅游产品，推动旅游从“观光式”向“体验式”转变。</w:t>
      </w:r>
    </w:p>
    <w:p>
      <w:pPr>
        <w:spacing w:line="560" w:lineRule="exact"/>
        <w:rPr>
          <w:rFonts w:ascii="仿宋_GB2312" w:hAnsi="仿宋_GB2312" w:eastAsia="仿宋_GB2312"/>
          <w:sz w:val="32"/>
          <w:szCs w:val="32"/>
        </w:rPr>
      </w:pPr>
      <w:r>
        <w:rPr>
          <w:sz w:val="44"/>
          <w:szCs w:val="44"/>
        </w:rPr>
        <w:pict>
          <v:shape id="_x0000_s1116" o:spid="_x0000_s1116" o:spt="202" type="#_x0000_t202" style="position:absolute;left:0pt;margin-left:-21.45pt;margin-top:-665.4pt;height:25.55pt;width:473.4pt;z-index:251666432;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r>
        <w:rPr>
          <w:rFonts w:hint="eastAsia" w:ascii="仿宋_GB2312" w:hAnsi="仿宋_GB2312" w:eastAsia="仿宋_GB2312" w:cs="仿宋_GB2312"/>
          <w:b/>
          <w:sz w:val="32"/>
          <w:szCs w:val="32"/>
        </w:rPr>
        <w:t xml:space="preserve">    提升质量效益。</w:t>
      </w:r>
      <w:r>
        <w:rPr>
          <w:rFonts w:hint="eastAsia" w:ascii="仿宋_GB2312" w:hAnsi="仿宋_GB2312" w:eastAsia="仿宋_GB2312" w:cs="仿宋_GB2312"/>
          <w:sz w:val="32"/>
          <w:szCs w:val="32"/>
        </w:rPr>
        <w:t>以泷旅集团为主体整合县内旅游资源，推动文旅康养产业市场化转型。加大旅游招商力度，引入社会资本参与文旅项目建设，引进知名文旅企业参与景区运营管理，推动河东温泉康养度假中心、阳明山峡谷漂流、点红山庄康体中心等项目抓紧实施。加强与湖南卫视、红网等主流媒体的合作，强化旅游策划营销，开展“免费畅游双牌”活动，大力实施“引客入双”，力争实现游客总人数、旅游综合收入年均增长</w:t>
      </w:r>
      <w:r>
        <w:rPr>
          <w:rFonts w:ascii="仿宋_GB2312" w:hAnsi="仿宋_GB2312" w:eastAsia="仿宋_GB2312" w:cs="仿宋_GB2312"/>
          <w:sz w:val="32"/>
          <w:szCs w:val="32"/>
        </w:rPr>
        <w:t>30%</w:t>
      </w:r>
      <w:r>
        <w:rPr>
          <w:rFonts w:hint="eastAsia" w:ascii="仿宋_GB2312" w:hAnsi="仿宋_GB2312" w:eastAsia="仿宋_GB2312" w:cs="仿宋_GB2312"/>
          <w:sz w:val="32"/>
          <w:szCs w:val="32"/>
        </w:rPr>
        <w:t>以上。设立旅游发展专项资金，加强旅游人才队伍建设，策划实施“金牌导游”大赛评选活动，发现培养人才，宣传提升形象，展现和美双牌新风采。</w:t>
      </w:r>
    </w:p>
    <w:p>
      <w:pPr>
        <w:spacing w:line="560" w:lineRule="exact"/>
        <w:ind w:firstLine="640" w:firstLineChars="200"/>
        <w:rPr>
          <w:rFonts w:ascii="仿宋_GB2312" w:eastAsia="仿宋_GB2312"/>
          <w:sz w:val="32"/>
          <w:szCs w:val="32"/>
        </w:rPr>
      </w:pPr>
      <w:r>
        <w:rPr>
          <w:rFonts w:hint="eastAsia" w:ascii="仿宋_GB2312" w:hAnsi="仿宋_GB2312" w:eastAsia="仿宋_GB2312" w:cs="仿宋_GB2312"/>
          <w:sz w:val="32"/>
          <w:szCs w:val="32"/>
        </w:rPr>
        <w:t>滚动实施十大旅游项目：阳明山旅游</w:t>
      </w:r>
      <w:r>
        <w:rPr>
          <w:rFonts w:hint="eastAsia" w:ascii="仿宋_GB2312" w:eastAsia="仿宋_GB2312" w:cs="仿宋_GB2312"/>
          <w:sz w:val="32"/>
          <w:szCs w:val="32"/>
        </w:rPr>
        <w:t>区道路提质改造；阳明山旅游度假区新游客中心建设；小黄江源民宿建设；桐子坳景区提质项目；花千谷景区提质项目；云台山景区建设项目；青龙洞创</w:t>
      </w:r>
      <w:r>
        <w:rPr>
          <w:rFonts w:ascii="仿宋_GB2312" w:eastAsia="仿宋_GB2312" w:cs="仿宋_GB2312"/>
          <w:sz w:val="32"/>
          <w:szCs w:val="32"/>
        </w:rPr>
        <w:t>4A</w:t>
      </w:r>
      <w:r>
        <w:rPr>
          <w:rFonts w:hint="eastAsia" w:ascii="仿宋_GB2312" w:eastAsia="仿宋_GB2312" w:cs="仿宋_GB2312"/>
          <w:sz w:val="32"/>
          <w:szCs w:val="32"/>
        </w:rPr>
        <w:t>景区；河东温泉康养体验区建设；规划建设飞机岭生态景观带</w:t>
      </w:r>
      <w:r>
        <w:rPr>
          <w:rFonts w:ascii="仿宋_GB2312" w:eastAsia="仿宋_GB2312" w:cs="仿宋_GB2312"/>
          <w:sz w:val="32"/>
          <w:szCs w:val="32"/>
        </w:rPr>
        <w:t>;</w:t>
      </w:r>
      <w:r>
        <w:rPr>
          <w:rFonts w:hint="eastAsia" w:ascii="仿宋_GB2312" w:eastAsia="仿宋_GB2312" w:cs="仿宋_GB2312"/>
          <w:sz w:val="32"/>
          <w:szCs w:val="32"/>
        </w:rPr>
        <w:t>江村旅居度假小镇建设。</w:t>
      </w:r>
    </w:p>
    <w:p>
      <w:pPr>
        <w:spacing w:line="560" w:lineRule="exact"/>
        <w:rPr>
          <w:rFonts w:ascii="仿宋_GB2312" w:hAnsi="仿宋_GB2312" w:eastAsia="仿宋_GB2312"/>
          <w:sz w:val="32"/>
          <w:szCs w:val="32"/>
        </w:rPr>
      </w:pPr>
      <w:r>
        <w:rPr>
          <w:sz w:val="44"/>
          <w:szCs w:val="44"/>
        </w:rPr>
        <w:pict>
          <v:shape id="_x0000_s1117" o:spid="_x0000_s1117" o:spt="202" type="#_x0000_t202" style="position:absolute;left:0pt;margin-left:-20.25pt;margin-top:-161.4pt;height:25.55pt;width:465.75pt;z-index:251667456;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r>
        <w:rPr>
          <w:rFonts w:hint="eastAsia" w:ascii="楷体_GB2312" w:hAnsi="楷体_GB2312" w:eastAsia="楷体_GB2312" w:cs="楷体_GB2312"/>
          <w:b/>
          <w:sz w:val="32"/>
          <w:szCs w:val="32"/>
        </w:rPr>
        <w:t xml:space="preserve">    </w:t>
      </w:r>
      <w:r>
        <w:rPr>
          <w:rFonts w:ascii="楷体_GB2312" w:hAnsi="楷体_GB2312" w:eastAsia="楷体_GB2312" w:cs="楷体_GB2312"/>
          <w:b/>
          <w:sz w:val="32"/>
          <w:szCs w:val="32"/>
        </w:rPr>
        <w:t>3.</w:t>
      </w:r>
      <w:r>
        <w:rPr>
          <w:rFonts w:hint="eastAsia" w:ascii="楷体_GB2312" w:hAnsi="楷体_GB2312" w:eastAsia="楷体_GB2312" w:cs="楷体_GB2312"/>
          <w:b/>
          <w:sz w:val="32"/>
          <w:szCs w:val="32"/>
        </w:rPr>
        <w:t>坚持竹木富县，建设“以竹代塑”应用推广基地</w:t>
      </w:r>
    </w:p>
    <w:p>
      <w:pPr>
        <w:pStyle w:val="2"/>
        <w:autoSpaceDE w:val="0"/>
        <w:adjustRightInd w:val="0"/>
        <w:spacing w:after="0" w:line="56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万亩竹海，是双牌大地的美丽风景线；立足资源，做“竹”文章，让“竹”“木”产业交相辉映，是引领我县未来发展的富民产业。我们要牢记“把小竹子做成大产业”的重要指示精神，下“竹”功夫，“竹”梦前行，倾力打造竹木产业集聚王牌。</w:t>
      </w:r>
    </w:p>
    <w:p>
      <w:pPr>
        <w:pStyle w:val="2"/>
        <w:autoSpaceDE w:val="0"/>
        <w:adjustRightInd w:val="0"/>
        <w:spacing w:after="0" w:line="560" w:lineRule="exact"/>
        <w:ind w:firstLine="642" w:firstLineChars="200"/>
        <w:rPr>
          <w:rFonts w:ascii="仿宋_GB2312" w:hAnsi="仿宋_GB2312" w:eastAsia="仿宋_GB2312"/>
          <w:sz w:val="32"/>
          <w:szCs w:val="32"/>
        </w:rPr>
      </w:pPr>
      <w:r>
        <w:rPr>
          <w:rFonts w:hint="eastAsia" w:ascii="仿宋_GB2312" w:hAnsi="仿宋_GB2312" w:eastAsia="仿宋_GB2312" w:cs="仿宋_GB2312"/>
          <w:b/>
          <w:sz w:val="32"/>
          <w:szCs w:val="32"/>
        </w:rPr>
        <w:t>建好集聚平台。</w:t>
      </w:r>
      <w:r>
        <w:rPr>
          <w:rFonts w:hint="eastAsia" w:ascii="仿宋_GB2312" w:hAnsi="仿宋_GB2312" w:eastAsia="仿宋_GB2312" w:cs="仿宋_GB2312"/>
          <w:sz w:val="32"/>
          <w:szCs w:val="32"/>
        </w:rPr>
        <w:t>做好园区调区扩区，科学编制用地规划，“一块一卡”管理园区用地，加快处置批而未供、闲置土地和低效用地，盘活存量土地，提高工业用地使用率。完成园区供水管网升级改造、雨污管网配套和企业环保在线监控等项目建设。用好产业发展资金，探索建立企业“抱团取暖”合作机制，搭建融资担保平台，解决企业融资难题。建设园区实习基地，定向招引企业研发、管理人才，加强本地产业工人培育。坚持“以亩产论英雄”，实行工业企业效益评价，园区产业投资增长</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以上，亩均税收增长</w:t>
      </w:r>
      <w:r>
        <w:rPr>
          <w:rFonts w:ascii="仿宋_GB2312" w:hAnsi="仿宋_GB2312" w:eastAsia="仿宋_GB2312" w:cs="仿宋_GB2312"/>
          <w:sz w:val="32"/>
          <w:szCs w:val="32"/>
        </w:rPr>
        <w:t>15%</w:t>
      </w:r>
      <w:r>
        <w:rPr>
          <w:rFonts w:hint="eastAsia" w:ascii="仿宋_GB2312" w:hAnsi="仿宋_GB2312" w:eastAsia="仿宋_GB2312" w:cs="仿宋_GB2312"/>
          <w:sz w:val="32"/>
          <w:szCs w:val="32"/>
        </w:rPr>
        <w:t>以上。完善政企联席会议制度，常态化开展“政企交流主题日”活动。深化“园区事园区办”改革，健全“全程代办”等服务机制。改造扩能现有规模工业企业</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以上，新入统规模工业企业</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家。</w:t>
      </w:r>
    </w:p>
    <w:p>
      <w:pPr>
        <w:spacing w:line="560" w:lineRule="exact"/>
        <w:rPr>
          <w:rFonts w:ascii="仿宋_GB2312" w:hAnsi="仿宋_GB2312" w:eastAsia="仿宋_GB2312"/>
          <w:sz w:val="32"/>
          <w:szCs w:val="32"/>
        </w:rPr>
      </w:pPr>
      <w:r>
        <w:rPr>
          <w:rFonts w:hint="eastAsia" w:ascii="仿宋_GB2312" w:hAnsi="仿宋_GB2312" w:eastAsia="仿宋_GB2312" w:cs="仿宋_GB2312"/>
          <w:b/>
          <w:sz w:val="32"/>
          <w:szCs w:val="32"/>
        </w:rPr>
        <w:t xml:space="preserve">    加快“以竹代塑”。</w:t>
      </w:r>
      <w:r>
        <w:rPr>
          <w:rFonts w:hint="eastAsia" w:ascii="仿宋_GB2312" w:hAnsi="仿宋_GB2312" w:eastAsia="仿宋_GB2312" w:cs="仿宋_GB2312"/>
          <w:sz w:val="32"/>
          <w:szCs w:val="32"/>
        </w:rPr>
        <w:t>实施森林资源提质工程，培育家庭林场、合作经济组织等规模经营主体，支持建设高标准竹木及竹笋基</w:t>
      </w:r>
      <w:r>
        <w:rPr>
          <w:rFonts w:hint="eastAsia" w:ascii="仿宋_GB2312" w:hAnsi="Calibri" w:eastAsia="仿宋_GB2312" w:cs="仿宋_GB2312"/>
          <w:sz w:val="32"/>
          <w:szCs w:val="32"/>
        </w:rPr>
        <w:t>地</w:t>
      </w:r>
      <w:r>
        <w:rPr>
          <w:rFonts w:hint="eastAsia" w:ascii="仿宋_GB2312" w:hAnsi="仿宋_GB2312" w:eastAsia="仿宋_GB2312" w:cs="仿宋_GB2312"/>
          <w:sz w:val="32"/>
          <w:szCs w:val="32"/>
        </w:rPr>
        <w:t>，加快竹林道建设，力争本地竹木资源利用率</w:t>
      </w:r>
      <w:r>
        <w:rPr>
          <w:rFonts w:hint="eastAsia" w:ascii="仿宋_GB2312" w:hAnsi="Calibri" w:eastAsia="仿宋_GB2312" w:cs="仿宋_GB2312"/>
          <w:sz w:val="32"/>
          <w:szCs w:val="32"/>
        </w:rPr>
        <w:t>达</w:t>
      </w:r>
      <w:r>
        <w:rPr>
          <w:rFonts w:ascii="仿宋_GB2312" w:hAnsi="Calibri" w:eastAsia="仿宋_GB2312" w:cs="仿宋_GB2312"/>
          <w:sz w:val="32"/>
          <w:szCs w:val="32"/>
        </w:rPr>
        <w:t>40%</w:t>
      </w:r>
      <w:r>
        <w:rPr>
          <w:rFonts w:hint="eastAsia" w:ascii="仿宋_GB2312" w:hAnsi="仿宋_GB2312" w:eastAsia="仿宋_GB2312" w:cs="仿宋_GB2312"/>
          <w:sz w:val="32"/>
          <w:szCs w:val="32"/>
        </w:rPr>
        <w:t>以上。发挥竹产业数字智能科技园、竹木深加工集聚区等平台作用，大力引进配套企业，积极构建全竹产业链条，力争创建全国“以竹代塑”应用推广基地。培强阳明竹咏、有竹科技、永竹科技、茵宠生物等“以竹代塑”龙头企业，持续拓展欧美、中东市场，推动“以竹代塑”产品走出国门、走向世界，力争实现外贸出口</w:t>
      </w:r>
      <w:r>
        <w:rPr>
          <w:rFonts w:ascii="仿宋_GB2312" w:hAnsi="仿宋_GB2312" w:eastAsia="仿宋_GB2312" w:cs="仿宋_GB2312"/>
          <w:sz w:val="32"/>
          <w:szCs w:val="32"/>
        </w:rPr>
        <w:t>2000</w:t>
      </w:r>
      <w:r>
        <w:rPr>
          <w:rFonts w:hint="eastAsia" w:ascii="仿宋_GB2312" w:hAnsi="仿宋_GB2312" w:eastAsia="仿宋_GB2312" w:cs="仿宋_GB2312"/>
          <w:sz w:val="32"/>
          <w:szCs w:val="32"/>
        </w:rPr>
        <w:t>万美元以上。推进竹木科技馆建设，办好竹产业高峰论坛。优化整合县内木材加工企业，加大新技术、新产品、新设备引进力度，加快聚财木业板材加工、数字智能竹木产业科技集聚区等项目建设，推动竹木企业集群发展，力争实现综合产</w:t>
      </w:r>
      <w:r>
        <w:rPr>
          <w:rFonts w:hint="eastAsia" w:ascii="仿宋_GB2312" w:hAnsi="Calibri" w:eastAsia="仿宋_GB2312" w:cs="仿宋_GB2312"/>
          <w:sz w:val="32"/>
          <w:szCs w:val="32"/>
        </w:rPr>
        <w:t>值</w:t>
      </w:r>
      <w:r>
        <w:rPr>
          <w:rFonts w:ascii="仿宋_GB2312" w:hAnsi="Calibri" w:eastAsia="仿宋_GB2312" w:cs="仿宋_GB2312"/>
          <w:sz w:val="32"/>
          <w:szCs w:val="32"/>
        </w:rPr>
        <w:t>25</w:t>
      </w:r>
      <w:r>
        <w:rPr>
          <w:rFonts w:hint="eastAsia" w:ascii="仿宋_GB2312" w:hAnsi="Calibri" w:eastAsia="仿宋_GB2312" w:cs="仿宋_GB2312"/>
          <w:sz w:val="32"/>
          <w:szCs w:val="32"/>
        </w:rPr>
        <w:t>亿元以上</w:t>
      </w:r>
      <w:r>
        <w:rPr>
          <w:rFonts w:hint="eastAsia" w:ascii="仿宋_GB2312" w:hAnsi="仿宋_GB2312" w:eastAsia="仿宋_GB2312" w:cs="仿宋_GB2312"/>
          <w:sz w:val="32"/>
          <w:szCs w:val="32"/>
        </w:rPr>
        <w:t>。</w:t>
      </w:r>
    </w:p>
    <w:p>
      <w:pPr>
        <w:adjustRightInd w:val="0"/>
        <w:spacing w:line="560" w:lineRule="exact"/>
        <w:rPr>
          <w:rFonts w:ascii="仿宋_GB2312" w:hAnsi="仿宋_GB2312" w:eastAsia="仿宋_GB2312"/>
          <w:sz w:val="32"/>
          <w:szCs w:val="32"/>
        </w:rPr>
      </w:pPr>
      <w:r>
        <w:rPr>
          <w:sz w:val="44"/>
          <w:szCs w:val="44"/>
        </w:rPr>
        <w:pict>
          <v:shape id="_x0000_s1118" o:spid="_x0000_s1118" o:spt="202" type="#_x0000_t202" style="position:absolute;left:0pt;margin-left:-20.85pt;margin-top:-553.4pt;height:25.55pt;width:469.35pt;z-index:251668480;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r>
        <w:rPr>
          <w:rFonts w:hint="eastAsia" w:ascii="仿宋_GB2312" w:hAnsi="仿宋_GB2312" w:eastAsia="仿宋_GB2312" w:cs="仿宋_GB2312"/>
          <w:b/>
          <w:sz w:val="32"/>
          <w:szCs w:val="32"/>
        </w:rPr>
        <w:t xml:space="preserve">    强化科技支撑。</w:t>
      </w:r>
      <w:r>
        <w:rPr>
          <w:rFonts w:hint="eastAsia" w:ascii="仿宋_GB2312" w:hAnsi="仿宋_GB2312" w:eastAsia="仿宋_GB2312" w:cs="仿宋_GB2312"/>
          <w:sz w:val="32"/>
          <w:szCs w:val="32"/>
        </w:rPr>
        <w:t>强力推进“林科教工程</w:t>
      </w:r>
      <w:r>
        <w:rPr>
          <w:rFonts w:ascii="仿宋_GB2312" w:hAnsi="仿宋_GB2312" w:eastAsia="仿宋_GB2312" w:cs="仿宋_GB2312"/>
          <w:sz w:val="32"/>
          <w:szCs w:val="32"/>
        </w:rPr>
        <w:t>3.0</w:t>
      </w:r>
      <w:r>
        <w:rPr>
          <w:rFonts w:hint="eastAsia" w:ascii="仿宋_GB2312" w:hAnsi="仿宋_GB2312" w:eastAsia="仿宋_GB2312" w:cs="仿宋_GB2312"/>
          <w:sz w:val="32"/>
          <w:szCs w:val="32"/>
        </w:rPr>
        <w:t>”，开展“院士专家双牌行”活动，加快打造创新联合体、产学研联盟。引导阳明竹咏、德普瑞生物科技等企业加强与院士团队合作，开展科技攻关，加速成果转化，加快发展新质生产力。大力实施“揭榜挂帅”重大科技项目，探索设立科技创新奖补资金，培育一批领军型企业、成长型企业，力争新增市级创新平台</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家以上，省级技术中心企业</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家，省级专精特新中小企业</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家，国家级高新技术企业</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家以上。</w:t>
      </w:r>
    </w:p>
    <w:p>
      <w:pPr>
        <w:adjustRightInd w:val="0"/>
        <w:spacing w:line="56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滚动实施十大产业项目：</w:t>
      </w:r>
      <w:r>
        <w:rPr>
          <w:rFonts w:hint="eastAsia" w:ascii="仿宋_GB2312" w:eastAsia="仿宋_GB2312" w:cs="仿宋_GB2312"/>
          <w:sz w:val="32"/>
          <w:szCs w:val="32"/>
        </w:rPr>
        <w:t>城北</w:t>
      </w:r>
      <w:r>
        <w:rPr>
          <w:rFonts w:ascii="仿宋_GB2312" w:eastAsia="仿宋_GB2312" w:cs="仿宋_GB2312"/>
          <w:sz w:val="32"/>
          <w:szCs w:val="32"/>
        </w:rPr>
        <w:t>10</w:t>
      </w:r>
      <w:r>
        <w:rPr>
          <w:rFonts w:hint="eastAsia" w:ascii="仿宋_GB2312" w:eastAsia="仿宋_GB2312" w:cs="仿宋_GB2312"/>
          <w:sz w:val="32"/>
          <w:szCs w:val="32"/>
        </w:rPr>
        <w:t>万立方米竹纤维重组宽幅成型板生产线；竹木产业科技园续建；宠物竹木用品产业园；聚财木业年产</w:t>
      </w:r>
      <w:r>
        <w:rPr>
          <w:rFonts w:ascii="仿宋_GB2312" w:eastAsia="仿宋_GB2312" w:cs="仿宋_GB2312"/>
          <w:sz w:val="32"/>
          <w:szCs w:val="32"/>
        </w:rPr>
        <w:t>15</w:t>
      </w:r>
      <w:r>
        <w:rPr>
          <w:rFonts w:hint="eastAsia" w:ascii="仿宋_GB2312" w:eastAsia="仿宋_GB2312" w:cs="仿宋_GB2312"/>
          <w:sz w:val="32"/>
          <w:szCs w:val="32"/>
        </w:rPr>
        <w:t>万立方米生态板；军联商贸物流园；泷兴建材产业园；利好科技香精香料；尚道国际扩产项目；昇宇科技二期；德普瑞科技扩产项目。</w:t>
      </w:r>
    </w:p>
    <w:p>
      <w:pPr>
        <w:spacing w:line="560" w:lineRule="exact"/>
        <w:ind w:firstLine="642" w:firstLineChars="200"/>
        <w:rPr>
          <w:rFonts w:ascii="楷体_GB2312" w:hAnsi="楷体_GB2312" w:eastAsia="楷体_GB2312"/>
          <w:b/>
          <w:sz w:val="32"/>
          <w:szCs w:val="32"/>
        </w:rPr>
      </w:pPr>
      <w:r>
        <w:rPr>
          <w:rFonts w:ascii="楷体_GB2312" w:hAnsi="楷体_GB2312" w:eastAsia="楷体_GB2312" w:cs="楷体_GB2312"/>
          <w:b/>
          <w:sz w:val="32"/>
          <w:szCs w:val="32"/>
        </w:rPr>
        <w:t>4.</w:t>
      </w:r>
      <w:r>
        <w:rPr>
          <w:rFonts w:hint="eastAsia" w:ascii="楷体_GB2312" w:hAnsi="楷体_GB2312" w:eastAsia="楷体_GB2312" w:cs="楷体_GB2312"/>
          <w:b/>
          <w:sz w:val="32"/>
          <w:szCs w:val="32"/>
        </w:rPr>
        <w:t>坚持能源强县，培育高质量发展新引擎</w:t>
      </w:r>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绿水青山就是金山银山。我们要发挥资源优势，打好资源牌，加快“融湾出海”步伐，高水平“走出去”，高质量“引进来”，让新能源新材料为县域经济发展添动力、激活力，增强生命力。</w:t>
      </w:r>
    </w:p>
    <w:p>
      <w:pPr>
        <w:spacing w:line="560" w:lineRule="exact"/>
        <w:rPr>
          <w:rFonts w:ascii="仿宋_GB2312" w:hAnsi="仿宋_GB2312" w:eastAsia="仿宋_GB2312"/>
          <w:sz w:val="32"/>
          <w:szCs w:val="32"/>
        </w:rPr>
      </w:pPr>
      <w:r>
        <w:rPr>
          <w:sz w:val="44"/>
          <w:szCs w:val="44"/>
        </w:rPr>
        <w:pict>
          <v:shape id="_x0000_s1119" o:spid="_x0000_s1119" o:spt="202" type="#_x0000_t202" style="position:absolute;left:0pt;margin-left:-24.45pt;margin-top:-189.4pt;height:25.55pt;width:469.95pt;z-index:251669504;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r>
        <w:rPr>
          <w:rFonts w:hint="eastAsia" w:ascii="仿宋_GB2312" w:hAnsi="仿宋_GB2312" w:eastAsia="仿宋_GB2312" w:cs="仿宋_GB2312"/>
          <w:b/>
          <w:sz w:val="32"/>
          <w:szCs w:val="32"/>
        </w:rPr>
        <w:t xml:space="preserve">    抓紧发展新能源。</w:t>
      </w:r>
      <w:r>
        <w:rPr>
          <w:rFonts w:hint="eastAsia" w:ascii="仿宋_GB2312" w:hAnsi="仿宋_GB2312" w:eastAsia="仿宋_GB2312" w:cs="仿宋_GB2312"/>
          <w:sz w:val="32"/>
          <w:szCs w:val="32"/>
        </w:rPr>
        <w:t>强化抽水蓄能、风电引领带动作用，探索推行微风发电，推动新能源产业协同发展、贯通共进。双牌抽水蓄能电站项目要抓紧完成相关手续办理，年内完成征地拆迁和进场道路建设，启动交通洞、通风洞、安全洞建设，确保项目按计划有序推进。柴君山、打鼓坪二期等</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个风电项目要加快建设进度，确保年内实现并网发电。牟江风电场一期项目要尽快完成核准并开工建设。</w:t>
      </w:r>
    </w:p>
    <w:p>
      <w:pPr>
        <w:spacing w:line="560" w:lineRule="exact"/>
        <w:ind w:firstLine="642" w:firstLineChars="200"/>
        <w:rPr>
          <w:rFonts w:ascii="仿宋_GB2312" w:hAnsi="仿宋_GB2312" w:eastAsia="仿宋_GB2312"/>
          <w:sz w:val="32"/>
          <w:szCs w:val="32"/>
        </w:rPr>
      </w:pPr>
      <w:r>
        <w:rPr>
          <w:rFonts w:hint="eastAsia" w:ascii="仿宋_GB2312" w:hAnsi="仿宋_GB2312" w:eastAsia="仿宋_GB2312" w:cs="仿宋_GB2312"/>
          <w:b/>
          <w:sz w:val="32"/>
          <w:szCs w:val="32"/>
        </w:rPr>
        <w:t>建设新材料产业园。</w:t>
      </w:r>
      <w:r>
        <w:rPr>
          <w:rFonts w:hint="eastAsia" w:ascii="仿宋_GB2312" w:hAnsi="仿宋_GB2312" w:eastAsia="仿宋_GB2312" w:cs="仿宋_GB2312"/>
          <w:sz w:val="32"/>
          <w:szCs w:val="32"/>
        </w:rPr>
        <w:t>规划建设河东新材料产业园，</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月底前完成新增用地</w:t>
      </w:r>
      <w:r>
        <w:rPr>
          <w:rFonts w:ascii="仿宋_GB2312" w:hAnsi="仿宋_GB2312" w:eastAsia="仿宋_GB2312" w:cs="仿宋_GB2312"/>
          <w:sz w:val="32"/>
          <w:szCs w:val="32"/>
        </w:rPr>
        <w:t>150</w:t>
      </w:r>
      <w:r>
        <w:rPr>
          <w:rFonts w:hint="eastAsia" w:ascii="仿宋_GB2312" w:hAnsi="仿宋_GB2312" w:eastAsia="仿宋_GB2312" w:cs="仿宋_GB2312"/>
          <w:sz w:val="32"/>
          <w:szCs w:val="32"/>
        </w:rPr>
        <w:t>亩左右，全年新增可用工业用地</w:t>
      </w:r>
      <w:r>
        <w:rPr>
          <w:rFonts w:ascii="仿宋_GB2312" w:hAnsi="仿宋_GB2312" w:eastAsia="仿宋_GB2312" w:cs="仿宋_GB2312"/>
          <w:sz w:val="32"/>
          <w:szCs w:val="32"/>
        </w:rPr>
        <w:t>400</w:t>
      </w:r>
      <w:r>
        <w:rPr>
          <w:rFonts w:hint="eastAsia" w:ascii="仿宋_GB2312" w:hAnsi="仿宋_GB2312" w:eastAsia="仿宋_GB2312" w:cs="仿宋_GB2312"/>
          <w:sz w:val="32"/>
          <w:szCs w:val="32"/>
        </w:rPr>
        <w:t>亩以上。加快三墨年产</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万吨锂电池负极材料、昊利碳酸锂及锰酸锂改扩建项目建设，发挥昊利科技、三墨新材料、</w:t>
      </w:r>
      <w:r>
        <w:rPr>
          <w:rFonts w:hint="eastAsia" w:ascii="仿宋_GB2312" w:hAnsi="仿宋_GB2312" w:eastAsia="仿宋_GB2312" w:cs="仿宋_GB2312"/>
          <w:sz w:val="36"/>
          <w:szCs w:val="36"/>
        </w:rPr>
        <w:t>昇</w:t>
      </w:r>
      <w:r>
        <w:rPr>
          <w:rFonts w:hint="eastAsia" w:ascii="仿宋_GB2312" w:hAnsi="仿宋_GB2312" w:eastAsia="仿宋_GB2312" w:cs="仿宋_GB2312"/>
          <w:sz w:val="32"/>
          <w:szCs w:val="32"/>
        </w:rPr>
        <w:t>宇科技等企业引领作用，年内新引进“高投入、高产值、高税收”项目</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个以上，新增投资</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亿元以上。力争在五年内建成年产</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万吨锂电池材料、产值过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亿元的新材料产业园。</w:t>
      </w:r>
    </w:p>
    <w:p>
      <w:pPr>
        <w:spacing w:line="560" w:lineRule="exact"/>
        <w:ind w:firstLine="642" w:firstLineChars="200"/>
        <w:rPr>
          <w:rFonts w:ascii="仿宋_GB2312" w:hAnsi="仿宋_GB2312" w:eastAsia="仿宋_GB2312"/>
          <w:sz w:val="32"/>
          <w:szCs w:val="32"/>
        </w:rPr>
      </w:pPr>
      <w:r>
        <w:rPr>
          <w:rFonts w:hint="eastAsia" w:ascii="仿宋_GB2312" w:hAnsi="仿宋_GB2312" w:eastAsia="仿宋_GB2312" w:cs="仿宋_GB2312"/>
          <w:b/>
          <w:sz w:val="32"/>
          <w:szCs w:val="32"/>
        </w:rPr>
        <w:t>大力招商引进。</w:t>
      </w:r>
      <w:r>
        <w:rPr>
          <w:rFonts w:hint="eastAsia" w:ascii="仿宋_GB2312" w:hAnsi="仿宋_GB2312" w:eastAsia="仿宋_GB2312" w:cs="仿宋_GB2312"/>
          <w:sz w:val="32"/>
          <w:szCs w:val="32"/>
        </w:rPr>
        <w:t>深化“放管服”改革，加强“数字政府”建设，加快“湘易办”推广应用，推动“高效办成一件事”落地实施，争创省社会信用体系建设示范县。持续优化营商环境，推动惠企政策直达快享，激发各类市场主体活力，发展壮大民营经济。扎实开展“招商引资大比武”活动，成立驻粤闽浙招商小分队，围绕“一主一特”和新能源新材料产业延链补链，大力引进“链主”企业，全年引进投资</w:t>
      </w:r>
      <w:r>
        <w:rPr>
          <w:rFonts w:ascii="仿宋_GB2312" w:hAnsi="仿宋_GB2312" w:eastAsia="仿宋_GB2312" w:cs="仿宋_GB2312"/>
          <w:sz w:val="32"/>
          <w:szCs w:val="32"/>
        </w:rPr>
        <w:t>5000</w:t>
      </w:r>
      <w:r>
        <w:rPr>
          <w:rFonts w:hint="eastAsia" w:ascii="仿宋_GB2312" w:hAnsi="仿宋_GB2312" w:eastAsia="仿宋_GB2312" w:cs="仿宋_GB2312"/>
          <w:sz w:val="32"/>
          <w:szCs w:val="32"/>
        </w:rPr>
        <w:t>万元以上项目</w:t>
      </w:r>
      <w:r>
        <w:rPr>
          <w:rFonts w:ascii="仿宋_GB2312" w:hAnsi="仿宋_GB2312" w:eastAsia="仿宋_GB2312" w:cs="仿宋_GB2312"/>
          <w:sz w:val="32"/>
          <w:szCs w:val="32"/>
        </w:rPr>
        <w:t>18</w:t>
      </w:r>
      <w:r>
        <w:rPr>
          <w:rFonts w:hint="eastAsia" w:ascii="仿宋_GB2312" w:hAnsi="仿宋_GB2312" w:eastAsia="仿宋_GB2312" w:cs="仿宋_GB2312"/>
          <w:sz w:val="32"/>
          <w:szCs w:val="32"/>
        </w:rPr>
        <w:t>个以上，其中三类</w:t>
      </w:r>
      <w:r>
        <w:rPr>
          <w:rFonts w:ascii="仿宋_GB2312" w:hAnsi="仿宋_GB2312" w:eastAsia="仿宋_GB2312" w:cs="仿宋_GB2312"/>
          <w:sz w:val="32"/>
          <w:szCs w:val="32"/>
        </w:rPr>
        <w:t>500</w:t>
      </w:r>
      <w:r>
        <w:rPr>
          <w:rFonts w:hint="eastAsia" w:ascii="仿宋_GB2312" w:hAnsi="仿宋_GB2312" w:eastAsia="仿宋_GB2312" w:cs="仿宋_GB2312"/>
          <w:sz w:val="32"/>
          <w:szCs w:val="32"/>
        </w:rPr>
        <w:t>强项目</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个、</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亿元以上项目</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个，引进湘商回归项目、到位资金年均增长</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以上。实际利用外资</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万美元以上，新增外贸“破零倍增”企业</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家以上。</w:t>
      </w:r>
    </w:p>
    <w:p>
      <w:pPr>
        <w:spacing w:line="560" w:lineRule="exact"/>
        <w:rPr>
          <w:rFonts w:ascii="仿宋_GB2312" w:hAnsi="仿宋_GB2312" w:eastAsia="仿宋_GB2312"/>
          <w:b/>
          <w:sz w:val="32"/>
          <w:szCs w:val="32"/>
        </w:rPr>
      </w:pPr>
      <w:r>
        <w:rPr>
          <w:sz w:val="44"/>
          <w:szCs w:val="44"/>
        </w:rPr>
        <w:pict>
          <v:shape id="_x0000_s1120" o:spid="_x0000_s1120" o:spt="202" type="#_x0000_t202" style="position:absolute;left:0pt;margin-left:-21.45pt;margin-top:-245.4pt;height:25.55pt;width:466.95pt;z-index:251670528;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r>
        <w:rPr>
          <w:rFonts w:hint="eastAsia" w:ascii="仿宋_GB2312" w:hAnsi="仿宋_GB2312" w:eastAsia="仿宋_GB2312" w:cs="仿宋_GB2312"/>
          <w:b/>
          <w:sz w:val="32"/>
          <w:szCs w:val="32"/>
        </w:rPr>
        <w:t xml:space="preserve">    激活消费潜能。</w:t>
      </w:r>
      <w:r>
        <w:rPr>
          <w:rFonts w:hint="eastAsia" w:ascii="仿宋_GB2312" w:hAnsi="仿宋_GB2312" w:eastAsia="仿宋_GB2312" w:cs="仿宋_GB2312"/>
          <w:sz w:val="32"/>
          <w:szCs w:val="32"/>
        </w:rPr>
        <w:t>对接落实国家激励政策，推动实施新一轮大规模设备更新和消费品以旧换新。紧盯重大节假日消费节点，配合开展“乐享消费，惠购永州”“家具焕新季”“惠购湘车”等系列主题活动。推进数商兴农、直播电商等新业态高质量发展，大力发展夜间经济、体验消费，将文旅康养、小城镇建设与消费活动有效衔接，新增限额以上商贸企业</w:t>
      </w:r>
      <w:r>
        <w:rPr>
          <w:rFonts w:ascii="仿宋_GB2312" w:hAnsi="仿宋_GB2312" w:eastAsia="仿宋_GB2312" w:cs="仿宋_GB2312"/>
          <w:sz w:val="32"/>
          <w:szCs w:val="32"/>
        </w:rPr>
        <w:t>7</w:t>
      </w:r>
      <w:r>
        <w:rPr>
          <w:rFonts w:hint="eastAsia" w:ascii="仿宋_GB2312" w:hAnsi="仿宋_GB2312" w:eastAsia="仿宋_GB2312" w:cs="仿宋_GB2312"/>
          <w:sz w:val="32"/>
          <w:szCs w:val="32"/>
        </w:rPr>
        <w:t>家。全年举办线上线下电商促销活动</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场以上，参加省级展销会、博览会、交易会等各类电商展销活动</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场以上，积极培育农产品流通领域限上企业，实现全县农产品网络零售额</w:t>
      </w:r>
      <w:r>
        <w:rPr>
          <w:rFonts w:ascii="仿宋_GB2312" w:hAnsi="仿宋_GB2312" w:eastAsia="仿宋_GB2312" w:cs="仿宋_GB2312"/>
          <w:sz w:val="32"/>
          <w:szCs w:val="32"/>
        </w:rPr>
        <w:t>1.4</w:t>
      </w:r>
      <w:r>
        <w:rPr>
          <w:rFonts w:hint="eastAsia" w:ascii="仿宋_GB2312" w:hAnsi="仿宋_GB2312" w:eastAsia="仿宋_GB2312" w:cs="仿宋_GB2312"/>
          <w:sz w:val="32"/>
          <w:szCs w:val="32"/>
        </w:rPr>
        <w:t>亿元以上。</w:t>
      </w:r>
    </w:p>
    <w:p>
      <w:pPr>
        <w:spacing w:line="560" w:lineRule="exact"/>
        <w:ind w:firstLine="642" w:firstLineChars="200"/>
        <w:rPr>
          <w:rFonts w:ascii="仿宋_GB2312" w:hAnsi="仿宋_GB2312" w:eastAsia="仿宋_GB2312"/>
          <w:sz w:val="32"/>
          <w:szCs w:val="32"/>
        </w:rPr>
      </w:pPr>
      <w:r>
        <w:rPr>
          <w:rFonts w:hint="eastAsia" w:ascii="仿宋_GB2312" w:hAnsi="仿宋_GB2312" w:eastAsia="仿宋_GB2312" w:cs="仿宋_GB2312"/>
          <w:b/>
          <w:sz w:val="32"/>
          <w:szCs w:val="32"/>
        </w:rPr>
        <w:t>扩大有效投资。</w:t>
      </w:r>
      <w:r>
        <w:rPr>
          <w:rFonts w:hint="eastAsia" w:ascii="仿宋_GB2312" w:hAnsi="仿宋_GB2312" w:eastAsia="仿宋_GB2312" w:cs="仿宋_GB2312"/>
          <w:sz w:val="32"/>
          <w:szCs w:val="32"/>
        </w:rPr>
        <w:t>紧跟政策谋项目、抢抓机遇争项目、千方百计引项目、倒排工期建项目，推动“项目建设年”落实见效。深入推进“项目谋划月”活动，围绕“特别国债、中央预算内和专项债券”，做实项目前期准备，做优“项目储备库”，形成“谋划一批、储备一批、争取一批、开工一批”的项目工作机制，全年争取资金</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亿元以上。用好“四个一”管理模式和“三级”调度机制，抓好</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个省重点项目、</w:t>
      </w:r>
      <w:r>
        <w:rPr>
          <w:rFonts w:ascii="仿宋_GB2312" w:hAnsi="仿宋_GB2312" w:eastAsia="仿宋_GB2312" w:cs="仿宋_GB2312"/>
          <w:sz w:val="32"/>
          <w:szCs w:val="32"/>
        </w:rPr>
        <w:t>15</w:t>
      </w:r>
      <w:r>
        <w:rPr>
          <w:rFonts w:hint="eastAsia" w:ascii="仿宋_GB2312" w:hAnsi="仿宋_GB2312" w:eastAsia="仿宋_GB2312" w:cs="仿宋_GB2312"/>
          <w:sz w:val="32"/>
          <w:szCs w:val="32"/>
        </w:rPr>
        <w:t>个市重点项目、</w:t>
      </w:r>
      <w:r>
        <w:rPr>
          <w:rFonts w:ascii="仿宋_GB2312" w:hAnsi="仿宋_GB2312" w:eastAsia="仿宋_GB2312" w:cs="仿宋_GB2312"/>
          <w:sz w:val="32"/>
          <w:szCs w:val="32"/>
        </w:rPr>
        <w:t>51</w:t>
      </w:r>
      <w:r>
        <w:rPr>
          <w:rFonts w:hint="eastAsia" w:ascii="仿宋_GB2312" w:hAnsi="仿宋_GB2312" w:eastAsia="仿宋_GB2312" w:cs="仿宋_GB2312"/>
          <w:sz w:val="32"/>
          <w:szCs w:val="32"/>
        </w:rPr>
        <w:t>个县重点项目建设，年度完成投资</w:t>
      </w:r>
      <w:r>
        <w:rPr>
          <w:rFonts w:ascii="仿宋_GB2312" w:hAnsi="仿宋_GB2312" w:eastAsia="仿宋_GB2312" w:cs="仿宋_GB2312"/>
          <w:sz w:val="32"/>
          <w:szCs w:val="32"/>
        </w:rPr>
        <w:t>69</w:t>
      </w:r>
      <w:r>
        <w:rPr>
          <w:rFonts w:hint="eastAsia" w:ascii="仿宋_GB2312" w:hAnsi="仿宋_GB2312" w:eastAsia="仿宋_GB2312" w:cs="仿宋_GB2312"/>
          <w:sz w:val="32"/>
          <w:szCs w:val="32"/>
        </w:rPr>
        <w:t>亿元以上。</w:t>
      </w:r>
    </w:p>
    <w:p>
      <w:pPr>
        <w:spacing w:line="560" w:lineRule="exact"/>
        <w:ind w:firstLine="642" w:firstLineChars="200"/>
        <w:rPr>
          <w:rFonts w:ascii="楷体_GB2312" w:hAnsi="楷体_GB2312" w:eastAsia="楷体_GB2312"/>
          <w:b/>
          <w:sz w:val="32"/>
          <w:szCs w:val="32"/>
        </w:rPr>
      </w:pPr>
      <w:r>
        <w:rPr>
          <w:rFonts w:ascii="楷体_GB2312" w:hAnsi="楷体_GB2312" w:eastAsia="楷体_GB2312" w:cs="楷体_GB2312"/>
          <w:b/>
          <w:sz w:val="32"/>
          <w:szCs w:val="32"/>
        </w:rPr>
        <w:t>5.</w:t>
      </w:r>
      <w:r>
        <w:rPr>
          <w:rFonts w:hint="eastAsia" w:ascii="楷体_GB2312" w:hAnsi="楷体_GB2312" w:eastAsia="楷体_GB2312" w:cs="楷体_GB2312"/>
          <w:b/>
          <w:sz w:val="32"/>
          <w:szCs w:val="32"/>
        </w:rPr>
        <w:t>坚持民生活县，不断满足人民对美好生活的向往</w:t>
      </w:r>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民生工作一头连着发展大局，一头连着万家灯火！要坚持项目一个接着一个干，实事一件接着一件办，让和煦阳光照亮双牌每一个角落，民生情怀温暖每一位双牌人民。</w:t>
      </w:r>
    </w:p>
    <w:p>
      <w:pPr>
        <w:spacing w:line="560" w:lineRule="exact"/>
        <w:rPr>
          <w:rFonts w:ascii="仿宋_GB2312" w:hAnsi="仿宋_GB2312" w:eastAsia="仿宋_GB2312"/>
          <w:sz w:val="32"/>
          <w:szCs w:val="32"/>
        </w:rPr>
      </w:pPr>
      <w:r>
        <w:rPr>
          <w:sz w:val="44"/>
          <w:szCs w:val="44"/>
        </w:rPr>
        <w:pict>
          <v:shape id="_x0000_s1121" o:spid="_x0000_s1121" o:spt="202" type="#_x0000_t202" style="position:absolute;left:0pt;margin-left:-26.25pt;margin-top:-133.4pt;height:25.55pt;width:471.75pt;z-index:251671552;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r>
        <w:rPr>
          <w:rFonts w:hint="eastAsia" w:ascii="仿宋_GB2312" w:hAnsi="仿宋_GB2312" w:eastAsia="仿宋_GB2312" w:cs="仿宋_GB2312"/>
          <w:b/>
          <w:sz w:val="32"/>
          <w:szCs w:val="32"/>
        </w:rPr>
        <w:t xml:space="preserve">    夯实就业创业根基。</w:t>
      </w:r>
      <w:r>
        <w:rPr>
          <w:rFonts w:hint="eastAsia" w:ascii="仿宋_GB2312" w:hAnsi="仿宋_GB2312" w:eastAsia="仿宋_GB2312" w:cs="仿宋_GB2312"/>
          <w:sz w:val="32"/>
          <w:szCs w:val="32"/>
        </w:rPr>
        <w:t>建立</w:t>
      </w:r>
      <w:r>
        <w:rPr>
          <w:rFonts w:hint="eastAsia" w:ascii="仿宋_GB2312" w:hAnsi="仿宋" w:eastAsia="仿宋_GB2312" w:cs="仿宋_GB2312"/>
          <w:sz w:val="32"/>
          <w:szCs w:val="32"/>
        </w:rPr>
        <w:t>企业用工和劳动力资源管理台账，搭建供需无缝对接平台。</w:t>
      </w:r>
      <w:r>
        <w:rPr>
          <w:rFonts w:hint="eastAsia" w:ascii="仿宋_GB2312" w:eastAsia="仿宋_GB2312" w:cs="仿宋_GB2312"/>
          <w:sz w:val="32"/>
          <w:szCs w:val="32"/>
        </w:rPr>
        <w:t>推动零工市场和“十五分钟就业服务圈”站点建设，常态化开展</w:t>
      </w:r>
      <w:r>
        <w:rPr>
          <w:rFonts w:hint="eastAsia" w:ascii="仿宋_GB2312" w:hAnsi="仿宋_GB2312" w:eastAsia="仿宋_GB2312" w:cs="仿宋_GB2312"/>
          <w:sz w:val="32"/>
          <w:szCs w:val="32"/>
        </w:rPr>
        <w:t>各类用工招聘活动，确保零就业家庭动态清零，全年新增城镇</w:t>
      </w:r>
      <w:r>
        <w:rPr>
          <w:rFonts w:hint="eastAsia" w:ascii="仿宋_GB2312" w:hAnsi="Calibri" w:eastAsia="仿宋_GB2312" w:cs="仿宋_GB2312"/>
          <w:sz w:val="32"/>
          <w:szCs w:val="32"/>
        </w:rPr>
        <w:t>就业</w:t>
      </w:r>
      <w:r>
        <w:rPr>
          <w:rFonts w:ascii="仿宋_GB2312" w:hAnsi="Calibri" w:eastAsia="仿宋_GB2312" w:cs="仿宋_GB2312"/>
          <w:sz w:val="32"/>
          <w:szCs w:val="32"/>
        </w:rPr>
        <w:t>3000</w:t>
      </w:r>
      <w:r>
        <w:rPr>
          <w:rFonts w:hint="eastAsia" w:ascii="仿宋_GB2312" w:hAnsi="Calibri" w:eastAsia="仿宋_GB2312" w:cs="仿宋_GB2312"/>
          <w:sz w:val="32"/>
          <w:szCs w:val="32"/>
        </w:rPr>
        <w:t>人</w:t>
      </w:r>
      <w:r>
        <w:rPr>
          <w:rFonts w:hint="eastAsia" w:ascii="仿宋_GB2312" w:hAnsi="仿宋_GB2312" w:eastAsia="仿宋_GB2312" w:cs="仿宋_GB2312"/>
          <w:sz w:val="32"/>
          <w:szCs w:val="32"/>
        </w:rPr>
        <w:t>以上，新增农村劳动力转移</w:t>
      </w:r>
      <w:r>
        <w:rPr>
          <w:rFonts w:hint="eastAsia" w:ascii="仿宋_GB2312" w:hAnsi="Calibri" w:eastAsia="仿宋_GB2312" w:cs="仿宋_GB2312"/>
          <w:sz w:val="32"/>
          <w:szCs w:val="32"/>
        </w:rPr>
        <w:t>就业</w:t>
      </w:r>
      <w:r>
        <w:rPr>
          <w:rFonts w:ascii="仿宋_GB2312" w:hAnsi="Calibri" w:eastAsia="仿宋_GB2312" w:cs="仿宋_GB2312"/>
          <w:sz w:val="32"/>
          <w:szCs w:val="32"/>
        </w:rPr>
        <w:t>1600</w:t>
      </w:r>
      <w:r>
        <w:rPr>
          <w:rFonts w:hint="eastAsia" w:ascii="仿宋_GB2312" w:hAnsi="Calibri" w:eastAsia="仿宋_GB2312" w:cs="仿宋_GB2312"/>
          <w:sz w:val="32"/>
          <w:szCs w:val="32"/>
        </w:rPr>
        <w:t>人</w:t>
      </w:r>
      <w:r>
        <w:rPr>
          <w:rFonts w:hint="eastAsia" w:ascii="仿宋_GB2312" w:hAnsi="仿宋_GB2312" w:eastAsia="仿宋_GB2312" w:cs="仿宋_GB2312"/>
          <w:sz w:val="32"/>
          <w:szCs w:val="32"/>
        </w:rPr>
        <w:t>以上。</w:t>
      </w:r>
      <w:r>
        <w:rPr>
          <w:rFonts w:hint="eastAsia" w:ascii="仿宋_GB2312" w:hAnsi="楷体_GB2312" w:eastAsia="仿宋_GB2312" w:cs="仿宋_GB2312"/>
          <w:sz w:val="32"/>
          <w:szCs w:val="32"/>
        </w:rPr>
        <w:t>发挥中南林科大、县职业技术学校等培训基地作用，</w:t>
      </w:r>
      <w:r>
        <w:rPr>
          <w:rFonts w:hint="eastAsia" w:ascii="仿宋_GB2312" w:hAnsi="仿宋_GB2312" w:eastAsia="仿宋_GB2312" w:cs="仿宋_GB2312"/>
          <w:sz w:val="32"/>
          <w:szCs w:val="32"/>
        </w:rPr>
        <w:t>开展导游、茶艺、电子商务、竹木加工技能等职业培训，培养一批本土技术人才和产业工人。创业担保贷款重点向返乡</w:t>
      </w:r>
      <w:r>
        <w:rPr>
          <w:rFonts w:hint="eastAsia" w:ascii="仿宋_GB2312" w:hAnsi="楷体_GB2312" w:eastAsia="仿宋_GB2312" w:cs="仿宋_GB2312"/>
          <w:sz w:val="32"/>
          <w:szCs w:val="32"/>
        </w:rPr>
        <w:t>创业人员倾斜，</w:t>
      </w:r>
      <w:r>
        <w:rPr>
          <w:rFonts w:hint="eastAsia" w:ascii="仿宋_GB2312" w:hAnsi="仿宋_GB2312" w:eastAsia="仿宋_GB2312" w:cs="仿宋_GB2312"/>
          <w:sz w:val="32"/>
          <w:szCs w:val="32"/>
        </w:rPr>
        <w:t>对入驻创业孵化基地自主创业的返乡农民工提供租金减免、税费减免等优惠政策，让群众“家门口”就业创业更加方便、深入人心</w:t>
      </w:r>
      <w:r>
        <w:rPr>
          <w:rFonts w:hint="eastAsia" w:ascii="仿宋_GB2312" w:eastAsia="仿宋_GB2312" w:cs="仿宋_GB2312"/>
          <w:sz w:val="32"/>
          <w:szCs w:val="32"/>
        </w:rPr>
        <w:t>。</w:t>
      </w:r>
    </w:p>
    <w:p>
      <w:pPr>
        <w:spacing w:line="560" w:lineRule="exact"/>
        <w:ind w:firstLine="642" w:firstLineChars="200"/>
        <w:rPr>
          <w:rFonts w:ascii="仿宋_GB2312" w:hAnsi="仿宋_GB2312" w:eastAsia="仿宋_GB2312"/>
          <w:sz w:val="32"/>
          <w:szCs w:val="32"/>
        </w:rPr>
      </w:pPr>
      <w:r>
        <w:rPr>
          <w:rFonts w:hint="eastAsia" w:ascii="仿宋_GB2312" w:hAnsi="仿宋_GB2312" w:eastAsia="仿宋_GB2312" w:cs="仿宋_GB2312"/>
          <w:b/>
          <w:sz w:val="32"/>
          <w:szCs w:val="32"/>
        </w:rPr>
        <w:t>织密兜牢社会保障底线。</w:t>
      </w:r>
      <w:r>
        <w:rPr>
          <w:rFonts w:hint="eastAsia" w:ascii="仿宋_GB2312" w:eastAsia="仿宋_GB2312" w:cs="仿宋_GB2312"/>
          <w:sz w:val="32"/>
          <w:szCs w:val="32"/>
        </w:rPr>
        <w:t>围绕兜底、扩面、提标，推动城乡居民养老、失业、工伤保险应保尽保，待遇应发尽发。</w:t>
      </w:r>
      <w:r>
        <w:rPr>
          <w:rFonts w:hint="eastAsia" w:ascii="仿宋_GB2312" w:hAnsi="仿宋_GB2312" w:eastAsia="仿宋_GB2312" w:cs="仿宋_GB2312"/>
          <w:sz w:val="32"/>
          <w:szCs w:val="32"/>
        </w:rPr>
        <w:t>完成基本医保参保征缴任务，严格守护基金安全。加强低收入人口动态监测，健全分层分类社会救助体系，</w:t>
      </w:r>
      <w:r>
        <w:rPr>
          <w:rFonts w:hint="eastAsia" w:ascii="仿宋_GB2312" w:eastAsia="仿宋_GB2312" w:cs="仿宋_GB2312"/>
          <w:sz w:val="32"/>
          <w:szCs w:val="32"/>
        </w:rPr>
        <w:t>持续提高困难群体救助能力和水平</w:t>
      </w:r>
      <w:r>
        <w:rPr>
          <w:rFonts w:hint="eastAsia" w:ascii="仿宋_GB2312" w:hAnsi="仿宋_GB2312" w:eastAsia="仿宋_GB2312" w:cs="仿宋_GB2312"/>
          <w:sz w:val="32"/>
          <w:szCs w:val="32"/>
        </w:rPr>
        <w:t>。关心关爱孤寡老人、留守儿童、残疾人等特殊群体，全面推进县残疾儿童康复中心建设，完成困难残疾人家庭无障碍改造</w:t>
      </w:r>
      <w:r>
        <w:rPr>
          <w:rFonts w:ascii="仿宋_GB2312" w:hAnsi="仿宋_GB2312" w:eastAsia="仿宋_GB2312" w:cs="仿宋_GB2312"/>
          <w:sz w:val="32"/>
          <w:szCs w:val="32"/>
        </w:rPr>
        <w:t>136</w:t>
      </w:r>
      <w:r>
        <w:rPr>
          <w:rFonts w:hint="eastAsia" w:ascii="仿宋_GB2312" w:hAnsi="仿宋_GB2312" w:eastAsia="仿宋_GB2312" w:cs="仿宋_GB2312"/>
          <w:sz w:val="32"/>
          <w:szCs w:val="32"/>
        </w:rPr>
        <w:t>户。巩固养联体建设试点成果，完成老年养护中心大楼装修投用，推进居家和社区养老服务体系建设，落实困难老年人居家适老化改造任务，建设</w:t>
      </w:r>
      <w:r>
        <w:rPr>
          <w:rFonts w:hint="eastAsia" w:ascii="仿宋_GB2312" w:eastAsia="仿宋_GB2312" w:cs="仿宋_GB2312"/>
          <w:sz w:val="32"/>
          <w:szCs w:val="32"/>
        </w:rPr>
        <w:t>农村社区养老服务中心，</w:t>
      </w:r>
      <w:r>
        <w:rPr>
          <w:rFonts w:hint="eastAsia" w:ascii="仿宋_GB2312" w:hAnsi="仿宋_GB2312" w:eastAsia="仿宋_GB2312" w:cs="仿宋_GB2312"/>
          <w:sz w:val="32"/>
          <w:szCs w:val="32"/>
        </w:rPr>
        <w:t>争创中国长寿之乡。推进普惠托育服务体系建设。完成殡葬改革试点验收。</w:t>
      </w:r>
    </w:p>
    <w:p>
      <w:pPr>
        <w:spacing w:line="530" w:lineRule="exact"/>
        <w:ind w:firstLine="642" w:firstLineChars="200"/>
        <w:rPr>
          <w:rFonts w:ascii="宋体" w:hAnsi="宋体" w:eastAsia="宋体"/>
          <w:sz w:val="32"/>
          <w:szCs w:val="32"/>
        </w:rPr>
      </w:pPr>
      <w:r>
        <w:rPr>
          <w:rFonts w:hint="eastAsia" w:ascii="仿宋_GB2312" w:hAnsi="仿宋_GB2312" w:eastAsia="仿宋_GB2312" w:cs="仿宋_GB2312"/>
          <w:b/>
          <w:sz w:val="32"/>
          <w:szCs w:val="32"/>
        </w:rPr>
        <w:t>大力实施教育提升工程。</w:t>
      </w:r>
      <w:r>
        <w:rPr>
          <w:rFonts w:hint="eastAsia" w:ascii="仿宋_GB2312" w:hAnsi="仿宋_GB2312" w:eastAsia="仿宋_GB2312" w:cs="仿宋_GB2312"/>
          <w:sz w:val="32"/>
          <w:szCs w:val="32"/>
        </w:rPr>
        <w:t>稳妥推进学校布局调整，对</w:t>
      </w:r>
      <w:r>
        <w:rPr>
          <w:rFonts w:ascii="仿宋_GB2312" w:hAnsi="仿宋_GB2312" w:eastAsia="仿宋_GB2312" w:cs="仿宋_GB2312"/>
          <w:sz w:val="32"/>
          <w:szCs w:val="32"/>
        </w:rPr>
        <w:t>7</w:t>
      </w:r>
      <w:r>
        <w:rPr>
          <w:sz w:val="44"/>
          <w:szCs w:val="44"/>
        </w:rPr>
        <w:pict>
          <v:shape id="_x0000_s1122" o:spid="_x0000_s1122" o:spt="202" type="#_x0000_t202" style="position:absolute;left:0pt;margin-left:-22.65pt;margin-top:-49.4pt;height:25.55pt;width:459.15pt;z-index:251672576;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r>
        <w:rPr>
          <w:rFonts w:hint="eastAsia" w:ascii="仿宋_GB2312" w:hAnsi="仿宋_GB2312" w:eastAsia="仿宋_GB2312" w:cs="仿宋_GB2312"/>
          <w:sz w:val="32"/>
          <w:szCs w:val="32"/>
        </w:rPr>
        <w:t>所农村小规模初中学校实施区域性集中办学。加快“徐特立项目”建设，新增公办普通高中学位</w:t>
      </w:r>
      <w:r>
        <w:rPr>
          <w:rFonts w:ascii="仿宋_GB2312" w:hAnsi="仿宋_GB2312" w:eastAsia="仿宋_GB2312" w:cs="仿宋_GB2312"/>
          <w:sz w:val="32"/>
          <w:szCs w:val="32"/>
        </w:rPr>
        <w:t>300</w:t>
      </w:r>
      <w:r>
        <w:rPr>
          <w:rFonts w:hint="eastAsia" w:ascii="仿宋_GB2312" w:hAnsi="仿宋_GB2312" w:eastAsia="仿宋_GB2312" w:cs="仿宋_GB2312"/>
          <w:sz w:val="32"/>
          <w:szCs w:val="32"/>
        </w:rPr>
        <w:t>个。以“紫京教育联盟”为试点，逐步实现覆盖不同学段的集团化办学模式，做实湖南师大附中与双牌二中的对口帮扶。持续推进“三名”工程，强化师德师风建设，选好管好校长队伍，建强班主任团队，建设“名师工作室”。落实“双减”政策，强化素质教育。做好撤并学校学生就读保障，实施留守困境儿童关爱专项行动，对寒门学子做到应助尽助。办好双牌一中、明德小学特教班，做好适龄残疾儿童随班就读、送教上门工作，绝不让一名适龄儿童少年辍学。严格规范各类进校园活动，坚决减轻教师非教学负担。强化校园周边环境治理，全面做好防溺水、防欺凌、防性侵等工作，推进平安校园示范县建设。</w:t>
      </w:r>
    </w:p>
    <w:p>
      <w:pPr>
        <w:spacing w:line="540" w:lineRule="exact"/>
        <w:ind w:firstLine="642" w:firstLineChars="200"/>
        <w:rPr>
          <w:rFonts w:ascii="仿宋_GB2312" w:hAnsi="仿宋_GB2312" w:eastAsia="仿宋_GB2312"/>
          <w:sz w:val="32"/>
          <w:szCs w:val="32"/>
          <w:shd w:val="clear" w:color="auto" w:fill="FFFFFF"/>
        </w:rPr>
      </w:pPr>
      <w:r>
        <w:rPr>
          <w:rFonts w:hint="eastAsia" w:ascii="仿宋_GB2312" w:hAnsi="仿宋_GB2312" w:eastAsia="仿宋_GB2312" w:cs="仿宋_GB2312"/>
          <w:b/>
          <w:sz w:val="32"/>
          <w:szCs w:val="32"/>
        </w:rPr>
        <w:t>全面提升医疗服务水平。</w:t>
      </w:r>
      <w:r>
        <w:rPr>
          <w:rFonts w:hint="eastAsia" w:ascii="仿宋_GB2312" w:hAnsi="仿宋_GB2312" w:eastAsia="仿宋_GB2312" w:cs="仿宋_GB2312"/>
          <w:sz w:val="32"/>
          <w:szCs w:val="32"/>
        </w:rPr>
        <w:t>持续推进紧密型县域医共体建设，完成县人民医院医技楼投用，打造中医院蛇伤救治中心项目，加快江村、茶林</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个医疗副中心建设，成立泷泊镇社区公共卫生服务中心。建立正向激励机制，开展“名医、名科”评选活动，支持县中医院康复科、脑病科创建省级重点专科，县人民医院儿科创建市级重点专科。深化与省、市三级医院的合作，定期邀请专家来双坐诊，鼓励引导双牌籍在外专家回乡交流合作，推动县级医院医生下沉乡镇卫生院坐诊。做实乡镇卫生院和县级医院门诊统筹，建立家庭签约医生全周期服务模式。加强重大疫情防控救治体系和应急能力建设。落实生育支持政策，促进人口均衡发展。广泛开展爱国卫生运动，争创国家卫生县、省级健康县、省级慢病综合管理示范县。</w:t>
      </w:r>
    </w:p>
    <w:p>
      <w:pPr>
        <w:spacing w:line="560" w:lineRule="exact"/>
        <w:rPr>
          <w:rFonts w:ascii="仿宋_GB2312" w:hAnsi="仿宋_GB2312" w:eastAsia="仿宋_GB2312"/>
          <w:sz w:val="32"/>
          <w:szCs w:val="32"/>
        </w:rPr>
      </w:pPr>
      <w:r>
        <w:rPr>
          <w:sz w:val="44"/>
          <w:szCs w:val="44"/>
        </w:rPr>
        <w:pict>
          <v:shape id="_x0000_s1123" o:spid="_x0000_s1123" o:spt="202" type="#_x0000_t202" style="position:absolute;left:0pt;margin-left:-20.85pt;margin-top:-49.4pt;height:25.55pt;width:472.2pt;z-index:251673600;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r>
        <w:rPr>
          <w:rFonts w:hint="eastAsia" w:ascii="仿宋_GB2312" w:hAnsi="仿宋_GB2312" w:eastAsia="仿宋_GB2312" w:cs="仿宋_GB2312"/>
          <w:b/>
          <w:sz w:val="32"/>
          <w:szCs w:val="32"/>
        </w:rPr>
        <w:t xml:space="preserve">    加快发展文化体育事业。</w:t>
      </w:r>
      <w:r>
        <w:rPr>
          <w:rFonts w:hint="eastAsia" w:ascii="仿宋_GB2312" w:hAnsi="仿宋_GB2312" w:eastAsia="仿宋_GB2312" w:cs="仿宋_GB2312"/>
          <w:sz w:val="32"/>
          <w:szCs w:val="32"/>
        </w:rPr>
        <w:t>践行社会主义核心价值观，深化群众性精神文明创建。推动公共文化活动下乡进村，举办“村晚”示范活动，丰富群众精神文化生活。深入挖掘本地文化元素，加强文艺精品创作，塑造文化品牌。出台古民居保护工作方案，推进实施访尧古民居、进士宅第修缮及岁圆楼彩绘壁画保护项目。强化非物质文化遗产保护与传承，推动江村剁椒鱼、牙山羊肉、酒糟肉等市级非遗项目申报省级非遗名录。完成全国第四次文物普查、全省革命文物征集工作，推进文物保护利用“六大工程”，力争湘桂古道（双牌段）申报全国重点文物保护单位。</w:t>
      </w:r>
      <w:r>
        <w:rPr>
          <w:rFonts w:hint="eastAsia" w:ascii="仿宋_GB2312" w:hAnsi="仿宋" w:eastAsia="仿宋_GB2312" w:cs="仿宋_GB2312"/>
          <w:sz w:val="32"/>
          <w:szCs w:val="32"/>
          <w:shd w:val="clear" w:color="auto" w:fill="FFFFFF"/>
        </w:rPr>
        <w:t>出台《双牌县全民健身实施计划纲要》，举办</w:t>
      </w:r>
      <w:r>
        <w:rPr>
          <w:rFonts w:hint="eastAsia" w:ascii="仿宋_GB2312" w:hAnsi="仿宋_GB2312" w:eastAsia="仿宋_GB2312" w:cs="仿宋_GB2312"/>
          <w:sz w:val="32"/>
          <w:szCs w:val="32"/>
        </w:rPr>
        <w:t>各类文体活动，打造象棋赛事品牌。</w:t>
      </w:r>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扎实做好外事、侨务、对台工作，支持工会、共青团、妇联、红十字会等人民团体和社会组织更好发挥作用。关心、支持青年发展工作。高质量做好“五经普”工作。</w:t>
      </w:r>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滚动实施十大民生项目：</w:t>
      </w:r>
      <w:r>
        <w:rPr>
          <w:rFonts w:hint="eastAsia" w:ascii="仿宋_GB2312" w:eastAsia="仿宋_GB2312" w:cs="仿宋_GB2312"/>
          <w:sz w:val="32"/>
          <w:szCs w:val="32"/>
        </w:rPr>
        <w:t>城乡生活垃圾综合治理；人民医院医技楼建设；老年养护中心建设；</w:t>
      </w:r>
      <w:r>
        <w:rPr>
          <w:rFonts w:hint="eastAsia" w:ascii="仿宋_GB2312" w:hAnsi="仿宋_GB2312" w:eastAsia="仿宋_GB2312" w:cs="仿宋_GB2312"/>
          <w:sz w:val="32"/>
          <w:szCs w:val="32"/>
          <w:shd w:val="clear" w:color="auto" w:fill="FFFFFF"/>
        </w:rPr>
        <w:t>城乡低保适龄妇女“两癌”免费筛查</w:t>
      </w:r>
      <w:r>
        <w:rPr>
          <w:rFonts w:ascii="仿宋_GB2312" w:hAnsi="仿宋_GB2312" w:eastAsia="仿宋_GB2312" w:cs="仿宋_GB2312"/>
          <w:sz w:val="32"/>
          <w:szCs w:val="32"/>
          <w:shd w:val="clear" w:color="auto" w:fill="FFFFFF"/>
        </w:rPr>
        <w:t>2800</w:t>
      </w:r>
      <w:r>
        <w:rPr>
          <w:rFonts w:hint="eastAsia" w:ascii="仿宋_GB2312" w:hAnsi="仿宋_GB2312" w:eastAsia="仿宋_GB2312" w:cs="仿宋_GB2312"/>
          <w:sz w:val="32"/>
          <w:szCs w:val="32"/>
          <w:shd w:val="clear" w:color="auto" w:fill="FFFFFF"/>
        </w:rPr>
        <w:t>人；</w:t>
      </w:r>
      <w:r>
        <w:rPr>
          <w:rFonts w:hint="eastAsia" w:ascii="仿宋_GB2312" w:eastAsia="仿宋_GB2312" w:cs="仿宋_GB2312"/>
          <w:sz w:val="32"/>
          <w:szCs w:val="32"/>
        </w:rPr>
        <w:t>城乡客运一体化及汽车站提质改造；智慧城乡供水一体化；公墓区二期建设；污水处理厂尾水人工湿地水质净化工程；徐特立项目建设；</w:t>
      </w:r>
      <w:r>
        <w:rPr>
          <w:rFonts w:hint="eastAsia" w:ascii="仿宋_GB2312" w:hAnsi="仿宋_GB2312" w:eastAsia="仿宋_GB2312" w:cs="仿宋_GB2312"/>
          <w:sz w:val="32"/>
          <w:szCs w:val="32"/>
        </w:rPr>
        <w:t>县乡两级应急广播电视建设</w:t>
      </w:r>
      <w:r>
        <w:rPr>
          <w:rFonts w:hint="eastAsia" w:ascii="仿宋_GB2312" w:eastAsia="仿宋_GB2312" w:cs="仿宋_GB2312"/>
          <w:sz w:val="32"/>
          <w:szCs w:val="32"/>
        </w:rPr>
        <w:t>。</w:t>
      </w:r>
    </w:p>
    <w:p>
      <w:pPr>
        <w:spacing w:line="560" w:lineRule="exact"/>
        <w:ind w:firstLine="642" w:firstLineChars="200"/>
        <w:rPr>
          <w:rFonts w:ascii="楷体_GB2312" w:hAnsi="楷体_GB2312" w:eastAsia="楷体_GB2312"/>
          <w:b/>
          <w:sz w:val="32"/>
          <w:szCs w:val="32"/>
        </w:rPr>
      </w:pPr>
      <w:r>
        <w:rPr>
          <w:rFonts w:ascii="楷体_GB2312" w:hAnsi="楷体_GB2312" w:eastAsia="楷体_GB2312" w:cs="楷体_GB2312"/>
          <w:b/>
          <w:sz w:val="32"/>
          <w:szCs w:val="32"/>
        </w:rPr>
        <w:t>6.</w:t>
      </w:r>
      <w:r>
        <w:rPr>
          <w:rFonts w:hint="eastAsia" w:ascii="楷体_GB2312" w:hAnsi="楷体_GB2312" w:eastAsia="楷体_GB2312" w:cs="楷体_GB2312"/>
          <w:b/>
          <w:sz w:val="32"/>
          <w:szCs w:val="32"/>
        </w:rPr>
        <w:t>坚持平安稳县，统筹高质量发展和高水平安全</w:t>
      </w:r>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安全与发展是一体之两翼、驱动之双轮，我们要树牢底线思维，坚持标本兼治，以高质量发展促进高水平安全，以高水平安全保障高质量发展。</w:t>
      </w:r>
    </w:p>
    <w:p>
      <w:pPr>
        <w:spacing w:line="560" w:lineRule="exact"/>
        <w:ind w:firstLine="642" w:firstLineChars="200"/>
        <w:rPr>
          <w:rFonts w:ascii="仿宋_GB2312" w:hAnsi="仿宋_GB2312" w:eastAsia="仿宋_GB2312"/>
          <w:sz w:val="32"/>
          <w:szCs w:val="32"/>
        </w:rPr>
      </w:pPr>
      <w:r>
        <w:rPr>
          <w:rFonts w:hint="eastAsia" w:ascii="仿宋_GB2312" w:hAnsi="仿宋_GB2312" w:eastAsia="仿宋_GB2312" w:cs="仿宋_GB2312"/>
          <w:b/>
          <w:sz w:val="32"/>
          <w:szCs w:val="32"/>
        </w:rPr>
        <w:t>防范化解经济金融领域风险。</w:t>
      </w:r>
      <w:r>
        <w:rPr>
          <w:rFonts w:hint="eastAsia" w:ascii="仿宋_GB2312" w:hAnsi="仿宋_GB2312" w:eastAsia="仿宋_GB2312" w:cs="仿宋_GB2312"/>
          <w:sz w:val="32"/>
          <w:szCs w:val="32"/>
        </w:rPr>
        <w:t>扎实推进“六个一批”化债举措，稳妥有序化解政府债务。实施财源建设提质计划，盘活国有“三资”，增强财政偿债能力。加快国有企业治理和市场化转型，完善国有企业考核评价机制，加强经营性投融资监管</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构建防范化解债务风险长效机制。加强非法金融活动监测预警和清理整顿，持续优化金融生态环境，确保不发生区域性系统性金融风险。落实支持房地产发展政策措施，加强预售资金监管，稳步推广“房票”安置做法，全面做好“保交楼”工作。</w:t>
      </w:r>
    </w:p>
    <w:p>
      <w:pPr>
        <w:spacing w:line="560" w:lineRule="exact"/>
        <w:rPr>
          <w:rFonts w:ascii="仿宋_GB2312" w:hAnsi="仿宋_GB2312" w:eastAsia="仿宋_GB2312"/>
          <w:sz w:val="32"/>
          <w:szCs w:val="32"/>
        </w:rPr>
      </w:pPr>
      <w:r>
        <w:rPr>
          <w:sz w:val="44"/>
          <w:szCs w:val="44"/>
        </w:rPr>
        <w:pict>
          <v:shape id="_x0000_s1124" o:spid="_x0000_s1124" o:spt="202" type="#_x0000_t202" style="position:absolute;left:0pt;margin-left:-21.45pt;margin-top:-497.4pt;height:25.55pt;width:470.55pt;z-index:251674624;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r>
        <w:rPr>
          <w:rFonts w:hint="eastAsia" w:ascii="仿宋_GB2312" w:hAnsi="仿宋_GB2312" w:eastAsia="仿宋_GB2312" w:cs="仿宋_GB2312"/>
          <w:b/>
          <w:sz w:val="32"/>
          <w:szCs w:val="32"/>
        </w:rPr>
        <w:t xml:space="preserve">    毫不松懈抓好安全生产。</w:t>
      </w:r>
      <w:r>
        <w:rPr>
          <w:rFonts w:hint="eastAsia" w:ascii="仿宋_GB2312" w:hAnsi="仿宋_GB2312" w:eastAsia="仿宋_GB2312" w:cs="仿宋_GB2312"/>
          <w:sz w:val="32"/>
          <w:szCs w:val="32"/>
        </w:rPr>
        <w:t>推进安全守底和安全生产治本攻坚三年行动，力争实现“三坚决两确保”目标。纵深推进“三查一曝光”措施，深入开展道路交通、建筑施工、城镇燃气、危化品和烟花爆竹等重点领域监管执法和隐患排查整治，深化打非治违等专项行动，坚决遏制各类事故发生，争创安全生产和消防工作全省先进。抓好居民自建房安全专项整治，落实城市消防站建设两年行动，加快林火阻隔系统和森林火险预警监测系统建设。科学制定应急预案，有效应对低温雨雪冰冻、山体滑坡等自然灾害。强化装备配置，提升基层应急救援队伍能力。加强“三品一特”安全监管，落实食品安全“两个责任”，争创省级食品安全示范县。</w:t>
      </w:r>
    </w:p>
    <w:p>
      <w:pPr>
        <w:spacing w:line="560" w:lineRule="exact"/>
        <w:ind w:firstLine="642" w:firstLineChars="200"/>
        <w:rPr>
          <w:rFonts w:ascii="仿宋_GB2312" w:hAnsi="仿宋_GB2312" w:eastAsia="仿宋_GB2312"/>
          <w:sz w:val="32"/>
          <w:szCs w:val="32"/>
        </w:rPr>
      </w:pPr>
      <w:r>
        <w:rPr>
          <w:rFonts w:hint="eastAsia" w:ascii="仿宋_GB2312" w:hAnsi="仿宋_GB2312" w:eastAsia="仿宋_GB2312" w:cs="仿宋_GB2312"/>
          <w:b/>
          <w:sz w:val="32"/>
          <w:szCs w:val="32"/>
        </w:rPr>
        <w:t>全力确保社会大局稳定。</w:t>
      </w:r>
      <w:r>
        <w:rPr>
          <w:rFonts w:hint="eastAsia" w:ascii="仿宋_GB2312" w:hAnsi="仿宋_GB2312" w:eastAsia="仿宋_GB2312" w:cs="仿宋_GB2312"/>
          <w:sz w:val="32"/>
          <w:szCs w:val="32"/>
        </w:rPr>
        <w:t>坚持和发展新时代“枫桥经验”，弘扬“四下基层”优良作风，完善政法“五老”调解机制，推进矛盾纠纷化解法治化，推动重复信访治理和信访积案化解清零，努力把矛盾化解在基层、解决在萌芽状态。深化“快反</w:t>
      </w:r>
      <w:r>
        <w:rPr>
          <w:rFonts w:ascii="仿宋_GB2312" w:hAnsi="仿宋_GB2312" w:eastAsia="仿宋_GB2312" w:cs="仿宋_GB2312"/>
          <w:sz w:val="32"/>
          <w:szCs w:val="32"/>
        </w:rPr>
        <w:t>135</w:t>
      </w:r>
      <w:r>
        <w:rPr>
          <w:rFonts w:hint="eastAsia" w:ascii="仿宋_GB2312" w:hAnsi="仿宋_GB2312" w:eastAsia="仿宋_GB2312" w:cs="仿宋_GB2312"/>
          <w:sz w:val="32"/>
          <w:szCs w:val="32"/>
        </w:rPr>
        <w:t>”基层治理创新模式，大力开展“利剑护蕾</w:t>
      </w:r>
      <w:r>
        <w:rPr>
          <w:rFonts w:ascii="?????" w:hAnsi="?????" w:cs="?????"/>
          <w:sz w:val="32"/>
          <w:szCs w:val="32"/>
        </w:rPr>
        <w:t>·</w:t>
      </w:r>
      <w:r>
        <w:rPr>
          <w:rFonts w:hint="eastAsia" w:ascii="仿宋_GB2312" w:hAnsi="仿宋_GB2312" w:eastAsia="仿宋_GB2312" w:cs="仿宋_GB2312"/>
          <w:sz w:val="32"/>
          <w:szCs w:val="32"/>
        </w:rPr>
        <w:t>雷霆行动”、永警利剑等系列严打整治行动，推进扫黑除恶常态化，突出抓好网络安全、电信诈骗、黄赌毒等工作，坚决依法打击各类违法犯罪行为，加快建设更高水平的平安双牌、法治双牌，争创全省平安建设工作先进县和全省平安县。</w:t>
      </w:r>
    </w:p>
    <w:p>
      <w:pPr>
        <w:spacing w:line="560" w:lineRule="exact"/>
        <w:rPr>
          <w:rFonts w:ascii="仿宋_GB2312" w:hAnsi="仿宋_GB2312" w:eastAsia="仿宋_GB2312"/>
          <w:b/>
          <w:sz w:val="32"/>
          <w:szCs w:val="32"/>
        </w:rPr>
      </w:pPr>
      <w:r>
        <w:rPr>
          <w:sz w:val="44"/>
          <w:szCs w:val="44"/>
        </w:rPr>
        <w:pict>
          <v:shape id="_x0000_s1125" o:spid="_x0000_s1125" o:spt="202" type="#_x0000_t202" style="position:absolute;left:0pt;margin-left:-21.45pt;margin-top:-301.4pt;height:25.55pt;width:466.95pt;z-index:251675648;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r>
        <w:rPr>
          <w:rFonts w:hint="eastAsia" w:ascii="仿宋_GB2312" w:hAnsi="仿宋_GB2312" w:eastAsia="仿宋_GB2312" w:cs="仿宋_GB2312"/>
          <w:sz w:val="32"/>
          <w:szCs w:val="32"/>
        </w:rPr>
        <w:t xml:space="preserve">    深入推进国防动员、民兵建设和军民融合发展，完善退役军人服务保障体系，深入开展“双拥”共建，加强全民国防教育，不断巩固和发展军政军民团结的良好局面。</w:t>
      </w:r>
    </w:p>
    <w:p>
      <w:pPr>
        <w:spacing w:line="560" w:lineRule="exact"/>
        <w:ind w:firstLine="640" w:firstLineChars="200"/>
        <w:rPr>
          <w:rFonts w:ascii="黑体" w:hAnsi="黑体" w:eastAsia="黑体"/>
          <w:sz w:val="32"/>
          <w:szCs w:val="32"/>
        </w:rPr>
      </w:pPr>
      <w:r>
        <w:rPr>
          <w:rFonts w:hint="eastAsia" w:ascii="黑体" w:hAnsi="黑体" w:eastAsia="黑体" w:cs="黑体"/>
          <w:sz w:val="32"/>
          <w:szCs w:val="32"/>
        </w:rPr>
        <w:t>三、加强政府自身建设</w:t>
      </w:r>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安危不贰其志，险易不革其心。面对新形势、新任务、新挑战，我们要强化“答卷”意识，保持“赶考”状态，全面履行好政府职责，努力建设人民满意的服务型政府。</w:t>
      </w:r>
    </w:p>
    <w:p>
      <w:pPr>
        <w:spacing w:line="560" w:lineRule="exact"/>
        <w:ind w:firstLine="642" w:firstLineChars="200"/>
        <w:rPr>
          <w:rFonts w:ascii="仿宋_GB2312" w:hAnsi="仿宋_GB2312" w:eastAsia="仿宋_GB2312"/>
          <w:sz w:val="32"/>
          <w:szCs w:val="32"/>
        </w:rPr>
      </w:pPr>
      <w:r>
        <w:rPr>
          <w:rFonts w:hint="eastAsia" w:ascii="楷体_GB2312" w:hAnsi="楷体_GB2312" w:eastAsia="楷体_GB2312" w:cs="楷体_GB2312"/>
          <w:b/>
          <w:sz w:val="32"/>
          <w:szCs w:val="32"/>
        </w:rPr>
        <w:t>铸牢忠诚之魂。</w:t>
      </w:r>
      <w:r>
        <w:rPr>
          <w:rFonts w:hint="eastAsia" w:ascii="仿宋_GB2312" w:hAnsi="仿宋_GB2312" w:eastAsia="仿宋_GB2312" w:cs="仿宋_GB2312"/>
          <w:sz w:val="32"/>
          <w:szCs w:val="32"/>
        </w:rPr>
        <w:t>坚持不懈用习近平新时代中国特色社会主义思想凝心铸魂，把“两个确立”、“两个维护”作为最高政治原则和根本政治规矩，把坚持和加强党的全面领导贯穿政府工作各方面全过程，不断提高政治判断力、政治领悟力、政治执行力，确保政府工作始终沿着正确方向前进，不折不扣推动党中央国务院、省委省政府、市委市政府和县委各项决策部署落地见效、结出硕果。</w:t>
      </w:r>
    </w:p>
    <w:p>
      <w:pPr>
        <w:spacing w:line="560" w:lineRule="exact"/>
        <w:ind w:firstLine="642" w:firstLineChars="200"/>
        <w:rPr>
          <w:rFonts w:ascii="仿宋_GB2312" w:hAnsi="仿宋_GB2312" w:eastAsia="仿宋_GB2312"/>
          <w:sz w:val="32"/>
          <w:szCs w:val="32"/>
        </w:rPr>
      </w:pPr>
      <w:r>
        <w:rPr>
          <w:rFonts w:hint="eastAsia" w:ascii="楷体_GB2312" w:hAnsi="楷体_GB2312" w:eastAsia="楷体_GB2312" w:cs="楷体_GB2312"/>
          <w:b/>
          <w:sz w:val="32"/>
          <w:szCs w:val="32"/>
        </w:rPr>
        <w:t>严守法治之规。</w:t>
      </w:r>
      <w:r>
        <w:rPr>
          <w:rFonts w:hint="eastAsia" w:ascii="仿宋_GB2312" w:hAnsi="仿宋_GB2312" w:eastAsia="仿宋_GB2312" w:cs="仿宋_GB2312"/>
          <w:sz w:val="32"/>
          <w:szCs w:val="32"/>
        </w:rPr>
        <w:t>坚持依宪施政、依法行政，严格按照法定权限和程序履职尽责，落实重大行政决策程序制度，确保政府工作始终在法治轨道上运行。自觉接受人大法律监督、政协民主监督，主动接受社会监督、舆论监督。高质量办好人大代表建议、政协委员提案。扎实开展“政务公开主题日”活动，全面落实行政执法“三项制度”，推进严格规范公正文明执法。扎实推进“八五”普法，争创全省“八五”普法先进县。</w:t>
      </w:r>
    </w:p>
    <w:p>
      <w:pPr>
        <w:spacing w:line="560" w:lineRule="exact"/>
        <w:rPr>
          <w:rFonts w:ascii="仿宋_GB2312" w:hAnsi="仿宋_GB2312" w:eastAsia="仿宋_GB2312"/>
          <w:sz w:val="32"/>
          <w:szCs w:val="32"/>
        </w:rPr>
      </w:pPr>
      <w:r>
        <w:rPr>
          <w:sz w:val="44"/>
          <w:szCs w:val="44"/>
        </w:rPr>
        <w:pict>
          <v:shape id="_x0000_s1126" o:spid="_x0000_s1126" o:spt="202" type="#_x0000_t202" style="position:absolute;left:0pt;margin-left:-20.85pt;margin-top:-133.4pt;height:25.55pt;width:466.35pt;z-index:251676672;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r>
        <w:rPr>
          <w:rFonts w:hint="eastAsia" w:ascii="楷体_GB2312" w:hAnsi="楷体_GB2312" w:eastAsia="楷体_GB2312" w:cs="楷体_GB2312"/>
          <w:b/>
          <w:sz w:val="32"/>
          <w:szCs w:val="32"/>
        </w:rPr>
        <w:t xml:space="preserve">    践行为民之责。</w:t>
      </w:r>
      <w:r>
        <w:rPr>
          <w:rFonts w:hint="eastAsia" w:ascii="仿宋_GB2312" w:hAnsi="仿宋_GB2312" w:eastAsia="仿宋_GB2312" w:cs="仿宋_GB2312"/>
          <w:sz w:val="32"/>
          <w:szCs w:val="32"/>
        </w:rPr>
        <w:t>始终站稳人民立场，扎实办好民生实事，高效回应办理民生诉求，把群众期盼的事变成政府要干的事，政府干成的事变成惠及群众的事。要提升工作执行力，说了就办、定了就干，不折不扣、雷厉风行，在大抓落实中振奋精气神、开创新局面。坚决把“习惯过紧日子”要求落到实处，严控“三公”经费和非生产性支出，把更多“真金白银”投入到发展和改善民生上，让有限财力发挥最大效益。</w:t>
      </w:r>
    </w:p>
    <w:p>
      <w:pPr>
        <w:spacing w:line="560" w:lineRule="exact"/>
        <w:ind w:firstLine="642" w:firstLineChars="200"/>
        <w:rPr>
          <w:rFonts w:ascii="仿宋_GB2312" w:hAnsi="仿宋_GB2312" w:eastAsia="仿宋_GB2312"/>
          <w:sz w:val="32"/>
          <w:szCs w:val="32"/>
        </w:rPr>
      </w:pPr>
      <w:r>
        <w:rPr>
          <w:rFonts w:hint="eastAsia" w:ascii="楷体_GB2312" w:hAnsi="楷体_GB2312" w:eastAsia="楷体_GB2312" w:cs="楷体_GB2312"/>
          <w:b/>
          <w:sz w:val="32"/>
          <w:szCs w:val="32"/>
        </w:rPr>
        <w:t>永葆清廉之心。</w:t>
      </w:r>
      <w:r>
        <w:rPr>
          <w:rFonts w:hint="eastAsia" w:ascii="仿宋_GB2312" w:hAnsi="仿宋_GB2312" w:eastAsia="仿宋_GB2312" w:cs="仿宋_GB2312"/>
          <w:sz w:val="32"/>
          <w:szCs w:val="32"/>
        </w:rPr>
        <w:t>持之以恒推进党风廉政建设和反腐败斗争，锲而不舍落实中央八项规定精神，驰而不息纠治“四风”，推进“清风”行动、“两带头五整治”“三湘护农”等专项行动，强化国资国企、政府工程建设等重点领域、关键岗位的廉政风险防控，加强审计统计监督，深化政务服务“清廉大厅”建设，一体推进不敢腐、不能腐、不想腐，以严的基调、严的措施、严的氛围，坚定不移推进廉洁政府建设取得新成效。</w:t>
      </w:r>
    </w:p>
    <w:p>
      <w:pPr>
        <w:pStyle w:val="2"/>
        <w:spacing w:after="0" w:line="56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各位代表！</w:t>
      </w:r>
    </w:p>
    <w:p>
      <w:pPr>
        <w:pStyle w:val="2"/>
        <w:spacing w:after="0" w:line="56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新时代是奋斗者的时代，新征程是追梦人的征程。让我们更加紧密地团结在以习近平同志为核心的党中央周围，在市委市政府和县委的坚强领导下，解放思想、大抓落实，坚定信心、勇毅前行，为加快推动县域经济高质量发展、全面建设社会主义现代化新双牌而努力奋斗！</w:t>
      </w:r>
    </w:p>
    <w:p>
      <w:pPr>
        <w:rPr>
          <w:rFonts w:ascii="仿宋_GB2312" w:hAnsi="仿宋_GB2312" w:eastAsia="仿宋_GB2312"/>
          <w:sz w:val="32"/>
          <w:szCs w:val="32"/>
        </w:rPr>
        <w:sectPr>
          <w:footerReference r:id="rId6" w:type="even"/>
          <w:type w:val="continuous"/>
          <w:pgSz w:w="11906" w:h="16838"/>
          <w:pgMar w:top="1588" w:right="1701" w:bottom="1474" w:left="1701" w:header="851" w:footer="992" w:gutter="0"/>
          <w:pgNumType w:fmt="numberInDash"/>
          <w:cols w:equalWidth="0" w:num="2">
            <w:col w:w="4039" w:space="425"/>
            <w:col w:w="4039"/>
          </w:cols>
          <w:titlePg/>
          <w:docGrid w:type="lines" w:linePitch="312" w:charSpace="0"/>
        </w:sectPr>
      </w:pPr>
    </w:p>
    <w:p>
      <w:pPr>
        <w:pStyle w:val="17"/>
      </w:pPr>
    </w:p>
    <w:p>
      <w:pPr>
        <w:rPr>
          <w:rFonts w:ascii="仿宋_GB2312" w:hAnsi="仿宋_GB2312" w:eastAsia="仿宋_GB2312"/>
          <w:sz w:val="32"/>
          <w:szCs w:val="32"/>
        </w:rPr>
      </w:pPr>
    </w:p>
    <w:p>
      <w:pPr>
        <w:jc w:val="center"/>
        <w:rPr>
          <w:rFonts w:ascii="方正大标宋_GBK" w:hAnsi="方正小标宋简体" w:eastAsia="方正大标宋_GBK"/>
          <w:sz w:val="36"/>
          <w:szCs w:val="36"/>
        </w:rPr>
      </w:pPr>
      <w:r>
        <w:rPr>
          <w:rFonts w:ascii="方正大标宋_GBK" w:eastAsia="方正大标宋_GBK"/>
          <w:sz w:val="36"/>
          <w:szCs w:val="36"/>
        </w:rPr>
        <w:pict>
          <v:shape id="_x0000_s1127" o:spid="_x0000_s1127" o:spt="202" type="#_x0000_t202" style="position:absolute;left:0pt;margin-left:-21.45pt;margin-top:-49.4pt;height:25.55pt;width:466.95pt;z-index:251677696;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r>
        <w:rPr>
          <w:rFonts w:hint="eastAsia" w:ascii="方正大标宋_GBK" w:hAnsi="方正小标宋简体" w:eastAsia="方正大标宋_GBK" w:cs="方正小标宋简体"/>
          <w:sz w:val="36"/>
          <w:szCs w:val="36"/>
        </w:rPr>
        <w:t>名词解释</w:t>
      </w:r>
    </w:p>
    <w:p>
      <w:pPr>
        <w:pStyle w:val="2"/>
        <w:spacing w:after="0" w:line="440" w:lineRule="exact"/>
        <w:ind w:firstLine="481" w:firstLineChars="200"/>
        <w:rPr>
          <w:rFonts w:ascii="楷体_GB2312" w:hAnsi="楷体_GB2312" w:eastAsia="楷体_GB2312"/>
          <w:b/>
          <w:sz w:val="24"/>
          <w:szCs w:val="24"/>
        </w:rPr>
      </w:pPr>
    </w:p>
    <w:p>
      <w:pPr>
        <w:pStyle w:val="2"/>
        <w:spacing w:after="0"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1.新质生产力：</w:t>
      </w:r>
      <w:r>
        <w:rPr>
          <w:rFonts w:hint="eastAsia" w:ascii="仿宋_GB2312" w:hAnsi="宋体" w:eastAsia="仿宋_GB2312" w:cs="宋体"/>
          <w:sz w:val="24"/>
          <w:szCs w:val="24"/>
        </w:rPr>
        <w:t>创新起主导作用，摆脱传统经济增长方式、生产力发展路径，具有高科技、高效能、高质量特征，符合新发展理念的先进生产力质态。</w:t>
      </w:r>
    </w:p>
    <w:p>
      <w:pPr>
        <w:pStyle w:val="2"/>
        <w:spacing w:after="0"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2.“五好”园区：</w:t>
      </w:r>
      <w:r>
        <w:rPr>
          <w:rFonts w:hint="eastAsia" w:ascii="仿宋_GB2312" w:hAnsi="宋体" w:eastAsia="仿宋_GB2312" w:cs="宋体"/>
          <w:sz w:val="24"/>
          <w:szCs w:val="24"/>
        </w:rPr>
        <w:t>规划定位好、创新平台好、产业项目好、体制机制好、发展形象好。</w:t>
      </w:r>
    </w:p>
    <w:p>
      <w:pPr>
        <w:pStyle w:val="2"/>
        <w:spacing w:after="0"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3.专精特新中小企业：</w:t>
      </w:r>
      <w:r>
        <w:rPr>
          <w:rFonts w:hint="eastAsia" w:ascii="仿宋_GB2312" w:hAnsi="宋体" w:eastAsia="仿宋_GB2312" w:cs="宋体"/>
          <w:sz w:val="24"/>
          <w:szCs w:val="24"/>
        </w:rPr>
        <w:t>做到专业化、精细化、特色化、创新能力突出的中小企业。</w:t>
      </w:r>
    </w:p>
    <w:p>
      <w:pPr>
        <w:pStyle w:val="2"/>
        <w:spacing w:after="0"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4.夏季攻势：</w:t>
      </w:r>
      <w:r>
        <w:rPr>
          <w:rFonts w:hint="eastAsia" w:ascii="仿宋_GB2312" w:hAnsi="宋体" w:eastAsia="仿宋_GB2312" w:cs="宋体"/>
          <w:sz w:val="24"/>
          <w:szCs w:val="24"/>
        </w:rPr>
        <w:t>要抓好“冬病夏治、夏病急治、顽疾专治、标本兼治、合力共治”五个方面，总体目标是补齐影响秋冬季大气环境质量的工作短板，着力解决一批突出问题，实现大气、水、土污染防治目标。</w:t>
      </w:r>
    </w:p>
    <w:p>
      <w:pPr>
        <w:pStyle w:val="2"/>
        <w:spacing w:after="0"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5.“徐特立项目”：</w:t>
      </w:r>
      <w:r>
        <w:rPr>
          <w:rFonts w:hint="eastAsia" w:ascii="仿宋_GB2312" w:hAnsi="宋体" w:eastAsia="仿宋_GB2312" w:cs="宋体"/>
          <w:sz w:val="24"/>
          <w:szCs w:val="24"/>
        </w:rPr>
        <w:t>湖南省启动实施100个县域普通高中“徐特立项目”，</w:t>
      </w:r>
      <w:r>
        <w:rPr>
          <w:rFonts w:hint="eastAsia" w:ascii="仿宋_GB2312" w:hAnsi="宋体" w:eastAsia="仿宋_GB2312" w:cs="宋体"/>
          <w:spacing w:val="-6"/>
          <w:sz w:val="24"/>
          <w:szCs w:val="24"/>
        </w:rPr>
        <w:t>全面推进普通高中学校的标准化建设，加快缩小区域、城乡、校际之间的办学差</w:t>
      </w:r>
      <w:r>
        <w:rPr>
          <w:rFonts w:hint="eastAsia" w:ascii="仿宋_GB2312" w:hAnsi="宋体" w:eastAsia="仿宋_GB2312" w:cs="宋体"/>
          <w:sz w:val="24"/>
          <w:szCs w:val="24"/>
        </w:rPr>
        <w:t>距。</w:t>
      </w:r>
    </w:p>
    <w:p>
      <w:pPr>
        <w:pStyle w:val="2"/>
        <w:spacing w:after="0"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6.“双减”：</w:t>
      </w:r>
      <w:r>
        <w:rPr>
          <w:rFonts w:hint="eastAsia" w:ascii="仿宋_GB2312" w:hAnsi="宋体" w:eastAsia="仿宋_GB2312" w:cs="宋体"/>
          <w:sz w:val="24"/>
          <w:szCs w:val="24"/>
        </w:rPr>
        <w:t>有效减轻义务教育阶段学生过重作业负担和校外培训负担。</w:t>
      </w:r>
    </w:p>
    <w:p>
      <w:pPr>
        <w:pStyle w:val="2"/>
        <w:spacing w:after="0"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7.“揭榜挂帅”制度：</w:t>
      </w:r>
      <w:r>
        <w:rPr>
          <w:rFonts w:hint="eastAsia" w:ascii="仿宋_GB2312" w:hAnsi="宋体" w:eastAsia="仿宋_GB2312" w:cs="宋体"/>
          <w:sz w:val="24"/>
          <w:szCs w:val="24"/>
        </w:rPr>
        <w:t>瞄准关键核心技术展开重点攻关,建立一套选贤任能、让能者脱颖而出的新机制。</w:t>
      </w:r>
    </w:p>
    <w:p>
      <w:pPr>
        <w:pStyle w:val="2"/>
        <w:spacing w:after="0"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8.实施“八</w:t>
      </w:r>
      <w:r>
        <w:rPr>
          <w:rFonts w:hint="eastAsia" w:ascii="仿宋_GB2312" w:hAnsi="宋体" w:eastAsia="仿宋_GB2312" w:cs="宋体"/>
          <w:b/>
          <w:spacing w:val="-4"/>
          <w:sz w:val="24"/>
          <w:szCs w:val="24"/>
        </w:rPr>
        <w:t>大行动”：</w:t>
      </w:r>
      <w:r>
        <w:rPr>
          <w:rFonts w:hint="eastAsia" w:ascii="仿宋_GB2312" w:hAnsi="宋体" w:eastAsia="仿宋_GB2312" w:cs="宋体"/>
          <w:spacing w:val="-4"/>
          <w:sz w:val="24"/>
          <w:szCs w:val="24"/>
        </w:rPr>
        <w:t>大力实施产业培育行动、创新提升行动、激发需求行动、改革创新攻坚行动、主体强身行动、区域共进行动、安全守底行动、民生可感行动。</w:t>
      </w:r>
    </w:p>
    <w:p>
      <w:pPr>
        <w:pStyle w:val="2"/>
        <w:spacing w:after="0"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9.“三高四新”：</w:t>
      </w:r>
      <w:r>
        <w:rPr>
          <w:rFonts w:hint="eastAsia" w:ascii="仿宋_GB2312" w:hAnsi="宋体" w:eastAsia="仿宋_GB2312" w:cs="宋体"/>
          <w:sz w:val="24"/>
          <w:szCs w:val="24"/>
        </w:rPr>
        <w:t>打造国家重要先进制造业高地、具有核心竞争力的科技创新高地、内陆地区改革开放高地；在推动高质量发展上闯出新路子、在构建新发展格局中展现新作为、在推动中部地区崛起和长江经济带发展中彰显新担当、奋力谱写新时代坚持和发展中国特色社会主义的湖南新篇章。</w:t>
      </w:r>
    </w:p>
    <w:p>
      <w:pPr>
        <w:pStyle w:val="2"/>
        <w:spacing w:after="0"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10.“三位一体”：</w:t>
      </w:r>
      <w:r>
        <w:rPr>
          <w:rFonts w:hint="eastAsia" w:ascii="仿宋_GB2312" w:hAnsi="宋体" w:eastAsia="仿宋_GB2312" w:cs="宋体"/>
          <w:sz w:val="24"/>
          <w:szCs w:val="24"/>
        </w:rPr>
        <w:t>耕地数量、质量、生态“三位一体”保护制度体系。</w:t>
      </w:r>
    </w:p>
    <w:p>
      <w:pPr>
        <w:pStyle w:val="2"/>
        <w:spacing w:after="0"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11.“3+1”保障成果：</w:t>
      </w:r>
      <w:r>
        <w:rPr>
          <w:rFonts w:hint="eastAsia" w:ascii="仿宋_GB2312" w:hAnsi="宋体" w:eastAsia="仿宋_GB2312" w:cs="宋体"/>
          <w:sz w:val="24"/>
          <w:szCs w:val="24"/>
        </w:rPr>
        <w:t>保障义务教育，保障基本医疗，保障住房安全；饮用水安全。</w:t>
      </w:r>
    </w:p>
    <w:p>
      <w:pPr>
        <w:pStyle w:val="2"/>
        <w:spacing w:after="0"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12.“三品一标”：</w:t>
      </w:r>
      <w:r>
        <w:rPr>
          <w:rFonts w:hint="eastAsia" w:ascii="仿宋_GB2312" w:hAnsi="宋体" w:eastAsia="仿宋_GB2312" w:cs="宋体"/>
          <w:sz w:val="24"/>
          <w:szCs w:val="24"/>
        </w:rPr>
        <w:t>无公害农产品、绿色食品、有机农产品和农产品地理标志。</w:t>
      </w:r>
    </w:p>
    <w:p>
      <w:pPr>
        <w:pStyle w:val="2"/>
        <w:spacing w:after="0"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13.“千万工程”：</w:t>
      </w:r>
      <w:r>
        <w:rPr>
          <w:rFonts w:hint="eastAsia" w:ascii="仿宋_GB2312" w:hAnsi="宋体" w:eastAsia="仿宋_GB2312" w:cs="宋体"/>
          <w:sz w:val="24"/>
          <w:szCs w:val="24"/>
        </w:rPr>
        <w:t>“千村示范、万村整治”工程的简称，是浙江“绿水青山就是金山银山”理念在基层农村的成功实践。从农村环境整治入手，由点及面、迭代升级，20年持续努力造就了万千美丽乡村，造福了万千农民群众，创造了推进乡村全面振兴的成功经验和实践范例。</w:t>
      </w:r>
    </w:p>
    <w:p>
      <w:pPr>
        <w:pStyle w:val="2"/>
        <w:spacing w:after="0" w:line="440" w:lineRule="exact"/>
        <w:rPr>
          <w:rFonts w:ascii="仿宋_GB2312" w:hAnsi="宋体" w:eastAsia="仿宋_GB2312"/>
          <w:sz w:val="24"/>
          <w:szCs w:val="24"/>
        </w:rPr>
      </w:pPr>
      <w:r>
        <w:rPr>
          <w:rFonts w:ascii="仿宋_GB2312" w:eastAsia="仿宋_GB2312"/>
          <w:sz w:val="44"/>
          <w:szCs w:val="44"/>
        </w:rPr>
        <w:pict>
          <v:shape id="_x0000_s1128" o:spid="_x0000_s1128" o:spt="202" type="#_x0000_t202" style="position:absolute;left:0pt;margin-left:-22.15pt;margin-top:-51.8pt;height:25.55pt;width:470.5pt;z-index:251678720;mso-width-relative:page;mso-height-relative:page;" stroked="f" coordsize="21600,21600" o:gfxdata="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T0IEB1wAAAAsBAAAPAAAAAAAAAAEA&#10;IAAAADgAAABkcnMvZG93bnJldi54bWxQSwECFAAUAAAACACHTuJACW3H4jMCAABDBAAADgAAAAAA&#10;AAABACAAAAA8AQAAZHJzL2Uyb0RvYy54bWxQSwUGAAAAAAYABgBZAQAA4QUAAAAA&#10;">
            <v:path/>
            <v:fill focussize="0,0"/>
            <v:stroke on="f" weight="0.5pt" joinstyle="miter"/>
            <v:imagedata o:title=""/>
            <o:lock v:ext="edit"/>
            <v:textbox>
              <w:txbxContent>
                <w:p>
                  <w:r>
                    <w:rPr>
                      <w:u w:val="single" w:color="000000"/>
                    </w:rPr>
                    <w:t xml:space="preserve">重要政务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txbxContent>
            </v:textbox>
          </v:shape>
        </w:pict>
      </w:r>
      <w:r>
        <w:rPr>
          <w:rFonts w:hint="eastAsia" w:ascii="仿宋_GB2312" w:hAnsi="宋体" w:eastAsia="仿宋_GB2312" w:cs="宋体"/>
          <w:b/>
          <w:sz w:val="24"/>
          <w:szCs w:val="24"/>
        </w:rPr>
        <w:t xml:space="preserve">    14.“一廊一带一片”：</w:t>
      </w:r>
      <w:r>
        <w:rPr>
          <w:rFonts w:hint="eastAsia" w:ascii="仿宋_GB2312" w:hAnsi="宋体" w:eastAsia="仿宋_GB2312" w:cs="宋体"/>
          <w:sz w:val="24"/>
          <w:szCs w:val="24"/>
        </w:rPr>
        <w:t>抓好永连公路沿线“一廊”、207国道沿线“一带”、国际慢城和永岚现代农业产业园“片区”所在村庄的人居环境整治。</w:t>
      </w:r>
    </w:p>
    <w:p>
      <w:pPr>
        <w:pStyle w:val="2"/>
        <w:spacing w:after="0"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15.“三大保卫战”：</w:t>
      </w:r>
      <w:r>
        <w:rPr>
          <w:rFonts w:hint="eastAsia" w:ascii="仿宋_GB2312" w:hAnsi="宋体" w:eastAsia="仿宋_GB2312" w:cs="宋体"/>
          <w:sz w:val="24"/>
          <w:szCs w:val="24"/>
        </w:rPr>
        <w:t>蓝天、净土、碧水保卫战。</w:t>
      </w:r>
    </w:p>
    <w:p>
      <w:pPr>
        <w:pStyle w:val="2"/>
        <w:spacing w:after="0"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16.“三长制”：</w:t>
      </w:r>
      <w:r>
        <w:rPr>
          <w:rFonts w:hint="eastAsia" w:ascii="仿宋_GB2312" w:hAnsi="宋体" w:eastAsia="仿宋_GB2312" w:cs="宋体"/>
          <w:sz w:val="24"/>
          <w:szCs w:val="24"/>
        </w:rPr>
        <w:t>河长制、林长制、田长制。</w:t>
      </w:r>
    </w:p>
    <w:p>
      <w:pPr>
        <w:pStyle w:val="2"/>
        <w:spacing w:after="0"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17.“1147”旅游发展思路：</w:t>
      </w:r>
      <w:r>
        <w:rPr>
          <w:rFonts w:hint="eastAsia" w:ascii="仿宋_GB2312" w:hAnsi="宋体" w:eastAsia="仿宋_GB2312" w:cs="宋体"/>
          <w:sz w:val="24"/>
          <w:szCs w:val="24"/>
        </w:rPr>
        <w:t>突出县城板块这一个核心、阳明山景区这一个龙头，抓好桐子坳、花千谷、国际慢城、云台山四个支点，辅以七个乡镇打造省星级乡村旅游区（点），带动全域旅游发展。</w:t>
      </w:r>
    </w:p>
    <w:p>
      <w:pPr>
        <w:autoSpaceDE w:val="0"/>
        <w:spacing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18.“以亩产论英雄”：</w:t>
      </w:r>
      <w:r>
        <w:rPr>
          <w:rFonts w:hint="eastAsia" w:ascii="仿宋_GB2312" w:hAnsi="宋体" w:eastAsia="仿宋_GB2312" w:cs="宋体"/>
          <w:sz w:val="24"/>
          <w:szCs w:val="24"/>
        </w:rPr>
        <w:t>强化单位面积投入强度和产出绩效的考核，倒逼园区集约高效发展。</w:t>
      </w:r>
    </w:p>
    <w:p>
      <w:pPr>
        <w:autoSpaceDE w:val="0"/>
        <w:spacing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19.“高效办成一件事”：</w:t>
      </w:r>
      <w:r>
        <w:rPr>
          <w:rFonts w:hint="eastAsia" w:ascii="仿宋_GB2312" w:hAnsi="宋体" w:eastAsia="仿宋_GB2312" w:cs="宋体"/>
          <w:sz w:val="24"/>
          <w:szCs w:val="24"/>
        </w:rPr>
        <w:t>强化改革引领和数字赋能双轮驱动，注重突出重点，推进线下办事“只进一门”，线上办事“一网通办”，企业和群众诉求“一线应答”，推动“集成办”“承诺办”“跨域办”“免申办”，逐步实现企业和个人两个全生命周期重要阶段事项高效办成。</w:t>
      </w:r>
    </w:p>
    <w:p>
      <w:pPr>
        <w:autoSpaceDE w:val="0"/>
        <w:spacing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20.“四个一”管理模式：</w:t>
      </w:r>
      <w:r>
        <w:rPr>
          <w:rFonts w:hint="eastAsia" w:ascii="仿宋_GB2312" w:hAnsi="宋体" w:eastAsia="仿宋_GB2312" w:cs="宋体"/>
          <w:sz w:val="24"/>
          <w:szCs w:val="24"/>
        </w:rPr>
        <w:t>在项目管理上，实行“一个重点项目、一名县级领导牵头、一套工作班子服务、一抓到底”的“四个一”模式。</w:t>
      </w:r>
    </w:p>
    <w:p>
      <w:pPr>
        <w:autoSpaceDE w:val="0"/>
        <w:spacing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21.“15分钟就业服务圈”：</w:t>
      </w:r>
      <w:r>
        <w:rPr>
          <w:rFonts w:hint="eastAsia" w:ascii="仿宋_GB2312" w:hAnsi="宋体" w:eastAsia="仿宋_GB2312" w:cs="宋体"/>
          <w:sz w:val="24"/>
          <w:szCs w:val="24"/>
        </w:rPr>
        <w:t>依托于乡镇和社区，使居民可在居家15分钟的范围内得到就业服务。</w:t>
      </w:r>
    </w:p>
    <w:p>
      <w:pPr>
        <w:autoSpaceDE w:val="0"/>
        <w:spacing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22.“三名”工程：</w:t>
      </w:r>
      <w:r>
        <w:rPr>
          <w:rFonts w:hint="eastAsia" w:ascii="仿宋_GB2312" w:hAnsi="宋体" w:eastAsia="仿宋_GB2312" w:cs="宋体"/>
          <w:sz w:val="24"/>
          <w:szCs w:val="24"/>
        </w:rPr>
        <w:t>大力实施“名校、名师、名工作室”工程。</w:t>
      </w:r>
    </w:p>
    <w:p>
      <w:pPr>
        <w:autoSpaceDE w:val="0"/>
        <w:spacing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23.“四下基层”：</w:t>
      </w:r>
      <w:r>
        <w:rPr>
          <w:rFonts w:hint="eastAsia" w:ascii="仿宋_GB2312" w:hAnsi="宋体" w:eastAsia="仿宋_GB2312" w:cs="宋体"/>
          <w:sz w:val="24"/>
          <w:szCs w:val="24"/>
        </w:rPr>
        <w:t>宣传党的路线、方针、政策下基层，调查研究下基层，信访接待下基层，现场办公下基层。</w:t>
      </w:r>
    </w:p>
    <w:p>
      <w:pPr>
        <w:autoSpaceDE w:val="0"/>
        <w:spacing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24.“六个一批”：</w:t>
      </w:r>
      <w:r>
        <w:rPr>
          <w:rFonts w:hint="eastAsia" w:ascii="仿宋_GB2312" w:hAnsi="宋体" w:eastAsia="仿宋_GB2312" w:cs="宋体"/>
          <w:sz w:val="24"/>
          <w:szCs w:val="24"/>
        </w:rPr>
        <w:t>清收债权处理一批、落实政策减免一批、发展经济偿还一批、盘活资产化解一批、协商沟通转化一批、结对帮扶化解一批。</w:t>
      </w:r>
    </w:p>
    <w:p>
      <w:pPr>
        <w:autoSpaceDE w:val="0"/>
        <w:spacing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25.“三坚决两确保”目标：</w:t>
      </w:r>
      <w:r>
        <w:rPr>
          <w:rFonts w:hint="eastAsia" w:ascii="仿宋_GB2312" w:hAnsi="宋体" w:eastAsia="仿宋_GB2312" w:cs="宋体"/>
          <w:sz w:val="24"/>
          <w:szCs w:val="24"/>
        </w:rPr>
        <w:t>坚决杜绝较大及以上安全事故（含非生产经营性事故），坚决遏制一般安全事故，坚决防范自然灾害导致人员伤亡，确保事故起数和死亡人数继续下降，确保全县安全生产形势持续稳定向好。</w:t>
      </w:r>
    </w:p>
    <w:p>
      <w:pPr>
        <w:autoSpaceDE w:val="0"/>
        <w:spacing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26.“三查一曝光”：</w:t>
      </w:r>
      <w:r>
        <w:rPr>
          <w:rFonts w:hint="eastAsia" w:ascii="仿宋_GB2312" w:hAnsi="宋体" w:eastAsia="仿宋_GB2312" w:cs="宋体"/>
          <w:sz w:val="24"/>
          <w:szCs w:val="24"/>
        </w:rPr>
        <w:t>企业自查、行业互查、专家诊查，警示曝光。</w:t>
      </w:r>
    </w:p>
    <w:p>
      <w:pPr>
        <w:spacing w:line="440" w:lineRule="exact"/>
        <w:ind w:firstLine="481" w:firstLineChars="200"/>
        <w:rPr>
          <w:rFonts w:ascii="仿宋_GB2312" w:hAnsi="宋体" w:eastAsia="仿宋_GB2312"/>
          <w:sz w:val="24"/>
          <w:szCs w:val="24"/>
        </w:rPr>
      </w:pPr>
      <w:r>
        <w:rPr>
          <w:rFonts w:hint="eastAsia" w:ascii="仿宋_GB2312" w:hAnsi="宋体" w:eastAsia="仿宋_GB2312" w:cs="宋体"/>
          <w:b/>
          <w:sz w:val="24"/>
          <w:szCs w:val="24"/>
        </w:rPr>
        <w:t>27.“三品一特”：</w:t>
      </w:r>
      <w:r>
        <w:rPr>
          <w:rFonts w:hint="eastAsia" w:ascii="仿宋_GB2312" w:hAnsi="宋体" w:eastAsia="仿宋_GB2312" w:cs="宋体"/>
          <w:sz w:val="24"/>
          <w:szCs w:val="24"/>
        </w:rPr>
        <w:t>食品、药品、重点工业产品和特种设备。</w:t>
      </w:r>
    </w:p>
    <w:p>
      <w:pPr>
        <w:spacing w:line="440" w:lineRule="exact"/>
        <w:ind w:firstLine="480" w:firstLineChars="200"/>
        <w:rPr>
          <w:rFonts w:ascii="宋体" w:hAnsi="宋体" w:eastAsia="宋体"/>
          <w:sz w:val="24"/>
          <w:szCs w:val="24"/>
        </w:rPr>
      </w:pPr>
    </w:p>
    <w:p>
      <w:pPr>
        <w:pStyle w:val="21"/>
        <w:rPr>
          <w:rFonts w:ascii="仿宋_GB2312" w:eastAsia="仿宋_GB2312"/>
        </w:rPr>
      </w:pPr>
    </w:p>
    <w:p>
      <w:pPr>
        <w:pStyle w:val="21"/>
      </w:pPr>
    </w:p>
    <w:p/>
    <w:p>
      <w:pPr>
        <w:spacing w:line="280" w:lineRule="exact"/>
        <w:jc w:val="left"/>
        <w:rPr>
          <w:rFonts w:ascii="华文仿宋" w:hAnsi="华文仿宋" w:eastAsia="华文仿宋" w:cs="华文仿宋"/>
          <w:sz w:val="32"/>
          <w:szCs w:val="32"/>
        </w:rPr>
      </w:pPr>
    </w:p>
    <w:p>
      <w:pPr>
        <w:spacing w:line="220" w:lineRule="exact"/>
        <w:jc w:val="center"/>
        <w:rPr>
          <w:rFonts w:ascii="方正大标宋_GBK" w:hAnsi="华文中宋" w:eastAsia="方正大标宋_GBK" w:cs="华文中宋"/>
          <w:sz w:val="40"/>
          <w:szCs w:val="40"/>
        </w:rPr>
      </w:pPr>
      <w:r>
        <w:rPr>
          <w:sz w:val="40"/>
        </w:rPr>
        <w:pict>
          <v:shape id="_x0000_s1044" o:spid="_x0000_s1044" o:spt="202" type="#_x0000_t202" style="position:absolute;left:0pt;margin-left:-26.9pt;margin-top:-53pt;height:25.55pt;width:478.25pt;z-index:-251686912;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p>
    <w:p>
      <w:pPr>
        <w:spacing w:line="600" w:lineRule="exact"/>
        <w:jc w:val="center"/>
        <w:rPr>
          <w:rFonts w:ascii="方正大标宋_GBK" w:hAnsi="华文中宋" w:eastAsia="方正大标宋_GBK" w:cs="华文中宋"/>
          <w:sz w:val="40"/>
          <w:szCs w:val="40"/>
        </w:rPr>
      </w:pPr>
      <w:r>
        <w:rPr>
          <w:rFonts w:hint="eastAsia" w:ascii="方正大标宋_GBK" w:hAnsi="华文中宋" w:eastAsia="方正大标宋_GBK" w:cs="华文中宋"/>
          <w:sz w:val="40"/>
          <w:szCs w:val="40"/>
        </w:rPr>
        <w:t>双牌县人民政府</w:t>
      </w:r>
    </w:p>
    <w:p>
      <w:pPr>
        <w:spacing w:line="600" w:lineRule="exact"/>
        <w:jc w:val="center"/>
        <w:rPr>
          <w:rFonts w:ascii="方正大标宋_GBK" w:hAnsi="华文中宋" w:eastAsia="方正大标宋_GBK" w:cs="华文中宋"/>
          <w:sz w:val="40"/>
          <w:szCs w:val="40"/>
        </w:rPr>
      </w:pPr>
      <w:r>
        <w:rPr>
          <w:rFonts w:hint="eastAsia" w:ascii="方正大标宋_GBK" w:hAnsi="华文中宋" w:eastAsia="方正大标宋_GBK" w:cs="华文中宋"/>
          <w:sz w:val="40"/>
          <w:szCs w:val="40"/>
        </w:rPr>
        <w:t>关于印发《双牌县碳达峰行动方案》的</w:t>
      </w:r>
    </w:p>
    <w:p>
      <w:pPr>
        <w:spacing w:line="600" w:lineRule="exact"/>
        <w:jc w:val="center"/>
        <w:rPr>
          <w:rFonts w:ascii="方正大标宋_GBK" w:hAnsi="华文中宋" w:eastAsia="方正大标宋_GBK" w:cs="华文中宋"/>
          <w:sz w:val="40"/>
          <w:szCs w:val="40"/>
        </w:rPr>
      </w:pPr>
      <w:r>
        <w:rPr>
          <w:rFonts w:hint="eastAsia" w:ascii="方正大标宋_GBK" w:hAnsi="华文中宋" w:eastAsia="方正大标宋_GBK" w:cs="华文中宋"/>
          <w:sz w:val="40"/>
          <w:szCs w:val="40"/>
        </w:rPr>
        <w:t>通      知</w:t>
      </w:r>
    </w:p>
    <w:p>
      <w:pPr>
        <w:spacing w:line="600" w:lineRule="exact"/>
        <w:jc w:val="center"/>
        <w:rPr>
          <w:rFonts w:ascii="华文仿宋" w:hAnsi="华文仿宋" w:eastAsia="华文仿宋" w:cs="华文仿宋"/>
          <w:sz w:val="32"/>
          <w:szCs w:val="32"/>
        </w:rPr>
      </w:pPr>
      <w:r>
        <w:rPr>
          <w:rFonts w:hint="eastAsia" w:ascii="仿宋_GB2312" w:eastAsia="仿宋_GB2312"/>
          <w:snapToGrid w:val="0"/>
          <w:position w:val="4"/>
          <w:sz w:val="32"/>
          <w:szCs w:val="32"/>
        </w:rPr>
        <w:t>双政发〔202</w:t>
      </w:r>
      <w:r>
        <w:rPr>
          <w:rFonts w:ascii="仿宋_GB2312" w:eastAsia="仿宋_GB2312"/>
          <w:snapToGrid w:val="0"/>
          <w:position w:val="4"/>
          <w:sz w:val="32"/>
          <w:szCs w:val="32"/>
        </w:rPr>
        <w:t>4</w:t>
      </w:r>
      <w:r>
        <w:rPr>
          <w:rFonts w:hint="eastAsia" w:ascii="仿宋_GB2312" w:eastAsia="仿宋_GB2312"/>
          <w:snapToGrid w:val="0"/>
          <w:position w:val="4"/>
          <w:sz w:val="32"/>
          <w:szCs w:val="32"/>
        </w:rPr>
        <w:t>〕1号</w:t>
      </w:r>
    </w:p>
    <w:p>
      <w:pPr>
        <w:spacing w:line="600" w:lineRule="exact"/>
        <w:jc w:val="center"/>
        <w:rPr>
          <w:rFonts w:ascii="黑体" w:hAnsi="黑体" w:eastAsia="黑体"/>
          <w:sz w:val="32"/>
          <w:szCs w:val="32"/>
        </w:rPr>
      </w:pPr>
      <w:r>
        <w:rPr>
          <w:rFonts w:hint="eastAsia" w:ascii="黑体" w:hAnsi="黑体" w:eastAsia="黑体"/>
          <w:sz w:val="32"/>
          <w:szCs w:val="32"/>
        </w:rPr>
        <w:t>SPDR-2024-00001</w:t>
      </w:r>
    </w:p>
    <w:p>
      <w:pPr>
        <w:jc w:val="left"/>
        <w:rPr>
          <w:rFonts w:ascii="华文仿宋" w:hAnsi="华文仿宋" w:eastAsia="华文仿宋" w:cs="华文仿宋"/>
          <w:sz w:val="32"/>
          <w:szCs w:val="32"/>
        </w:rPr>
      </w:pPr>
    </w:p>
    <w:p>
      <w:pPr>
        <w:rPr>
          <w:rFonts w:ascii="仿宋_GB2312" w:eastAsia="仿宋_GB2312"/>
          <w:sz w:val="32"/>
          <w:szCs w:val="32"/>
        </w:rPr>
      </w:pPr>
      <w:r>
        <w:rPr>
          <w:rFonts w:hint="eastAsia" w:ascii="仿宋_GB2312" w:eastAsia="仿宋_GB2312"/>
          <w:sz w:val="32"/>
          <w:szCs w:val="32"/>
        </w:rPr>
        <w:t>各乡镇人民政府，阳明山管理局，县直及省市驻双单位：</w:t>
      </w:r>
    </w:p>
    <w:p>
      <w:pPr>
        <w:ind w:firstLine="640" w:firstLineChars="200"/>
        <w:rPr>
          <w:rFonts w:ascii="仿宋_GB2312" w:eastAsia="仿宋_GB2312"/>
          <w:sz w:val="32"/>
          <w:szCs w:val="32"/>
        </w:rPr>
      </w:pPr>
      <w:r>
        <w:rPr>
          <w:rFonts w:hint="eastAsia" w:ascii="仿宋_GB2312" w:eastAsia="仿宋_GB2312"/>
          <w:sz w:val="32"/>
          <w:szCs w:val="32"/>
        </w:rPr>
        <w:t>《双牌县碳达峰行动方案》已经县人民政府第38次常务会议审议通过，现印发给你们，请认真组织实施。</w:t>
      </w:r>
    </w:p>
    <w:p>
      <w:pPr>
        <w:rPr>
          <w:rFonts w:ascii="仿宋_GB2312" w:eastAsia="仿宋_GB2312"/>
          <w:sz w:val="32"/>
          <w:szCs w:val="32"/>
        </w:rPr>
      </w:pPr>
    </w:p>
    <w:p>
      <w:pPr>
        <w:pStyle w:val="2"/>
      </w:pPr>
    </w:p>
    <w:p>
      <w:pPr>
        <w:ind w:firstLine="4960" w:firstLineChars="1550"/>
        <w:rPr>
          <w:rFonts w:ascii="仿宋_GB2312" w:eastAsia="仿宋_GB2312"/>
          <w:sz w:val="32"/>
          <w:szCs w:val="32"/>
        </w:rPr>
      </w:pPr>
      <w:r>
        <w:rPr>
          <w:rFonts w:hint="eastAsia" w:ascii="仿宋_GB2312" w:eastAsia="仿宋_GB2312"/>
          <w:sz w:val="32"/>
          <w:szCs w:val="32"/>
        </w:rPr>
        <w:t>双牌县人民政府</w:t>
      </w:r>
    </w:p>
    <w:p>
      <w:pPr>
        <w:ind w:firstLine="4800" w:firstLineChars="1500"/>
        <w:rPr>
          <w:rFonts w:ascii="仿宋_GB2312" w:eastAsia="仿宋_GB2312"/>
          <w:sz w:val="32"/>
          <w:szCs w:val="32"/>
        </w:rPr>
      </w:pPr>
      <w:r>
        <w:rPr>
          <w:rFonts w:hint="eastAsia" w:ascii="仿宋_GB2312" w:eastAsia="仿宋_GB2312"/>
          <w:sz w:val="32"/>
          <w:szCs w:val="32"/>
        </w:rPr>
        <w:t>202</w:t>
      </w:r>
      <w:r>
        <w:rPr>
          <w:rFonts w:ascii="仿宋_GB2312" w:eastAsia="仿宋_GB2312"/>
          <w:sz w:val="32"/>
          <w:szCs w:val="32"/>
        </w:rPr>
        <w:t>4</w:t>
      </w:r>
      <w:r>
        <w:rPr>
          <w:rFonts w:hint="eastAsia" w:ascii="仿宋_GB2312" w:eastAsia="仿宋_GB2312"/>
          <w:sz w:val="32"/>
          <w:szCs w:val="32"/>
        </w:rPr>
        <w:t>年</w:t>
      </w:r>
      <w:r>
        <w:rPr>
          <w:rFonts w:ascii="仿宋_GB2312" w:eastAsia="仿宋_GB2312"/>
          <w:sz w:val="32"/>
          <w:szCs w:val="32"/>
        </w:rPr>
        <w:t>2</w:t>
      </w:r>
      <w:r>
        <w:rPr>
          <w:rFonts w:hint="eastAsia" w:ascii="仿宋_GB2312" w:eastAsia="仿宋_GB2312"/>
          <w:sz w:val="32"/>
          <w:szCs w:val="32"/>
        </w:rPr>
        <w:t>月</w:t>
      </w:r>
      <w:r>
        <w:rPr>
          <w:rFonts w:ascii="仿宋_GB2312" w:eastAsia="仿宋_GB2312"/>
          <w:sz w:val="32"/>
          <w:szCs w:val="32"/>
        </w:rPr>
        <w:t>2</w:t>
      </w:r>
      <w:r>
        <w:rPr>
          <w:rFonts w:hint="eastAsia" w:ascii="仿宋_GB2312" w:eastAsia="仿宋_GB2312"/>
          <w:sz w:val="32"/>
          <w:szCs w:val="32"/>
        </w:rPr>
        <w:t>8日</w:t>
      </w:r>
    </w:p>
    <w:p>
      <w:pPr>
        <w:spacing w:line="570" w:lineRule="exact"/>
        <w:rPr>
          <w:sz w:val="32"/>
          <w:szCs w:val="32"/>
        </w:rPr>
      </w:pPr>
    </w:p>
    <w:p>
      <w:pPr>
        <w:spacing w:line="570" w:lineRule="exact"/>
        <w:ind w:firstLine="640" w:firstLineChars="200"/>
        <w:rPr>
          <w:sz w:val="32"/>
          <w:szCs w:val="32"/>
        </w:rPr>
      </w:pPr>
    </w:p>
    <w:p>
      <w:pPr>
        <w:jc w:val="left"/>
        <w:rPr>
          <w:rFonts w:ascii="华文仿宋" w:hAnsi="华文仿宋" w:eastAsia="华文仿宋" w:cs="华文仿宋"/>
          <w:sz w:val="32"/>
          <w:szCs w:val="32"/>
        </w:rPr>
      </w:pPr>
      <w:r>
        <w:rPr>
          <w:rFonts w:hint="eastAsia" w:ascii="华文仿宋" w:hAnsi="华文仿宋" w:eastAsia="华文仿宋" w:cs="华文仿宋"/>
          <w:sz w:val="32"/>
          <w:szCs w:val="32"/>
        </w:rPr>
        <w:t xml:space="preserve">    </w:t>
      </w:r>
      <w:r>
        <w:rPr>
          <w:rFonts w:ascii="华文仿宋" w:hAnsi="华文仿宋" w:eastAsia="华文仿宋" w:cs="华文仿宋"/>
          <w:sz w:val="32"/>
          <w:szCs w:val="32"/>
        </w:rPr>
        <w:t>（此件主动公开）</w:t>
      </w:r>
    </w:p>
    <w:p>
      <w:pPr>
        <w:jc w:val="left"/>
        <w:rPr>
          <w:rFonts w:ascii="华文仿宋" w:hAnsi="华文仿宋" w:eastAsia="华文仿宋" w:cs="华文仿宋"/>
          <w:sz w:val="32"/>
          <w:szCs w:val="32"/>
        </w:rPr>
      </w:pPr>
    </w:p>
    <w:p>
      <w:pPr>
        <w:jc w:val="left"/>
        <w:rPr>
          <w:rFonts w:ascii="华文仿宋" w:hAnsi="华文仿宋" w:eastAsia="华文仿宋" w:cs="华文仿宋"/>
          <w:sz w:val="32"/>
          <w:szCs w:val="32"/>
        </w:rPr>
      </w:pPr>
    </w:p>
    <w:p>
      <w:pPr>
        <w:pStyle w:val="17"/>
        <w:ind w:left="0"/>
        <w:jc w:val="both"/>
      </w:pPr>
    </w:p>
    <w:p>
      <w:pPr>
        <w:pStyle w:val="17"/>
        <w:ind w:left="0"/>
        <w:jc w:val="both"/>
      </w:pPr>
    </w:p>
    <w:p>
      <w:pPr>
        <w:pStyle w:val="17"/>
      </w:pPr>
    </w:p>
    <w:p>
      <w:pPr>
        <w:jc w:val="left"/>
        <w:rPr>
          <w:rFonts w:ascii="华文仿宋" w:hAnsi="华文仿宋" w:eastAsia="华文仿宋" w:cs="华文仿宋"/>
          <w:sz w:val="32"/>
          <w:szCs w:val="32"/>
        </w:rPr>
      </w:pPr>
    </w:p>
    <w:p>
      <w:pPr>
        <w:spacing w:line="600" w:lineRule="exact"/>
        <w:jc w:val="center"/>
        <w:rPr>
          <w:rFonts w:ascii="仿宋_GB2312" w:hAnsi="仿宋_GB2312" w:eastAsia="仿宋_GB2312" w:cs="仿宋_GB2312"/>
          <w:sz w:val="32"/>
          <w:szCs w:val="32"/>
        </w:rPr>
        <w:sectPr>
          <w:type w:val="continuous"/>
          <w:pgSz w:w="11906" w:h="16838"/>
          <w:pgMar w:top="1588" w:right="1701" w:bottom="1474" w:left="1701" w:header="851" w:footer="992" w:gutter="0"/>
          <w:pgNumType w:fmt="numberInDash"/>
          <w:cols w:space="425" w:num="1"/>
          <w:docGrid w:type="lines" w:linePitch="312" w:charSpace="0"/>
        </w:sectPr>
      </w:pPr>
      <w:r>
        <w:rPr>
          <w:rFonts w:ascii="方正大标宋_GBK" w:hAnsi="华文中宋" w:eastAsia="方正大标宋_GBK" w:cs="华文中宋"/>
          <w:sz w:val="40"/>
          <w:szCs w:val="40"/>
        </w:rPr>
        <w:pict>
          <v:shape id="_x0000_s1159" o:spid="_x0000_s1159" o:spt="202" type="#_x0000_t202" style="position:absolute;left:0pt;margin-left:-28.1pt;margin-top:-55.4pt;height:25.55pt;width:484.85pt;z-index:-251629568;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方正大标宋_GBK" w:hAnsi="华文中宋" w:eastAsia="方正大标宋_GBK" w:cs="华文中宋"/>
          <w:sz w:val="40"/>
          <w:szCs w:val="40"/>
        </w:rPr>
        <w:t>双牌县</w:t>
      </w:r>
      <w:r>
        <w:rPr>
          <w:rFonts w:hint="eastAsia" w:ascii="方正大标宋_GBK" w:eastAsia="方正大标宋_GBK"/>
          <w:sz w:val="40"/>
          <w:szCs w:val="40"/>
        </w:rPr>
        <w:t>碳达峰行动方案</w:t>
      </w:r>
    </w:p>
    <w:p>
      <w:pPr>
        <w:pStyle w:val="10"/>
        <w:spacing w:before="0" w:beforeAutospacing="0" w:after="0" w:afterAutospacing="0" w:line="500" w:lineRule="exact"/>
        <w:jc w:val="both"/>
        <w:rPr>
          <w:rFonts w:ascii="仿宋_GB2312" w:hAnsi="仿宋_GB2312" w:eastAsia="仿宋_GB2312" w:cs="仿宋_GB2312"/>
          <w:sz w:val="32"/>
          <w:szCs w:val="32"/>
        </w:rPr>
      </w:pPr>
    </w:p>
    <w:p>
      <w:pPr>
        <w:widowControl/>
        <w:shd w:val="clear" w:color="auto" w:fill="FFFFFF"/>
        <w:spacing w:line="600" w:lineRule="exact"/>
        <w:ind w:firstLine="640" w:firstLineChars="200"/>
        <w:rPr>
          <w:rFonts w:ascii="仿宋_GB2312" w:hAnsi="Times New Roman" w:eastAsia="仿宋_GB2312" w:cs="Times New Roman"/>
          <w:bCs w:val="0"/>
          <w:color w:val="000000" w:themeColor="text1"/>
          <w:sz w:val="32"/>
          <w:szCs w:val="32"/>
        </w:rPr>
        <w:sectPr>
          <w:type w:val="continuous"/>
          <w:pgSz w:w="11906" w:h="16838"/>
          <w:pgMar w:top="1440" w:right="1800" w:bottom="1440" w:left="1800" w:header="851" w:footer="992" w:gutter="0"/>
          <w:cols w:space="425" w:num="1"/>
          <w:docGrid w:type="lines" w:linePitch="312" w:charSpace="0"/>
        </w:sectPr>
      </w:pPr>
    </w:p>
    <w:p>
      <w:pPr>
        <w:widowControl/>
        <w:shd w:val="clear" w:color="auto" w:fill="FFFFFF"/>
        <w:spacing w:line="610" w:lineRule="exact"/>
        <w:ind w:firstLine="640"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Cs w:val="0"/>
          <w:color w:val="000000" w:themeColor="text1"/>
          <w:sz w:val="32"/>
          <w:szCs w:val="32"/>
        </w:rPr>
        <w:t>为深入贯彻落实党中央、国务院关于碳达峰碳中和工作决策部署，《中共中央 国务院关于完整准确全面贯彻新发展理念做好碳达峰碳中和工作的意见》《国务院关于印发2030年前碳达峰行动方案的通知》《中共湖南省委 湖南省人民政府关于完整准确全面贯彻新发展理念 做好碳达峰碳中和工作的实施意见》《永州市国民经济和社会发展第十四个五年规划和二</w:t>
      </w:r>
      <w:r>
        <w:rPr>
          <w:rFonts w:hint="eastAsia" w:ascii="仿宋_GB2312" w:hAnsi="宋体" w:eastAsia="宋体" w:cs="宋体"/>
          <w:bCs w:val="0"/>
          <w:color w:val="000000" w:themeColor="text1"/>
          <w:sz w:val="32"/>
          <w:szCs w:val="32"/>
        </w:rPr>
        <w:t>〇</w:t>
      </w:r>
      <w:r>
        <w:rPr>
          <w:rFonts w:hint="eastAsia" w:ascii="仿宋_GB2312" w:hAnsi="Times New Roman" w:eastAsia="仿宋_GB2312" w:cs="Times New Roman"/>
          <w:bCs w:val="0"/>
          <w:color w:val="000000" w:themeColor="text1"/>
          <w:sz w:val="32"/>
          <w:szCs w:val="32"/>
        </w:rPr>
        <w:t>三五年远景目标纲要》（永政发〔2021〕5号）相关要求，扎实有序推进全县碳达峰碳中和工作，特制定本方案。</w:t>
      </w:r>
      <w:bookmarkStart w:id="0" w:name="_Toc13575"/>
    </w:p>
    <w:p>
      <w:pPr>
        <w:widowControl/>
        <w:shd w:val="clear" w:color="auto" w:fill="FFFFFF"/>
        <w:spacing w:line="610" w:lineRule="exact"/>
        <w:ind w:firstLine="640" w:firstLineChars="200"/>
        <w:rPr>
          <w:rFonts w:ascii="黑体" w:hAnsi="黑体" w:eastAsia="黑体" w:cs="Times New Roman"/>
          <w:bCs w:val="0"/>
          <w:color w:val="000000" w:themeColor="text1"/>
          <w:sz w:val="32"/>
          <w:szCs w:val="32"/>
        </w:rPr>
      </w:pPr>
      <w:r>
        <w:rPr>
          <w:rFonts w:hint="eastAsia" w:ascii="黑体" w:hAnsi="黑体" w:eastAsia="黑体" w:cs="Times New Roman"/>
          <w:bCs w:val="0"/>
          <w:color w:val="000000" w:themeColor="text1"/>
          <w:sz w:val="32"/>
          <w:szCs w:val="32"/>
        </w:rPr>
        <w:t>一、总体要求</w:t>
      </w:r>
      <w:bookmarkEnd w:id="0"/>
      <w:r>
        <w:rPr>
          <w:rFonts w:hint="eastAsia" w:ascii="黑体" w:hAnsi="黑体" w:eastAsia="黑体" w:cs="Times New Roman"/>
          <w:bCs w:val="0"/>
          <w:color w:val="000000" w:themeColor="text1"/>
          <w:sz w:val="32"/>
          <w:szCs w:val="32"/>
        </w:rPr>
        <w:tab/>
      </w:r>
      <w:bookmarkStart w:id="1" w:name="_Toc30224"/>
    </w:p>
    <w:p>
      <w:pPr>
        <w:widowControl/>
        <w:shd w:val="clear" w:color="auto" w:fill="FFFFFF"/>
        <w:spacing w:line="610" w:lineRule="exact"/>
        <w:ind w:firstLine="642" w:firstLineChars="200"/>
        <w:rPr>
          <w:rFonts w:ascii="楷体_GB2312" w:hAnsi="Times New Roman" w:eastAsia="楷体_GB2312" w:cs="Times New Roman"/>
          <w:b/>
          <w:bCs w:val="0"/>
          <w:color w:val="000000" w:themeColor="text1"/>
          <w:sz w:val="32"/>
          <w:szCs w:val="32"/>
        </w:rPr>
      </w:pPr>
      <w:r>
        <w:rPr>
          <w:rFonts w:hint="eastAsia" w:ascii="楷体_GB2312" w:hAnsi="Times New Roman" w:eastAsia="楷体_GB2312" w:cs="Times New Roman"/>
          <w:b/>
          <w:bCs w:val="0"/>
          <w:color w:val="000000" w:themeColor="text1"/>
          <w:sz w:val="32"/>
          <w:szCs w:val="32"/>
        </w:rPr>
        <w:t>（一）指导思想</w:t>
      </w:r>
      <w:bookmarkEnd w:id="1"/>
      <w:r>
        <w:rPr>
          <w:rFonts w:hint="eastAsia" w:ascii="楷体_GB2312" w:hAnsi="Times New Roman" w:eastAsia="楷体_GB2312" w:cs="Times New Roman"/>
          <w:b/>
          <w:bCs w:val="0"/>
          <w:color w:val="000000" w:themeColor="text1"/>
          <w:sz w:val="32"/>
          <w:szCs w:val="32"/>
        </w:rPr>
        <w:tab/>
      </w:r>
    </w:p>
    <w:p>
      <w:pPr>
        <w:widowControl/>
        <w:shd w:val="clear" w:color="auto" w:fill="FFFFFF"/>
        <w:spacing w:line="610" w:lineRule="exact"/>
        <w:ind w:firstLine="640"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Cs w:val="0"/>
          <w:color w:val="000000" w:themeColor="text1"/>
          <w:sz w:val="32"/>
          <w:szCs w:val="32"/>
        </w:rPr>
        <w:t>以习近平新时代中国特色社会主义思想为指导，深入贯彻落实党的二十大精神、习近平生态文明思想和习近平总书记关于湖南工作的重要讲话重要指示批示精神，立足新发展阶段、贯彻新发展理念、构建新发展格局，落实“三高四新”战略定位和使命任务，坚持以人民为中心，以经济社会发展全面绿色转型为引领，以服务经济高质量发展为主线，以节能减污协同降碳为核心，以推动绿色产业发展为总抓手，以绿色低碳科技为助力，工业领域、城乡建设、交通运输同步开展，着力推进绿色低碳发展，全力推进碳达峰行动，紧盯“碳达峰碳中和”的战略目标，为建设最精最美双牌添砖加瓦。</w:t>
      </w:r>
      <w:bookmarkStart w:id="2" w:name="_Toc7342"/>
    </w:p>
    <w:p>
      <w:pPr>
        <w:widowControl/>
        <w:shd w:val="clear" w:color="auto" w:fill="FFFFFF"/>
        <w:spacing w:line="600" w:lineRule="exact"/>
        <w:ind w:firstLine="640" w:firstLineChars="200"/>
        <w:rPr>
          <w:rFonts w:ascii="楷体_GB2312" w:hAnsi="Times New Roman" w:eastAsia="楷体_GB2312" w:cs="Times New Roman"/>
          <w:b/>
          <w:bCs w:val="0"/>
          <w:color w:val="000000" w:themeColor="text1"/>
          <w:sz w:val="32"/>
          <w:szCs w:val="32"/>
        </w:rPr>
      </w:pPr>
      <w:r>
        <w:rPr>
          <w:rFonts w:ascii="仿宋_GB2312" w:hAnsi="Times New Roman" w:eastAsia="仿宋_GB2312" w:cs="Times New Roman"/>
          <w:bCs w:val="0"/>
          <w:color w:val="000000" w:themeColor="text1"/>
          <w:sz w:val="32"/>
          <w:szCs w:val="32"/>
        </w:rPr>
        <w:pict>
          <v:shape id="_x0000_s1160" o:spid="_x0000_s1160" o:spt="202" type="#_x0000_t202" style="position:absolute;left:0pt;margin-left:-32.45pt;margin-top:-112.2pt;height:25.55pt;width:484.85pt;z-index:-251628544;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楷体_GB2312" w:hAnsi="Times New Roman" w:eastAsia="楷体_GB2312" w:cs="Times New Roman"/>
          <w:b/>
          <w:bCs w:val="0"/>
          <w:color w:val="000000" w:themeColor="text1"/>
          <w:sz w:val="32"/>
          <w:szCs w:val="32"/>
        </w:rPr>
        <w:t>（二）主要目标</w:t>
      </w:r>
      <w:bookmarkEnd w:id="2"/>
      <w:r>
        <w:rPr>
          <w:rFonts w:hint="eastAsia" w:ascii="楷体_GB2312" w:hAnsi="Times New Roman" w:eastAsia="楷体_GB2312" w:cs="Times New Roman"/>
          <w:b/>
          <w:bCs w:val="0"/>
          <w:color w:val="000000" w:themeColor="text1"/>
          <w:sz w:val="32"/>
          <w:szCs w:val="32"/>
        </w:rPr>
        <w:tab/>
      </w:r>
    </w:p>
    <w:p>
      <w:pPr>
        <w:widowControl/>
        <w:shd w:val="clear" w:color="auto" w:fill="FFFFFF"/>
        <w:spacing w:line="600" w:lineRule="exact"/>
        <w:ind w:firstLine="640"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Cs w:val="0"/>
          <w:color w:val="000000" w:themeColor="text1"/>
          <w:sz w:val="32"/>
          <w:szCs w:val="32"/>
        </w:rPr>
        <w:t>“十四五” 期间，双牌县大力发展文化和旅游产业，风力发电、光伏发电等可再生能源项目，坚持节约优先，全面节约能源资源，推动产业转型升级，培育壮大新兴产业，推动传统产业智能化、清洁化改造，加快发展节能环保产业，形成绿色发展方式和生活方式。到2025年，非化石能源消费比重达到22%左右，单位地区生产总值能源消耗和二氧化碳排放下降确保完成永州市下达目标，为实现碳达峰目标奠定坚实基础。</w:t>
      </w:r>
    </w:p>
    <w:p>
      <w:pPr>
        <w:widowControl/>
        <w:shd w:val="clear" w:color="auto" w:fill="FFFFFF"/>
        <w:spacing w:line="580" w:lineRule="exact"/>
        <w:ind w:firstLine="640"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Cs w:val="0"/>
          <w:color w:val="000000" w:themeColor="text1"/>
          <w:sz w:val="32"/>
          <w:szCs w:val="32"/>
        </w:rPr>
        <w:t>“十五五”期间，我县产业结构调整取得重大进展，清洁低碳安全高效的能源体系初步建立，重点领域低碳发展模式基本形成，重点耗能行业能源利用效率达到国际领先水平，非化石能源消费比重进一步提高，绿色低碳技术取得关键突破，绿色生活方式成为公众自觉选择，绿色低碳循环发展政策体系基本健全。到2030年，非化石能源消费比重达到25%左右，单位地区生产总值能耗和碳排放下降完成永州市下达目标，顺利实现2030年前碳达峰目标。</w:t>
      </w:r>
      <w:bookmarkStart w:id="3" w:name="_Toc22743"/>
    </w:p>
    <w:p>
      <w:pPr>
        <w:widowControl/>
        <w:shd w:val="clear" w:color="auto" w:fill="FFFFFF"/>
        <w:spacing w:line="580" w:lineRule="exact"/>
        <w:ind w:firstLine="640" w:firstLineChars="200"/>
        <w:rPr>
          <w:rFonts w:ascii="黑体" w:hAnsi="黑体" w:eastAsia="黑体" w:cs="Times New Roman"/>
          <w:bCs w:val="0"/>
          <w:color w:val="000000" w:themeColor="text1"/>
          <w:sz w:val="32"/>
          <w:szCs w:val="32"/>
        </w:rPr>
      </w:pPr>
      <w:r>
        <w:rPr>
          <w:rFonts w:hint="eastAsia" w:ascii="黑体" w:hAnsi="黑体" w:eastAsia="黑体" w:cs="Times New Roman"/>
          <w:bCs w:val="0"/>
          <w:color w:val="000000" w:themeColor="text1"/>
          <w:sz w:val="32"/>
          <w:szCs w:val="32"/>
        </w:rPr>
        <w:t>二、重点行动</w:t>
      </w:r>
      <w:bookmarkEnd w:id="3"/>
      <w:r>
        <w:rPr>
          <w:rFonts w:hint="eastAsia" w:ascii="黑体" w:hAnsi="黑体" w:eastAsia="黑体" w:cs="Times New Roman"/>
          <w:bCs w:val="0"/>
          <w:color w:val="000000" w:themeColor="text1"/>
          <w:sz w:val="32"/>
          <w:szCs w:val="32"/>
        </w:rPr>
        <w:tab/>
      </w:r>
      <w:bookmarkStart w:id="4" w:name="_Toc118117679"/>
      <w:bookmarkStart w:id="5" w:name="_Toc107998064"/>
    </w:p>
    <w:p>
      <w:pPr>
        <w:widowControl/>
        <w:shd w:val="clear" w:color="auto" w:fill="FFFFFF"/>
        <w:spacing w:line="580" w:lineRule="exact"/>
        <w:ind w:firstLine="640"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Cs w:val="0"/>
          <w:color w:val="000000" w:themeColor="text1"/>
          <w:sz w:val="32"/>
          <w:szCs w:val="32"/>
        </w:rPr>
        <w:t>重点实施能源绿色低碳转型行动、节能减污协同降碳行动、工业领域碳达峰行动、城乡建设碳达峰行动、交通运输绿色低碳行动、资源循环利用助力降碳行动、绿色低碳科技创新行动、碳汇能力巩固提升行动、绿色低碳全民行动、绿色金融支撑行动等“碳达峰十大行动”。</w:t>
      </w:r>
      <w:bookmarkStart w:id="6" w:name="_Toc19502"/>
    </w:p>
    <w:p>
      <w:pPr>
        <w:widowControl/>
        <w:shd w:val="clear" w:color="auto" w:fill="FFFFFF"/>
        <w:spacing w:line="600" w:lineRule="exact"/>
        <w:ind w:firstLine="642" w:firstLineChars="200"/>
        <w:rPr>
          <w:rFonts w:ascii="楷体_GB2312" w:hAnsi="Times New Roman" w:eastAsia="楷体_GB2312" w:cs="Times New Roman"/>
          <w:b/>
          <w:bCs w:val="0"/>
          <w:color w:val="000000" w:themeColor="text1"/>
          <w:sz w:val="32"/>
          <w:szCs w:val="32"/>
        </w:rPr>
      </w:pPr>
      <w:r>
        <w:rPr>
          <w:rFonts w:ascii="楷体_GB2312" w:hAnsi="Times New Roman" w:eastAsia="楷体_GB2312" w:cs="Times New Roman"/>
          <w:b/>
          <w:bCs w:val="0"/>
          <w:color w:val="000000" w:themeColor="text1"/>
          <w:sz w:val="32"/>
          <w:szCs w:val="32"/>
        </w:rPr>
        <w:pict>
          <v:shape id="_x0000_s1161" o:spid="_x0000_s1161" o:spt="202" type="#_x0000_t202" style="position:absolute;left:0pt;margin-left:-32.45pt;margin-top:-52.2pt;height:25.55pt;width:484.85pt;z-index:-251627520;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楷体_GB2312" w:hAnsi="Times New Roman" w:eastAsia="楷体_GB2312" w:cs="Times New Roman"/>
          <w:b/>
          <w:bCs w:val="0"/>
          <w:color w:val="000000" w:themeColor="text1"/>
          <w:sz w:val="32"/>
          <w:szCs w:val="32"/>
        </w:rPr>
        <w:t>（一）能源绿色低碳转型行动</w:t>
      </w:r>
      <w:bookmarkEnd w:id="4"/>
      <w:bookmarkEnd w:id="5"/>
      <w:bookmarkEnd w:id="6"/>
    </w:p>
    <w:p>
      <w:pPr>
        <w:widowControl/>
        <w:shd w:val="clear" w:color="auto" w:fill="FFFFFF"/>
        <w:spacing w:line="61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1.合理控制煤炭石油消费。</w:t>
      </w:r>
      <w:r>
        <w:rPr>
          <w:rFonts w:hint="eastAsia" w:ascii="仿宋_GB2312" w:hAnsi="Times New Roman" w:eastAsia="仿宋_GB2312" w:cs="Times New Roman"/>
          <w:bCs w:val="0"/>
          <w:color w:val="000000" w:themeColor="text1"/>
          <w:sz w:val="32"/>
          <w:szCs w:val="32"/>
        </w:rPr>
        <w:t>严格执行固定资产项目节能审查制度，鼓励企业采用煤炭替代方案，新建高耗能项目单位产品能耗需达到国内同类型先进水平。开展成品油行业专项整治，提高成品油质量，推进交通领域油品替代，鼓励生物液体燃料等替代传统燃油等。伴随“气化永州”工程，逐步规划实施“气化双牌”工程。逐步优化天然气利用结构，加快推广天然气在工业、交通等领域的应用，提高天然气清洁高效利用水平。到2025年，非化石能源消费比重达到22%左右，到2030年，非化石能源消费比重达到25%左右。（县发展和改革局、县交通运输局、县科技和工业信息化局等按职责分工负责）</w:t>
      </w:r>
    </w:p>
    <w:p>
      <w:pPr>
        <w:widowControl/>
        <w:shd w:val="clear" w:color="auto" w:fill="FFFFFF"/>
        <w:spacing w:line="61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2.大力推进新能源项目建设。</w:t>
      </w:r>
      <w:r>
        <w:rPr>
          <w:rFonts w:hint="eastAsia" w:ascii="仿宋_GB2312" w:hAnsi="Times New Roman" w:eastAsia="仿宋_GB2312" w:cs="Times New Roman"/>
          <w:bCs w:val="0"/>
          <w:color w:val="000000" w:themeColor="text1"/>
          <w:sz w:val="32"/>
          <w:szCs w:val="32"/>
        </w:rPr>
        <w:t>加强对接，及时掌握国家对新能源开发建设的法律法规和政策要求，全力推动双牌县新能源产业高质量发展。重点发展以水能、风能为核心的清洁能源产业，利用丰富的风能资源，发展风力发电产业，推进打鼓坪乡、江村镇、何家洞镇、上梧江瑶族乡等乡镇风力资源开发，加快何家洞风电场、柴君山风电场、打鼓坪风电场等的建设。电子信息新能源方面，推动麦克斯锂离子电池电芯产能和技术提升，引进下游配套产业，推进锂电池产业集群化等。（县发展和改革局、县水利局、市生</w:t>
      </w:r>
      <w:r>
        <w:rPr>
          <w:rFonts w:ascii="仿宋_GB2312" w:hAnsi="Times New Roman" w:eastAsia="仿宋_GB2312" w:cs="Times New Roman"/>
          <w:bCs w:val="0"/>
          <w:color w:val="000000" w:themeColor="text1"/>
          <w:sz w:val="32"/>
          <w:szCs w:val="32"/>
        </w:rPr>
        <w:pict>
          <v:shape id="_x0000_s1162" o:spid="_x0000_s1162" o:spt="202" type="#_x0000_t202" style="position:absolute;left:0pt;margin-left:-29.45pt;margin-top:-51pt;height:25.55pt;width:484.85pt;z-index:-251626496;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仿宋_GB2312" w:hAnsi="Times New Roman" w:eastAsia="仿宋_GB2312" w:cs="Times New Roman"/>
          <w:bCs w:val="0"/>
          <w:color w:val="000000" w:themeColor="text1"/>
          <w:sz w:val="32"/>
          <w:szCs w:val="32"/>
        </w:rPr>
        <w:t>态环境局双牌分局、县林业局、双牌产业开发区等按职责分工负责）</w:t>
      </w:r>
    </w:p>
    <w:p>
      <w:pPr>
        <w:widowControl/>
        <w:shd w:val="clear" w:color="auto" w:fill="FFFFFF"/>
        <w:spacing w:line="60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3.积极构建新型电力系统。</w:t>
      </w:r>
      <w:r>
        <w:rPr>
          <w:rFonts w:hint="eastAsia" w:ascii="仿宋_GB2312" w:hAnsi="Times New Roman" w:eastAsia="仿宋_GB2312" w:cs="Times New Roman"/>
          <w:bCs w:val="0"/>
          <w:color w:val="000000" w:themeColor="text1"/>
          <w:sz w:val="32"/>
          <w:szCs w:val="32"/>
        </w:rPr>
        <w:t>实施农村电网改造，开展电线线路综合治理，提高线路安全可靠运行水平。新建源头漯变电站至上梧江变电站35KV线路、石榴变电站与茅庵变电站互联10KV线路、泷泊镇良村双万伏变电站、220KV输变电工程、工业园区220KV变电站、220KV舒家塘变电站、110KV城南变电站，改造350KV茶林变电站，续建单江水库电站，推进3座电站增效扩容。加快推进湖南省双牌天子山抽水蓄能电站项目前期工作，力争2024年2月前开工建设。提质改造双牌产业开发区供电线路，合理规划城镇充电桩，智能化改造电力设施。</w:t>
      </w:r>
      <w:bookmarkStart w:id="7" w:name="_Toc118117680"/>
      <w:bookmarkStart w:id="8" w:name="_Toc107998065"/>
      <w:r>
        <w:rPr>
          <w:rFonts w:hint="eastAsia" w:ascii="仿宋_GB2312" w:hAnsi="Times New Roman" w:eastAsia="仿宋_GB2312" w:cs="Times New Roman"/>
          <w:bCs w:val="0"/>
          <w:color w:val="000000" w:themeColor="text1"/>
          <w:sz w:val="32"/>
          <w:szCs w:val="32"/>
        </w:rPr>
        <w:t>（县发展和改革局、县科技和工业信息化局、双牌产业开发区、国网湖南省电力有限公司双牌县供电分公司等按职责分工负责）</w:t>
      </w:r>
    </w:p>
    <w:p>
      <w:pPr>
        <w:widowControl/>
        <w:shd w:val="clear" w:color="auto" w:fill="FFFFFF"/>
        <w:spacing w:line="60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4.完善燃气油站设施。</w:t>
      </w:r>
      <w:r>
        <w:rPr>
          <w:rFonts w:hint="eastAsia" w:ascii="仿宋_GB2312" w:hAnsi="Times New Roman" w:eastAsia="仿宋_GB2312" w:cs="Times New Roman"/>
          <w:bCs w:val="0"/>
          <w:color w:val="000000" w:themeColor="text1"/>
          <w:sz w:val="32"/>
          <w:szCs w:val="32"/>
        </w:rPr>
        <w:t>倡导绿色低碳设计理念，进行油改气、气改电规划，规划全县天然气管网建设与中石化输气管线有效对接。建设60立方米LNG储气罐1个，增加储气能力3万立方米，强化应急储气。推动县城天然气庭院管道建设，引导居民科学安全使用天然气。推进乡镇燃气管道建设，建设燃气管道400千米，实现11个乡镇、阳明山管理局通燃气。推进麻江液化气站建设。完成双牌产业开发区供热供气综合能源配套设施建设。全县范围规划新建4个加油站。（县发展和改革局、县科</w:t>
      </w:r>
      <w:bookmarkStart w:id="48" w:name="_GoBack"/>
      <w:bookmarkEnd w:id="48"/>
      <w:r>
        <w:rPr>
          <w:rFonts w:ascii="仿宋_GB2312" w:hAnsi="Times New Roman" w:eastAsia="仿宋_GB2312" w:cs="Times New Roman"/>
          <w:bCs w:val="0"/>
          <w:color w:val="000000" w:themeColor="text1"/>
          <w:sz w:val="32"/>
          <w:szCs w:val="32"/>
        </w:rPr>
        <w:pict>
          <v:shape id="_x0000_s1163" o:spid="_x0000_s1163" o:spt="202" type="#_x0000_t202" style="position:absolute;left:0pt;margin-left:-27.05pt;margin-top:-106.65pt;height:25.55pt;width:484.85pt;z-index:-251625472;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仿宋_GB2312" w:hAnsi="Times New Roman" w:eastAsia="仿宋_GB2312" w:cs="Times New Roman"/>
          <w:bCs w:val="0"/>
          <w:color w:val="000000" w:themeColor="text1"/>
          <w:sz w:val="32"/>
          <w:szCs w:val="32"/>
        </w:rPr>
        <w:t>技和工业信息化局、县交通运输局、县城市管理和综合执法局、双牌产业开发区等按职责分工负责）</w:t>
      </w:r>
      <w:bookmarkStart w:id="9" w:name="_Toc6042"/>
    </w:p>
    <w:p>
      <w:pPr>
        <w:widowControl/>
        <w:shd w:val="clear" w:color="auto" w:fill="FFFFFF"/>
        <w:spacing w:line="600" w:lineRule="exact"/>
        <w:ind w:firstLine="642" w:firstLineChars="200"/>
        <w:rPr>
          <w:rFonts w:ascii="楷体_GB2312" w:hAnsi="Times New Roman" w:eastAsia="楷体_GB2312" w:cs="Times New Roman"/>
          <w:b/>
          <w:bCs w:val="0"/>
          <w:color w:val="000000" w:themeColor="text1"/>
          <w:sz w:val="32"/>
          <w:szCs w:val="32"/>
        </w:rPr>
      </w:pPr>
      <w:r>
        <w:rPr>
          <w:rFonts w:hint="eastAsia" w:ascii="楷体_GB2312" w:hAnsi="Times New Roman" w:eastAsia="楷体_GB2312" w:cs="Times New Roman"/>
          <w:b/>
          <w:bCs w:val="0"/>
          <w:color w:val="000000" w:themeColor="text1"/>
          <w:sz w:val="32"/>
          <w:szCs w:val="32"/>
        </w:rPr>
        <w:t>（二）节能减污协同降碳行动</w:t>
      </w:r>
      <w:bookmarkEnd w:id="7"/>
      <w:bookmarkEnd w:id="8"/>
      <w:bookmarkEnd w:id="9"/>
    </w:p>
    <w:p>
      <w:pPr>
        <w:widowControl/>
        <w:shd w:val="clear" w:color="auto" w:fill="FFFFFF"/>
        <w:spacing w:line="60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1.加强新型基础设施节能降碳。</w:t>
      </w:r>
      <w:r>
        <w:rPr>
          <w:rFonts w:hint="eastAsia" w:ascii="仿宋_GB2312" w:hAnsi="Times New Roman" w:eastAsia="仿宋_GB2312" w:cs="Times New Roman"/>
          <w:bCs w:val="0"/>
          <w:color w:val="000000" w:themeColor="text1"/>
          <w:sz w:val="32"/>
          <w:szCs w:val="32"/>
        </w:rPr>
        <w:t>优化新型基础设施布局，鼓励新建设施优先布局在可再生能源相对丰富区域。优化新型基础设施用能结构，逐步规划打造“光伏+蓄水储能”等模式，探索多样化能源供应方式，倡导使用可再生能源。推动既有建筑分区分类实施绿色节能改造，推广高效制冷、先进通风、余热利用、智能化用能控制等绿色技术，提高现有设施能源利用效率，推动新型基础设施绿色设计。（县发展和改革局、县科技和工业信息化局、县市场监督管理局等按职责分工负责）</w:t>
      </w:r>
    </w:p>
    <w:p>
      <w:pPr>
        <w:widowControl/>
        <w:shd w:val="clear" w:color="auto" w:fill="FFFFFF"/>
        <w:spacing w:line="58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2.增强节能降碳管控能力。</w:t>
      </w:r>
      <w:r>
        <w:rPr>
          <w:rFonts w:hint="eastAsia" w:ascii="仿宋_GB2312" w:hAnsi="Times New Roman" w:eastAsia="仿宋_GB2312" w:cs="Times New Roman"/>
          <w:bCs w:val="0"/>
          <w:color w:val="000000" w:themeColor="text1"/>
          <w:sz w:val="32"/>
          <w:szCs w:val="32"/>
        </w:rPr>
        <w:t>坚持节约优先，统筹做好产业布局、“三线一单”分区管控、环境准入与能耗双控政策的衔接。优化完善能耗调控及碳排放强度管控政策，分阶段、分步骤建立并实施碳排放双控制度。开展用能预算管理，严格落实节能审查制度，对项目用能和碳排放情况进行综合评价，引导能源要素合理流动和高效配置。加强能源计量和统计能力建设，推动能耗在线监测系统建设及应用，开展能耗监测预警与分析研判。适度提升并严格执行各领域、各行业能效标准，推广实施能源审计。加强节能监察队伍和能力建设，强化节能事中事后监管。（县发展和改革局、县科技和工业信息化局、县市场监督管理局等按职责分工负责）</w:t>
      </w:r>
    </w:p>
    <w:p>
      <w:pPr>
        <w:widowControl/>
        <w:shd w:val="clear" w:color="auto" w:fill="FFFFFF"/>
        <w:spacing w:line="600" w:lineRule="exact"/>
        <w:ind w:firstLine="640" w:firstLineChars="200"/>
        <w:rPr>
          <w:rFonts w:ascii="仿宋_GB2312" w:hAnsi="Times New Roman" w:eastAsia="仿宋_GB2312" w:cs="Times New Roman"/>
          <w:bCs w:val="0"/>
          <w:color w:val="000000" w:themeColor="text1"/>
          <w:sz w:val="32"/>
          <w:szCs w:val="32"/>
        </w:rPr>
      </w:pPr>
      <w:r>
        <w:rPr>
          <w:rFonts w:ascii="仿宋_GB2312" w:hAnsi="Times New Roman" w:eastAsia="仿宋_GB2312" w:cs="Times New Roman"/>
          <w:bCs w:val="0"/>
          <w:color w:val="000000" w:themeColor="text1"/>
          <w:sz w:val="32"/>
          <w:szCs w:val="32"/>
        </w:rPr>
        <w:pict>
          <v:shape id="_x0000_s1165" o:spid="_x0000_s1165" o:spt="202" type="#_x0000_t202" style="position:absolute;left:0pt;margin-left:-30.65pt;margin-top:-54.6pt;height:25.55pt;width:484.85pt;z-index:-251623424;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ascii="仿宋_GB2312" w:hAnsi="Times New Roman" w:eastAsia="仿宋_GB2312" w:cs="Times New Roman"/>
          <w:bCs w:val="0"/>
          <w:color w:val="000000" w:themeColor="text1"/>
          <w:sz w:val="32"/>
          <w:szCs w:val="32"/>
        </w:rPr>
        <w:pict>
          <v:shape id="_x0000_s1164" o:spid="_x0000_s1164" o:spt="202" type="#_x0000_t202" style="position:absolute;left:0pt;margin-left:-30.65pt;margin-top:-112.2pt;height:25.55pt;width:484.85pt;z-index:-251624448;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2023年第1-2期</w:t>
                  </w:r>
                </w:p>
                <w:p/>
              </w:txbxContent>
            </v:textbox>
          </v:shape>
        </w:pict>
      </w:r>
      <w:r>
        <w:rPr>
          <w:rFonts w:hint="eastAsia" w:ascii="仿宋_GB2312" w:hAnsi="Times New Roman" w:eastAsia="仿宋_GB2312" w:cs="Times New Roman"/>
          <w:b/>
          <w:bCs w:val="0"/>
          <w:color w:val="000000" w:themeColor="text1"/>
          <w:sz w:val="32"/>
          <w:szCs w:val="32"/>
        </w:rPr>
        <w:t>3.推进重点用能设备节能增效。</w:t>
      </w:r>
      <w:r>
        <w:rPr>
          <w:rFonts w:hint="eastAsia" w:ascii="仿宋_GB2312" w:hAnsi="Times New Roman" w:eastAsia="仿宋_GB2312" w:cs="Times New Roman"/>
          <w:bCs w:val="0"/>
          <w:color w:val="000000" w:themeColor="text1"/>
          <w:sz w:val="32"/>
          <w:szCs w:val="32"/>
        </w:rPr>
        <w:t>实施电机、变压器等能效改造提升行动，加快先进节能技术装备的引进、推广应用，持续推进能效提升，加强重点用能设备的节能审查和日常监管，新建项目主要用能设备原则上要达到能效二级及以上水平，鼓励优先选用达到国家一级能效或列入国家、省、市“重点节能低碳技术”推广目录的技术、产品或设备。同时加快设备电气化改造，提升工业电气化水平。开展设备运行监测与工况优化、精准运维、能耗监控等全生命周期管理，深入推进中小企业“上云上平台”行动，不断提升中小企业信息化水平。鼓励企业安装利用工业互联网 APP，促进企业生产管理关键环节数字化、网络化、智能化升级。加强两化融合管理体系在优势产业集群和中小企业的推广，促进企业本质贯标，打造新型能力，增强核心竞争力，推进服务业数字化转型。（县发展和改革局、县科技和工业信息化局、县财政局、县市场监督管理局等按职责分工负责）</w:t>
      </w:r>
    </w:p>
    <w:p>
      <w:pPr>
        <w:widowControl/>
        <w:shd w:val="clear" w:color="auto" w:fill="FFFFFF"/>
        <w:spacing w:line="58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4.推动公共机构节能绿色发展。</w:t>
      </w:r>
      <w:r>
        <w:rPr>
          <w:rFonts w:hint="eastAsia" w:ascii="仿宋_GB2312" w:hAnsi="Times New Roman" w:eastAsia="仿宋_GB2312" w:cs="Times New Roman"/>
          <w:bCs w:val="0"/>
          <w:color w:val="000000" w:themeColor="text1"/>
          <w:sz w:val="32"/>
          <w:szCs w:val="32"/>
        </w:rPr>
        <w:t>鼓励各级各部门将能效指标作为重要的技术指标列入设备招标文件和采购合同，并不得使用国家明令禁止和淘汰的落后工艺和设备。健全节约能源资源管理制度，强化能耗、水耗等目标管理，完成能源、资源消耗年度考核指标。实行能源资源消耗分户、分区、分项</w:t>
      </w:r>
      <w:r>
        <w:rPr>
          <w:rFonts w:ascii="仿宋_GB2312" w:hAnsi="Times New Roman" w:eastAsia="仿宋_GB2312" w:cs="Times New Roman"/>
          <w:bCs w:val="0"/>
          <w:color w:val="000000" w:themeColor="text1"/>
          <w:sz w:val="32"/>
          <w:szCs w:val="32"/>
        </w:rPr>
        <w:pict>
          <v:shape id="_x0000_s1166" o:spid="_x0000_s1166" o:spt="202" type="#_x0000_t202" style="position:absolute;left:0pt;margin-left:-31.25pt;margin-top:-34.9pt;height:25.55pt;width:484.85pt;z-index:-251622400;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仿宋_GB2312" w:hAnsi="Times New Roman" w:eastAsia="仿宋_GB2312" w:cs="Times New Roman"/>
          <w:bCs w:val="0"/>
          <w:color w:val="000000" w:themeColor="text1"/>
          <w:sz w:val="32"/>
          <w:szCs w:val="32"/>
        </w:rPr>
        <w:t>计量，建立能源资源消费统计台账，做好分析和公示。抓好《节约型机关创建工作方案》组织实施，推进绿色建筑、绿色出行、绿色食堂建设。增强干部职工节约意识、环保意识和生态意识，营造崇尚生态文明、践行绿色发展的氛围。（县机关事务服务中心、县住房和城乡建设局、县发展和改革局、县市场监督管理局等按职责分工负责）</w:t>
      </w:r>
      <w:bookmarkStart w:id="10" w:name="_Toc118117681"/>
      <w:bookmarkStart w:id="11" w:name="_Toc15528"/>
      <w:bookmarkStart w:id="12" w:name="_Toc107998066"/>
    </w:p>
    <w:p>
      <w:pPr>
        <w:widowControl/>
        <w:shd w:val="clear" w:color="auto" w:fill="FFFFFF"/>
        <w:spacing w:line="580" w:lineRule="exact"/>
        <w:ind w:firstLine="642" w:firstLineChars="200"/>
        <w:rPr>
          <w:rFonts w:ascii="楷体_GB2312" w:hAnsi="Times New Roman" w:eastAsia="楷体_GB2312" w:cs="Times New Roman"/>
          <w:b/>
          <w:bCs w:val="0"/>
          <w:color w:val="000000" w:themeColor="text1"/>
          <w:sz w:val="32"/>
          <w:szCs w:val="32"/>
        </w:rPr>
      </w:pPr>
      <w:r>
        <w:rPr>
          <w:rFonts w:hint="eastAsia" w:ascii="楷体_GB2312" w:hAnsi="Times New Roman" w:eastAsia="楷体_GB2312" w:cs="Times New Roman"/>
          <w:b/>
          <w:bCs w:val="0"/>
          <w:color w:val="000000" w:themeColor="text1"/>
          <w:sz w:val="32"/>
          <w:szCs w:val="32"/>
        </w:rPr>
        <w:t>（三）工业领域碳达峰行动</w:t>
      </w:r>
      <w:bookmarkEnd w:id="10"/>
      <w:bookmarkEnd w:id="11"/>
      <w:bookmarkEnd w:id="12"/>
    </w:p>
    <w:p>
      <w:pPr>
        <w:widowControl/>
        <w:shd w:val="clear" w:color="auto" w:fill="FFFFFF"/>
        <w:spacing w:line="58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1.深入推动冶炼行业改造升级。</w:t>
      </w:r>
      <w:r>
        <w:rPr>
          <w:rFonts w:hint="eastAsia" w:ascii="仿宋_GB2312" w:hAnsi="Times New Roman" w:eastAsia="仿宋_GB2312" w:cs="Times New Roman"/>
          <w:bCs w:val="0"/>
          <w:color w:val="000000" w:themeColor="text1"/>
          <w:sz w:val="32"/>
          <w:szCs w:val="32"/>
        </w:rPr>
        <w:t>以泷泊镇、五里牌镇、双牌产业开发区等207国道为核心的工业经济带，集中发展、管控轻工、冶炼等产业，严禁新增钢铁产能，严格落实产能置换、项目备案、环评、排污许可、能评等法律法规、政策规定。优化产业布局结构，提高淘汰标准，淘汰低效率、高能耗、高污染工艺和设备。落实国家钢铁行业碳达峰实施方案，鼓励发展高效品种钢，统筹推进减污降碳协同治理，积极发展短流程电炉炼钢，提升废钢资源回收利用水平，推行全废钢电炉工艺，加快推进钢铁企业清洁运输，支持构建钢铁生产全过程碳排放数据管理体系，参与全国碳排放权交易。鼓励钢铁企业引入产品全生命周期绿色发展理念，建立健全钢铁绿色设计产品评价体系，大力推广绿色设计产品，为下游用户提供绿色用钢解决方案，引导下游产业用钢升级，促进优质、高强、长寿命、可循环的钢铁产品应用。（县科技和工业信息化局、县发展和改革局、县财政局等按职责分工负责）</w:t>
      </w:r>
    </w:p>
    <w:p>
      <w:pPr>
        <w:widowControl/>
        <w:shd w:val="clear" w:color="auto" w:fill="FFFFFF"/>
        <w:spacing w:line="58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2.发展战略新兴企业。</w:t>
      </w:r>
      <w:r>
        <w:rPr>
          <w:rFonts w:hint="eastAsia" w:ascii="仿宋_GB2312" w:hAnsi="Times New Roman" w:eastAsia="仿宋_GB2312" w:cs="Times New Roman"/>
          <w:bCs w:val="0"/>
          <w:color w:val="000000" w:themeColor="text1"/>
          <w:sz w:val="32"/>
          <w:szCs w:val="32"/>
        </w:rPr>
        <w:t>以绿色低碳为导向，持续开展能效“领跑者”引领行动，</w:t>
      </w:r>
      <w:r>
        <w:rPr>
          <w:rFonts w:ascii="仿宋_GB2312" w:hAnsi="Times New Roman" w:eastAsia="仿宋_GB2312" w:cs="Times New Roman"/>
          <w:bCs w:val="0"/>
          <w:color w:val="000000" w:themeColor="text1"/>
          <w:sz w:val="32"/>
          <w:szCs w:val="32"/>
        </w:rPr>
        <w:pict>
          <v:shape id="_x0000_s1167" o:spid="_x0000_s1167" o:spt="202" type="#_x0000_t202" style="position:absolute;left:0pt;margin-left:-29pt;margin-top:-54pt;height:25.55pt;width:484.85pt;z-index:-251621376;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仿宋_GB2312" w:hAnsi="Times New Roman" w:eastAsia="仿宋_GB2312" w:cs="Times New Roman"/>
          <w:bCs w:val="0"/>
          <w:color w:val="000000" w:themeColor="text1"/>
          <w:sz w:val="32"/>
          <w:szCs w:val="32"/>
        </w:rPr>
        <w:t>发挥工业集中区的平台优势，引进科技含量高，符合我县条件的新兴优势工业项目。重点发展生物医药、电子信息、新材料、新能源等新兴产业。按照现行产业发展情况，积极吸纳资本、技术、人才、品牌等要素，培育壮大产业集群。依托市、县电子信息产业重点企业和项目，建立相关研发中心，学习省、市新型技术工艺并带入县中，发展壮大电子信息产业；推进一批重点生物医药项目，加速特色创新中药研发等，优先发展现代中药。依托华茂生物、金蕊实业等企业，做大金银花加工、迷迭香精油、酵素等知名品种。（县科技和工业信息化局、双牌产业开发区、县发展和改革局、县住房和城乡建设局、县财政局、县投资贸易促进事务中心等按职责分工负责）</w:t>
      </w:r>
    </w:p>
    <w:p>
      <w:pPr>
        <w:widowControl/>
        <w:shd w:val="clear" w:color="auto" w:fill="FFFFFF"/>
        <w:spacing w:line="60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3.产业集群化发展。</w:t>
      </w:r>
      <w:r>
        <w:rPr>
          <w:rFonts w:hint="eastAsia" w:ascii="仿宋_GB2312" w:hAnsi="Times New Roman" w:eastAsia="仿宋_GB2312" w:cs="Times New Roman"/>
          <w:bCs w:val="0"/>
          <w:color w:val="000000" w:themeColor="text1"/>
          <w:sz w:val="32"/>
          <w:szCs w:val="32"/>
        </w:rPr>
        <w:t>重点做好竹产业科技园。全面排查在建项目，对能效水平低于本行业能耗限额准入值的，按有关规定停工整改，推动能效水平应提尽提。科学评估拟建项目，对能耗量较大的新兴产业，支持引导企业应用绿色低碳技术，提高能效水平。加快淘汰存量项目落后产能，通过改造升级挖掘节能减排潜力。强化常态化监管，坚决拿下不符合要求的“两高”项目，加快双牌产业开发区基础设施和公共服务平台建设。（县发展和改革局、县科技和工业信息化局、双牌产业开发区等按职责分工负责）</w:t>
      </w:r>
    </w:p>
    <w:p>
      <w:pPr>
        <w:widowControl/>
        <w:shd w:val="clear" w:color="auto" w:fill="FFFFFF"/>
        <w:spacing w:line="60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4.建设工业领域智能数字化。</w:t>
      </w:r>
      <w:r>
        <w:rPr>
          <w:rFonts w:hint="eastAsia" w:ascii="仿宋_GB2312" w:hAnsi="Times New Roman" w:eastAsia="仿宋_GB2312" w:cs="Times New Roman"/>
          <w:bCs w:val="0"/>
          <w:color w:val="000000" w:themeColor="text1"/>
          <w:sz w:val="32"/>
          <w:szCs w:val="32"/>
        </w:rPr>
        <w:t>顺应新一轮科技革命趋势，充分发挥信息化驱动引领作用，以数字化培育新</w:t>
      </w:r>
      <w:r>
        <w:rPr>
          <w:rFonts w:ascii="仿宋_GB2312" w:hAnsi="Times New Roman" w:eastAsia="仿宋_GB2312" w:cs="Times New Roman"/>
          <w:bCs w:val="0"/>
          <w:color w:val="000000" w:themeColor="text1"/>
          <w:sz w:val="32"/>
          <w:szCs w:val="32"/>
        </w:rPr>
        <w:pict>
          <v:shape id="_x0000_s1168" o:spid="_x0000_s1168" o:spt="202" type="#_x0000_t202" style="position:absolute;left:0pt;margin-left:-28.4pt;margin-top:-50.4pt;height:25.55pt;width:484.85pt;z-index:-251620352;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仿宋_GB2312" w:hAnsi="Times New Roman" w:eastAsia="仿宋_GB2312" w:cs="Times New Roman"/>
          <w:bCs w:val="0"/>
          <w:color w:val="000000" w:themeColor="text1"/>
          <w:sz w:val="32"/>
          <w:szCs w:val="32"/>
        </w:rPr>
        <w:t>动能，用新动能推动绿色发展、数字化发展和绿色低碳发展深度融合，加强数字工业、数字政府建设，打造工业领域能源数据化监测，摸清工业领域能源消费底子。逐步精准把控“点”、“链”、“面”的能源消费情况及“碳排放情况”。培养本地优秀人才，引进有创作潜力的团队并培育一批自媒体创业者、互联网营销师等。积极布局在线监测平台的应用场景，推动该技术在园区管理、产业供应链管理等领域的应用。以电子信息、生物医药、新能源新材料等产业为重点，推动智能化生产。通过实施智能制造示范企业和智能制造示范车间创建行动，打造示范样板，推广应用智能数控系统和装备，建设数字化智能制造车间，带动制造业实现数字化、网络化、智能化水平提升。（县科技和工业信息化局、县发展和改革局、双牌产业开发区、县人力资源和社会保障局、县文化旅游广电体育局等按职责分工负责）</w:t>
      </w:r>
    </w:p>
    <w:p>
      <w:pPr>
        <w:widowControl/>
        <w:shd w:val="clear" w:color="auto" w:fill="FFFFFF"/>
        <w:spacing w:line="60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5.加强绿色制造体系建设。</w:t>
      </w:r>
      <w:r>
        <w:rPr>
          <w:rFonts w:hint="eastAsia" w:ascii="仿宋_GB2312" w:hAnsi="Times New Roman" w:eastAsia="仿宋_GB2312" w:cs="Times New Roman"/>
          <w:bCs w:val="0"/>
          <w:color w:val="000000" w:themeColor="text1"/>
          <w:sz w:val="32"/>
          <w:szCs w:val="32"/>
        </w:rPr>
        <w:t>以实现碳达峰、碳中和为目标导向，积极创建绿色企业、绿色产品、绿色园区、绿色工厂、绿色供应链，加快构建本地化绿色制造体系。开展绿色供应链管理，推动产品全生命周期和全产业链绿色发展。鼓励企业采用绿色建筑技术改造建设厂房，提高厂房可再生能源利用比例，加大厂房光伏建设力度。全面推广循环经济典型模式，推进节能、节水、资源综合利用等工程建设，探索形成一套可复制、可推广的绿色低碳循环发展模式。以竹木产品、生物制药、新材料、新能源等行业为重点，大力推动工业行业绿色转型，全面推进绿色制造体系建设。（县科技和工业信息化局、双牌产业开发区、县发展和改革局、市生态环境局双牌分局等按职责分工负责）</w:t>
      </w:r>
      <w:bookmarkStart w:id="13" w:name="_Toc15928"/>
      <w:bookmarkStart w:id="14" w:name="_Toc118117682"/>
      <w:bookmarkStart w:id="15" w:name="_Toc107998067"/>
    </w:p>
    <w:p>
      <w:pPr>
        <w:widowControl/>
        <w:shd w:val="clear" w:color="auto" w:fill="FFFFFF"/>
        <w:spacing w:line="600" w:lineRule="exact"/>
        <w:ind w:firstLine="640" w:firstLineChars="200"/>
        <w:rPr>
          <w:rFonts w:ascii="楷体_GB2312" w:hAnsi="Times New Roman" w:eastAsia="楷体_GB2312" w:cs="Times New Roman"/>
          <w:b/>
          <w:bCs w:val="0"/>
          <w:color w:val="000000" w:themeColor="text1"/>
          <w:sz w:val="32"/>
          <w:szCs w:val="32"/>
        </w:rPr>
      </w:pPr>
      <w:r>
        <w:rPr>
          <w:rFonts w:ascii="仿宋_GB2312" w:hAnsi="Times New Roman" w:eastAsia="仿宋_GB2312" w:cs="Times New Roman"/>
          <w:bCs w:val="0"/>
          <w:color w:val="000000" w:themeColor="text1"/>
          <w:sz w:val="32"/>
          <w:szCs w:val="32"/>
        </w:rPr>
        <w:pict>
          <v:shape id="_x0000_s1190" o:spid="_x0000_s1190" o:spt="202" type="#_x0000_t202" style="position:absolute;left:0pt;margin-left:-24.8pt;margin-top:-324.6pt;height:25.55pt;width:484.85pt;z-index:-251598848;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ascii="仿宋_GB2312" w:hAnsi="Times New Roman" w:eastAsia="仿宋_GB2312" w:cs="Times New Roman"/>
          <w:bCs w:val="0"/>
          <w:color w:val="000000" w:themeColor="text1"/>
          <w:sz w:val="32"/>
          <w:szCs w:val="32"/>
        </w:rPr>
        <w:pict>
          <v:shape id="_x0000_s1169" o:spid="_x0000_s1169" o:spt="202" type="#_x0000_t202" style="position:absolute;left:0pt;margin-left:-28.8pt;margin-top:-381.6pt;height:25.55pt;width:481.8pt;z-index:-251619328;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楷体_GB2312" w:hAnsi="Times New Roman" w:eastAsia="楷体_GB2312" w:cs="Times New Roman"/>
          <w:b/>
          <w:bCs w:val="0"/>
          <w:color w:val="000000" w:themeColor="text1"/>
          <w:sz w:val="32"/>
          <w:szCs w:val="32"/>
        </w:rPr>
        <w:t>（四）城乡建设碳达峰行动</w:t>
      </w:r>
      <w:bookmarkEnd w:id="13"/>
      <w:bookmarkEnd w:id="14"/>
      <w:bookmarkEnd w:id="15"/>
    </w:p>
    <w:p>
      <w:pPr>
        <w:widowControl/>
        <w:shd w:val="clear" w:color="auto" w:fill="FFFFFF"/>
        <w:spacing w:line="60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1.推动城乡建设一体化发展。</w:t>
      </w:r>
      <w:r>
        <w:rPr>
          <w:rFonts w:hint="eastAsia" w:ascii="仿宋_GB2312" w:hAnsi="Times New Roman" w:eastAsia="仿宋_GB2312" w:cs="Times New Roman"/>
          <w:bCs w:val="0"/>
          <w:color w:val="000000" w:themeColor="text1"/>
          <w:sz w:val="32"/>
          <w:szCs w:val="32"/>
        </w:rPr>
        <w:t>在国土空间规划中统筹划定生态保护红线、永久基本农田、城镇开发边界等，实施最严格的耕地保护制度，建立水资源刚性约束制度，建设与资源环境承载能力相匹配、重大风险防控相结合的空间格局。加强既有农房节能改造，统筹布局县城、中心镇、行政村基础设施和公共服务设施，促进城乡设施联动发展，提高镇村设施绿色建设水平。（县自然资源局、县住房和城乡建设局、县发展和改革局等按职责分工负责）</w:t>
      </w:r>
    </w:p>
    <w:p>
      <w:pPr>
        <w:widowControl/>
        <w:shd w:val="clear" w:color="auto" w:fill="FFFFFF"/>
        <w:spacing w:line="60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2.城乡建设绿色发展。</w:t>
      </w:r>
      <w:r>
        <w:rPr>
          <w:rFonts w:hint="eastAsia" w:ascii="仿宋_GB2312" w:hAnsi="Times New Roman" w:eastAsia="仿宋_GB2312" w:cs="Times New Roman"/>
          <w:bCs w:val="0"/>
          <w:color w:val="000000" w:themeColor="text1"/>
          <w:sz w:val="32"/>
          <w:szCs w:val="32"/>
        </w:rPr>
        <w:t>有条不紊实施建筑领域碳达峰、碳中和行动，全面规范绿色建筑设计、施工、运行、管理制度，鼓励建设绿色农房。推进既有建筑绿色化改造，鼓励与城镇老旧小区改造、农村危房改造、抗震加固等同步实施。开展绿色建筑、节约型机关、绿色学校、绿色医院创建行动。加强财政、金融、规划、建设等政策支持，推动高质量绿色建筑规模化发展，大力推广超低能耗建筑。落实绿色建筑统一标识制度。建立城市建筑用水、用电、用气等数据共享机制，提升建筑能耗监测能力。推动区域建筑能效提升，推广合同能源管理、合同节水管理服务模式，降低建筑运行能耗、水耗，大力推动可再生能源应用，鼓励智能光伏与绿色建筑融合创新发展。（县住房和城乡建设局、县发展和改革局、县自然资源局、县财政局等按职责分工负责）</w:t>
      </w:r>
    </w:p>
    <w:p>
      <w:pPr>
        <w:widowControl/>
        <w:shd w:val="clear" w:color="auto" w:fill="FFFFFF"/>
        <w:spacing w:line="600" w:lineRule="exact"/>
        <w:ind w:firstLine="640" w:firstLineChars="200"/>
        <w:rPr>
          <w:rFonts w:ascii="仿宋_GB2312" w:hAnsi="Times New Roman" w:eastAsia="仿宋_GB2312" w:cs="Times New Roman"/>
          <w:bCs w:val="0"/>
          <w:color w:val="000000" w:themeColor="text1"/>
          <w:sz w:val="32"/>
          <w:szCs w:val="32"/>
        </w:rPr>
      </w:pPr>
      <w:r>
        <w:rPr>
          <w:rFonts w:ascii="仿宋_GB2312" w:hAnsi="Times New Roman" w:eastAsia="仿宋_GB2312" w:cs="Times New Roman"/>
          <w:bCs w:val="0"/>
          <w:color w:val="000000" w:themeColor="text1"/>
          <w:sz w:val="32"/>
          <w:szCs w:val="32"/>
        </w:rPr>
        <w:pict>
          <v:shape id="_x0000_s1191" o:spid="_x0000_s1191" o:spt="202" type="#_x0000_t202" style="position:absolute;left:0pt;margin-left:-27.65pt;margin-top:-353.4pt;height:25.55pt;width:484.85pt;z-index:-251597824;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ascii="仿宋_GB2312" w:hAnsi="Times New Roman" w:eastAsia="仿宋_GB2312" w:cs="Times New Roman"/>
          <w:bCs w:val="0"/>
          <w:color w:val="000000" w:themeColor="text1"/>
          <w:sz w:val="32"/>
          <w:szCs w:val="32"/>
        </w:rPr>
        <w:pict>
          <v:shape id="_x0000_s1170" o:spid="_x0000_s1170" o:spt="202" type="#_x0000_t202" style="position:absolute;left:0pt;margin-left:-27.65pt;margin-top:-409.2pt;height:25.55pt;width:484.85pt;z-index:-251618304;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仿宋_GB2312" w:hAnsi="Times New Roman" w:eastAsia="仿宋_GB2312" w:cs="Times New Roman"/>
          <w:b/>
          <w:bCs w:val="0"/>
          <w:color w:val="000000" w:themeColor="text1"/>
          <w:sz w:val="32"/>
          <w:szCs w:val="32"/>
        </w:rPr>
        <w:t>3.提高城乡基础设施体系化水平。</w:t>
      </w:r>
      <w:r>
        <w:rPr>
          <w:rFonts w:hint="eastAsia" w:ascii="仿宋_GB2312" w:hAnsi="Times New Roman" w:eastAsia="仿宋_GB2312" w:cs="Times New Roman"/>
          <w:bCs w:val="0"/>
          <w:color w:val="000000" w:themeColor="text1"/>
          <w:sz w:val="32"/>
          <w:szCs w:val="32"/>
        </w:rPr>
        <w:t>提高基础设施绿色、智能、协同、安全水平。持续推动城镇污水处理提质增效，完善再生水、集蓄雨水等非常规水源利用系统，推进城镇污水管网全覆盖，建立污水处理系统运营管理长效机制。统筹推进煤改电、煤改气等，加快农村电网、天然气管网等建设改造。（县住房和城乡建设局、县发展和改革局、县城市管理和综合执法局、县财政局、国网湖南省电力有限公司双牌县供电分公司等按职责分工负责）</w:t>
      </w:r>
      <w:bookmarkStart w:id="16" w:name="_Toc118117683"/>
      <w:bookmarkStart w:id="17" w:name="_Toc4938"/>
      <w:bookmarkStart w:id="18" w:name="_Toc107998068"/>
    </w:p>
    <w:p>
      <w:pPr>
        <w:widowControl/>
        <w:shd w:val="clear" w:color="auto" w:fill="FFFFFF"/>
        <w:spacing w:line="600" w:lineRule="exact"/>
        <w:ind w:firstLine="642" w:firstLineChars="200"/>
        <w:rPr>
          <w:rFonts w:ascii="楷体_GB2312" w:hAnsi="Times New Roman" w:eastAsia="楷体_GB2312" w:cs="Times New Roman"/>
          <w:b/>
          <w:bCs w:val="0"/>
          <w:color w:val="000000" w:themeColor="text1"/>
          <w:sz w:val="32"/>
          <w:szCs w:val="32"/>
        </w:rPr>
      </w:pPr>
      <w:r>
        <w:rPr>
          <w:rFonts w:hint="eastAsia" w:ascii="楷体_GB2312" w:hAnsi="Times New Roman" w:eastAsia="楷体_GB2312" w:cs="Times New Roman"/>
          <w:b/>
          <w:bCs w:val="0"/>
          <w:color w:val="000000" w:themeColor="text1"/>
          <w:sz w:val="32"/>
          <w:szCs w:val="32"/>
        </w:rPr>
        <w:t>（五）交通运输绿色低碳行动</w:t>
      </w:r>
      <w:bookmarkEnd w:id="16"/>
      <w:bookmarkEnd w:id="17"/>
      <w:bookmarkEnd w:id="18"/>
    </w:p>
    <w:p>
      <w:pPr>
        <w:widowControl/>
        <w:shd w:val="clear" w:color="auto" w:fill="FFFFFF"/>
        <w:spacing w:line="60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1.推进交通可持续发展。</w:t>
      </w:r>
      <w:r>
        <w:rPr>
          <w:rFonts w:hint="eastAsia" w:ascii="仿宋_GB2312" w:hAnsi="Times New Roman" w:eastAsia="仿宋_GB2312" w:cs="Times New Roman"/>
          <w:bCs w:val="0"/>
          <w:color w:val="000000" w:themeColor="text1"/>
          <w:sz w:val="32"/>
          <w:szCs w:val="32"/>
        </w:rPr>
        <w:t>合理布局和建设电动汽车充换电站，大力推广混合动力汽车、新能源汽车等节能环保车型，有序推进节能环保型小客车、重型货车的应用，推动城市公共服务车辆电动化替代，确保新能源公交车更新比例达100%。着力推进综合交通、智慧交通、平安交通、绿色交通建设。同时鼓励绿色出行，改善绿色出行环境，提高绿色出行比例。完善慢行交通系统，提升步行和非机动车的出行品质，构建安全、连续和舒适的慢行交通体系。（县交通运输局、泷兴集团、县发展和改革局、县住房和城乡建设局、县交警大队等按职责分工负责）</w:t>
      </w:r>
    </w:p>
    <w:p>
      <w:pPr>
        <w:widowControl/>
        <w:shd w:val="clear" w:color="auto" w:fill="FFFFFF"/>
        <w:spacing w:line="620" w:lineRule="exact"/>
        <w:ind w:firstLine="640" w:firstLineChars="200"/>
        <w:rPr>
          <w:rFonts w:ascii="仿宋_GB2312" w:hAnsi="Times New Roman" w:eastAsia="仿宋_GB2312" w:cs="Times New Roman"/>
          <w:bCs w:val="0"/>
          <w:color w:val="000000" w:themeColor="text1"/>
          <w:sz w:val="32"/>
          <w:szCs w:val="32"/>
        </w:rPr>
      </w:pPr>
      <w:r>
        <w:rPr>
          <w:rFonts w:ascii="仿宋_GB2312" w:hAnsi="Times New Roman" w:eastAsia="仿宋_GB2312" w:cs="Times New Roman"/>
          <w:bCs w:val="0"/>
          <w:color w:val="000000" w:themeColor="text1"/>
          <w:sz w:val="32"/>
          <w:szCs w:val="32"/>
        </w:rPr>
        <w:pict>
          <v:shape id="_x0000_s1192" o:spid="_x0000_s1192" o:spt="202" type="#_x0000_t202" style="position:absolute;left:0pt;margin-left:-28.85pt;margin-top:-142.2pt;height:25.55pt;width:484.85pt;z-index:-251596800;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ascii="仿宋_GB2312" w:hAnsi="Times New Roman" w:eastAsia="仿宋_GB2312" w:cs="Times New Roman"/>
          <w:bCs w:val="0"/>
          <w:color w:val="000000" w:themeColor="text1"/>
          <w:sz w:val="32"/>
          <w:szCs w:val="32"/>
        </w:rPr>
        <w:pict>
          <v:shape id="_x0000_s1171" o:spid="_x0000_s1171" o:spt="202" type="#_x0000_t202" style="position:absolute;left:0pt;margin-left:-28.85pt;margin-top:-200.4pt;height:25.55pt;width:484.85pt;z-index:-251617280;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仿宋_GB2312" w:hAnsi="Times New Roman" w:eastAsia="仿宋_GB2312" w:cs="Times New Roman"/>
          <w:b/>
          <w:bCs w:val="0"/>
          <w:color w:val="000000" w:themeColor="text1"/>
          <w:sz w:val="32"/>
          <w:szCs w:val="32"/>
        </w:rPr>
        <w:t>2.加快低碳智慧交通基础设施建设。</w:t>
      </w:r>
      <w:bookmarkStart w:id="19" w:name="_Toc107998069"/>
      <w:bookmarkStart w:id="20" w:name="_Toc118117684"/>
      <w:r>
        <w:rPr>
          <w:rFonts w:hint="eastAsia" w:ascii="仿宋_GB2312" w:hAnsi="Times New Roman" w:eastAsia="仿宋_GB2312" w:cs="Times New Roman"/>
          <w:bCs w:val="0"/>
          <w:color w:val="000000" w:themeColor="text1"/>
          <w:sz w:val="32"/>
          <w:szCs w:val="32"/>
        </w:rPr>
        <w:t>加快新能源和清洁能源运输装备推广应用。加快推进城市公交、出租、物流配送等领域新能源汽车推广应用，新增、更新纯电动新能源公交车，新建或改建城区城市公交站点，公交站点根据城市建设同步设计、同步施工、同步验收。推广交通基础设施废旧材料、设施设备、施工材料等综合利用，鼓励废旧轮胎、工业固废、建筑废弃物在交通建设领域的规模化应用。（县交通运输局、县发展和改革局、县科技和工业信息化局、县交警大队、县市场监督管理局等按职责分工负责）</w:t>
      </w:r>
    </w:p>
    <w:p>
      <w:pPr>
        <w:widowControl/>
        <w:shd w:val="clear" w:color="auto" w:fill="FFFFFF"/>
        <w:spacing w:line="60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3.深入推进在用车辆污染治理。</w:t>
      </w:r>
      <w:r>
        <w:rPr>
          <w:rFonts w:hint="eastAsia" w:ascii="仿宋_GB2312" w:hAnsi="Times New Roman" w:eastAsia="仿宋_GB2312" w:cs="Times New Roman"/>
          <w:bCs w:val="0"/>
          <w:color w:val="000000" w:themeColor="text1"/>
          <w:sz w:val="32"/>
          <w:szCs w:val="32"/>
        </w:rPr>
        <w:t>推动全面实施汽车排放检验与维护制度，加快建立超标排放汽车闭环管理联防联控机制，强化在用汽车排放检验与维修治理。学习借鉴省、市完善道路运输车辆燃料消耗量限值准入制度。规范维修作业废气、废液、固废和危险废物存储管理，推广先进维修工艺和设备，推进汽车绿色维修。（县交通运输局、县发展和改革局、县交警大队、县市场监督管理局等按职责分工负责）</w:t>
      </w:r>
      <w:bookmarkStart w:id="21" w:name="_Toc17154"/>
    </w:p>
    <w:p>
      <w:pPr>
        <w:widowControl/>
        <w:shd w:val="clear" w:color="auto" w:fill="FFFFFF"/>
        <w:spacing w:line="600" w:lineRule="exact"/>
        <w:ind w:firstLine="642" w:firstLineChars="200"/>
        <w:rPr>
          <w:rFonts w:ascii="楷体_GB2312" w:hAnsi="Times New Roman" w:eastAsia="楷体_GB2312" w:cs="Times New Roman"/>
          <w:b/>
          <w:bCs w:val="0"/>
          <w:color w:val="000000" w:themeColor="text1"/>
          <w:sz w:val="32"/>
          <w:szCs w:val="32"/>
        </w:rPr>
      </w:pPr>
      <w:r>
        <w:rPr>
          <w:rFonts w:hint="eastAsia" w:ascii="楷体_GB2312" w:hAnsi="Times New Roman" w:eastAsia="楷体_GB2312" w:cs="Times New Roman"/>
          <w:b/>
          <w:bCs w:val="0"/>
          <w:color w:val="000000" w:themeColor="text1"/>
          <w:sz w:val="32"/>
          <w:szCs w:val="32"/>
        </w:rPr>
        <w:t>（六）资源循环利用助力降碳行动</w:t>
      </w:r>
      <w:bookmarkEnd w:id="19"/>
      <w:bookmarkEnd w:id="20"/>
      <w:bookmarkEnd w:id="21"/>
    </w:p>
    <w:p>
      <w:pPr>
        <w:widowControl/>
        <w:shd w:val="clear" w:color="auto" w:fill="FFFFFF"/>
        <w:spacing w:line="58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1.推进产业园区循环发展。</w:t>
      </w:r>
      <w:r>
        <w:rPr>
          <w:rFonts w:hint="eastAsia" w:ascii="仿宋_GB2312" w:hAnsi="Times New Roman" w:eastAsia="仿宋_GB2312" w:cs="Times New Roman"/>
          <w:bCs w:val="0"/>
          <w:color w:val="000000" w:themeColor="text1"/>
          <w:sz w:val="32"/>
          <w:szCs w:val="32"/>
        </w:rPr>
        <w:t>推进园区绿色化循环化改造，实现园区能源、水资源、土地资源高效、循环利用，拓展不同产业固废协同、能源转换、废弃物资源化再利用等功能。强化资源能源高效利用，促进废物综合利用、能量梯级利用、水资源循环使用，推进工业余压余热、废气废液的资源化利用和园区集中供气供热，建设园区公共信息服务平台。依托我县竹类资源丰富，品种繁多的优势，在做强做大竹产业发展的同时，形成双牌县特色百竹园，达到循环利用发展的效果。重点做好竹产业科技园循环改造。（双牌产业开发区、县林业局、县发展和改革局、县科技和工业信息化局、市生态环境局双牌分局、县水利局等按职责分工负责）</w:t>
      </w:r>
    </w:p>
    <w:p>
      <w:pPr>
        <w:widowControl/>
        <w:shd w:val="clear" w:color="auto" w:fill="FFFFFF"/>
        <w:spacing w:line="580" w:lineRule="exact"/>
        <w:ind w:firstLine="640" w:firstLineChars="200"/>
        <w:rPr>
          <w:rFonts w:ascii="仿宋_GB2312" w:hAnsi="Times New Roman" w:eastAsia="仿宋_GB2312" w:cs="Times New Roman"/>
          <w:bCs w:val="0"/>
          <w:color w:val="000000" w:themeColor="text1"/>
          <w:sz w:val="32"/>
          <w:szCs w:val="32"/>
        </w:rPr>
      </w:pPr>
      <w:r>
        <w:rPr>
          <w:rFonts w:ascii="仿宋_GB2312" w:hAnsi="Times New Roman" w:eastAsia="仿宋_GB2312" w:cs="Times New Roman"/>
          <w:bCs w:val="0"/>
          <w:color w:val="000000" w:themeColor="text1"/>
          <w:sz w:val="32"/>
          <w:szCs w:val="32"/>
        </w:rPr>
        <w:pict>
          <v:shape id="_x0000_s1193" o:spid="_x0000_s1193" o:spt="202" type="#_x0000_t202" style="position:absolute;left:0pt;margin-left:-27.65pt;margin-top:-579pt;height:25.55pt;width:484.85pt;z-index:-251595776;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ascii="仿宋_GB2312" w:hAnsi="Times New Roman" w:eastAsia="仿宋_GB2312" w:cs="Times New Roman"/>
          <w:bCs w:val="0"/>
          <w:color w:val="000000" w:themeColor="text1"/>
          <w:sz w:val="32"/>
          <w:szCs w:val="32"/>
        </w:rPr>
        <w:pict>
          <v:shape id="_x0000_s1172" o:spid="_x0000_s1172" o:spt="202" type="#_x0000_t202" style="position:absolute;left:0pt;margin-left:-27.65pt;margin-top:-629.8pt;height:25.55pt;width:484.85pt;z-index:-251616256;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仿宋_GB2312" w:hAnsi="Times New Roman" w:eastAsia="仿宋_GB2312" w:cs="Times New Roman"/>
          <w:b/>
          <w:bCs w:val="0"/>
          <w:color w:val="000000" w:themeColor="text1"/>
          <w:sz w:val="32"/>
          <w:szCs w:val="32"/>
        </w:rPr>
        <w:t>2.农林废弃物资源化利用。</w:t>
      </w:r>
      <w:r>
        <w:rPr>
          <w:rFonts w:hint="eastAsia" w:ascii="仿宋_GB2312" w:hAnsi="Times New Roman" w:eastAsia="仿宋_GB2312" w:cs="Times New Roman"/>
          <w:bCs w:val="0"/>
          <w:color w:val="000000" w:themeColor="text1"/>
          <w:sz w:val="32"/>
          <w:szCs w:val="32"/>
        </w:rPr>
        <w:t>加强农作物秸秆综合利用。推进秸秆“变废为宝”，以肥料化、饲料化、能源化等为重点方向展开工作，包括农村生物质能开发利用、农村沼气转型升级、生物质固体成型燃料、生物天然气规模化应用等。农林废弃物厌氧发酵后所产生的沼液、沼渣作为有机肥，减少农药、化肥施用量，持续探索农业循环经济降碳增汇路径。（县农业农村局、县发展和改革局、县市场监督管理局等按职责分工负责）</w:t>
      </w:r>
    </w:p>
    <w:p>
      <w:pPr>
        <w:widowControl/>
        <w:shd w:val="clear" w:color="auto" w:fill="FFFFFF"/>
        <w:spacing w:line="58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3.推进生活垃圾减量资源化。</w:t>
      </w:r>
      <w:r>
        <w:rPr>
          <w:rFonts w:hint="eastAsia" w:ascii="仿宋_GB2312" w:hAnsi="Times New Roman" w:eastAsia="仿宋_GB2312" w:cs="Times New Roman"/>
          <w:bCs w:val="0"/>
          <w:color w:val="000000" w:themeColor="text1"/>
          <w:sz w:val="32"/>
          <w:szCs w:val="32"/>
        </w:rPr>
        <w:t>推进塑料污染全链条治理，健全生物降解塑料、快递绿色包装、限制商品过度包装等制度。生活垃圾全部纳入环卫收运体系并实现“日产日清”，加快建立覆盖全社会的生活垃圾收运处置体系，按照“减量化、资源化、无害化”要求，实行生活垃圾减量分类，全面实现分类投放、分类收集、分类运输、分类处理，城市与农村生活垃圾全面无害化处理。全面实施城乡生活垃圾治理一体化建设，实施垃圾无害化处理厂、乡镇垃圾中转站等项目建设、乡镇生活垃圾收集及转运工程、乡村清洁工程等重大项目，建设生态宜居城乡。加强农膜污染治理，打击非标农膜下田，推进废旧农膜机械化回收，有序推广全生物降解农膜。推动快递包装绿色转型，投放可循环快递箱。加强商品过度包装治理。（县发展和改革局、县农业农村局、县城市管理和综合执法局、县市场监督管理局等按职责分工负责）</w:t>
      </w:r>
    </w:p>
    <w:p>
      <w:pPr>
        <w:widowControl/>
        <w:shd w:val="clear" w:color="auto" w:fill="FFFFFF"/>
        <w:spacing w:line="580" w:lineRule="exact"/>
        <w:ind w:firstLine="640" w:firstLineChars="200"/>
        <w:rPr>
          <w:rFonts w:ascii="仿宋_GB2312" w:hAnsi="Times New Roman" w:eastAsia="仿宋_GB2312" w:cs="Times New Roman"/>
          <w:bCs w:val="0"/>
          <w:color w:val="000000" w:themeColor="text1"/>
          <w:sz w:val="32"/>
          <w:szCs w:val="32"/>
        </w:rPr>
      </w:pPr>
      <w:r>
        <w:rPr>
          <w:rFonts w:ascii="仿宋_GB2312" w:hAnsi="Times New Roman" w:eastAsia="仿宋_GB2312" w:cs="Times New Roman"/>
          <w:bCs w:val="0"/>
          <w:color w:val="000000" w:themeColor="text1"/>
          <w:sz w:val="32"/>
          <w:szCs w:val="32"/>
        </w:rPr>
        <w:pict>
          <v:shape id="_x0000_s1194" o:spid="_x0000_s1194" o:spt="202" type="#_x0000_t202" style="position:absolute;left:0pt;margin-left:-26.45pt;margin-top:-544.6pt;height:25.55pt;width:484.85pt;z-index:-251594752;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ascii="仿宋_GB2312" w:hAnsi="Times New Roman" w:eastAsia="仿宋_GB2312" w:cs="Times New Roman"/>
          <w:bCs w:val="0"/>
          <w:color w:val="000000" w:themeColor="text1"/>
          <w:sz w:val="32"/>
          <w:szCs w:val="32"/>
        </w:rPr>
        <w:pict>
          <v:shape id="_x0000_s1173" o:spid="_x0000_s1173" o:spt="202" type="#_x0000_t202" style="position:absolute;left:0pt;margin-left:-26.45pt;margin-top:-599.6pt;height:25.55pt;width:484.85pt;z-index:-251615232;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仿宋_GB2312" w:hAnsi="Times New Roman" w:eastAsia="仿宋_GB2312" w:cs="Times New Roman"/>
          <w:b/>
          <w:bCs w:val="0"/>
          <w:color w:val="000000" w:themeColor="text1"/>
          <w:sz w:val="32"/>
          <w:szCs w:val="32"/>
        </w:rPr>
        <w:t>4.健全循环经济发展制度体系。</w:t>
      </w:r>
      <w:r>
        <w:rPr>
          <w:rFonts w:hint="eastAsia" w:ascii="仿宋_GB2312" w:hAnsi="Times New Roman" w:eastAsia="仿宋_GB2312" w:cs="Times New Roman"/>
          <w:bCs w:val="0"/>
          <w:color w:val="000000" w:themeColor="text1"/>
          <w:sz w:val="32"/>
          <w:szCs w:val="32"/>
        </w:rPr>
        <w:t>围绕助力降碳任务，部署工业、社会生活、农业三大领域重点工作。落实资源综合利用企业所得税优惠目录、资源综合利用增值税优惠目录等优惠政策，支持循环经济发展。鼓励企业绿色设计、清洁生产、再生原料、绿色包装、利废建材等。（县发展和改革局、县科技和工业信息化局、县农业农村局、市生态环境局双牌分局等按职责分工负责）</w:t>
      </w:r>
      <w:bookmarkStart w:id="22" w:name="_Toc107998070"/>
      <w:bookmarkStart w:id="23" w:name="_Toc12932"/>
      <w:bookmarkStart w:id="24" w:name="_Toc118117685"/>
    </w:p>
    <w:p>
      <w:pPr>
        <w:widowControl/>
        <w:shd w:val="clear" w:color="auto" w:fill="FFFFFF"/>
        <w:spacing w:line="580" w:lineRule="exact"/>
        <w:ind w:firstLine="642" w:firstLineChars="200"/>
        <w:rPr>
          <w:rFonts w:ascii="楷体_GB2312" w:hAnsi="Times New Roman" w:eastAsia="楷体_GB2312" w:cs="Times New Roman"/>
          <w:b/>
          <w:bCs w:val="0"/>
          <w:color w:val="000000" w:themeColor="text1"/>
          <w:sz w:val="32"/>
          <w:szCs w:val="32"/>
        </w:rPr>
      </w:pPr>
      <w:r>
        <w:rPr>
          <w:rFonts w:hint="eastAsia" w:ascii="楷体_GB2312" w:hAnsi="Times New Roman" w:eastAsia="楷体_GB2312" w:cs="Times New Roman"/>
          <w:b/>
          <w:bCs w:val="0"/>
          <w:color w:val="000000" w:themeColor="text1"/>
          <w:sz w:val="32"/>
          <w:szCs w:val="32"/>
        </w:rPr>
        <w:t>（七）绿色低碳科技创新行动</w:t>
      </w:r>
      <w:bookmarkEnd w:id="22"/>
      <w:bookmarkEnd w:id="23"/>
      <w:bookmarkEnd w:id="24"/>
    </w:p>
    <w:p>
      <w:pPr>
        <w:widowControl/>
        <w:shd w:val="clear" w:color="auto" w:fill="FFFFFF"/>
        <w:spacing w:line="58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1.建立以市场需求为导向的“政产学研资用”协同创新体系。</w:t>
      </w:r>
      <w:r>
        <w:rPr>
          <w:rFonts w:hint="eastAsia" w:ascii="仿宋_GB2312" w:hAnsi="Times New Roman" w:eastAsia="仿宋_GB2312" w:cs="Times New Roman"/>
          <w:bCs w:val="0"/>
          <w:color w:val="000000" w:themeColor="text1"/>
          <w:sz w:val="32"/>
          <w:szCs w:val="32"/>
        </w:rPr>
        <w:t>聚焦绿色低碳、减污降碳等技术研究方向，以农林精深加工、生物医药、新能源新材料等重点行业为突破，大力推动由政府、产业集团、高等院校、科研机构、金融机构和企业等多元主体共同构建“政产学研资用”相结合的区域开放创新平台，围绕重点产业关键共性技术、卡脖子技术进行联合攻关，转化推广一批先进适用技术，积累一批核心技术知识产权。大力推动省内外优质高校、科研院所与重点产业的骨干企业在双牌建设新产品中间试验的场所、科技成果转化应用基地。建立重点产业知识产权绿色通道，完善知识产权快速维权机制，健全知识产权侵权查处常态机制。（县科技和工业信息化局、县发展和改革局、县财政局等按职责分工负责）</w:t>
      </w:r>
    </w:p>
    <w:p>
      <w:pPr>
        <w:widowControl/>
        <w:shd w:val="clear" w:color="auto" w:fill="FFFFFF"/>
        <w:spacing w:line="580" w:lineRule="exact"/>
        <w:ind w:firstLine="640" w:firstLineChars="200"/>
        <w:rPr>
          <w:rFonts w:ascii="仿宋_GB2312" w:hAnsi="Times New Roman" w:eastAsia="仿宋_GB2312" w:cs="Times New Roman"/>
          <w:bCs w:val="0"/>
          <w:color w:val="000000" w:themeColor="text1"/>
          <w:sz w:val="32"/>
          <w:szCs w:val="32"/>
        </w:rPr>
      </w:pPr>
      <w:r>
        <w:rPr>
          <w:rFonts w:ascii="仿宋_GB2312" w:hAnsi="Times New Roman" w:eastAsia="仿宋_GB2312" w:cs="Times New Roman"/>
          <w:bCs w:val="0"/>
          <w:color w:val="000000" w:themeColor="text1"/>
          <w:sz w:val="32"/>
          <w:szCs w:val="32"/>
        </w:rPr>
        <w:pict>
          <v:shape id="_x0000_s1195" o:spid="_x0000_s1195" o:spt="202" type="#_x0000_t202" style="position:absolute;left:0pt;margin-left:-28.25pt;margin-top:-370.6pt;height:25.55pt;width:484.85pt;z-index:-251593728;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ascii="仿宋_GB2312" w:hAnsi="Times New Roman" w:eastAsia="仿宋_GB2312" w:cs="Times New Roman"/>
          <w:bCs w:val="0"/>
          <w:color w:val="000000" w:themeColor="text1"/>
          <w:sz w:val="32"/>
          <w:szCs w:val="32"/>
        </w:rPr>
        <w:pict>
          <v:shape id="_x0000_s1174" o:spid="_x0000_s1174" o:spt="202" type="#_x0000_t202" style="position:absolute;left:0pt;margin-left:-28.25pt;margin-top:-426.2pt;height:25.55pt;width:484.85pt;z-index:-251614208;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仿宋_GB2312" w:hAnsi="Times New Roman" w:eastAsia="仿宋_GB2312" w:cs="Times New Roman"/>
          <w:b/>
          <w:bCs w:val="0"/>
          <w:color w:val="000000" w:themeColor="text1"/>
          <w:sz w:val="32"/>
          <w:szCs w:val="32"/>
        </w:rPr>
        <w:t>2.鼓励低碳技术研发。</w:t>
      </w:r>
      <w:r>
        <w:rPr>
          <w:rFonts w:hint="eastAsia" w:ascii="仿宋_GB2312" w:hAnsi="Times New Roman" w:eastAsia="仿宋_GB2312" w:cs="Times New Roman"/>
          <w:bCs w:val="0"/>
          <w:color w:val="000000" w:themeColor="text1"/>
          <w:sz w:val="32"/>
          <w:szCs w:val="32"/>
        </w:rPr>
        <w:t>积极引导支持企业在产品设计和制造、保管和运输等方面进行绿色技术创新，不断实现产品的绿色低碳化。大力推广无毒、无害、可降解、能再生利用的材料和绿色包装生产。规划培育新能源装备高端制造业，带动风能、水能、太阳能、生物质能源等新能源开发利用，引进储能材料和蓄电池应用配套项目向高电压、高能量、高功率、高寿命、宽温度范围应用领域发展。（县科技和工业信息化局负责）</w:t>
      </w:r>
      <w:bookmarkStart w:id="25" w:name="_Toc118117686"/>
      <w:bookmarkStart w:id="26" w:name="_Toc1451"/>
      <w:bookmarkStart w:id="27" w:name="_Toc107998071"/>
    </w:p>
    <w:p>
      <w:pPr>
        <w:widowControl/>
        <w:shd w:val="clear" w:color="auto" w:fill="FFFFFF"/>
        <w:spacing w:line="580" w:lineRule="exact"/>
        <w:ind w:firstLine="642" w:firstLineChars="200"/>
        <w:rPr>
          <w:rFonts w:ascii="楷体_GB2312" w:hAnsi="Times New Roman" w:eastAsia="楷体_GB2312" w:cs="Times New Roman"/>
          <w:b/>
          <w:bCs w:val="0"/>
          <w:color w:val="000000" w:themeColor="text1"/>
          <w:sz w:val="32"/>
          <w:szCs w:val="32"/>
        </w:rPr>
      </w:pPr>
      <w:r>
        <w:rPr>
          <w:rFonts w:hint="eastAsia" w:ascii="楷体_GB2312" w:hAnsi="Times New Roman" w:eastAsia="楷体_GB2312" w:cs="Times New Roman"/>
          <w:b/>
          <w:bCs w:val="0"/>
          <w:color w:val="000000" w:themeColor="text1"/>
          <w:sz w:val="32"/>
          <w:szCs w:val="32"/>
        </w:rPr>
        <w:t>（八）碳汇能力巩固提升行动</w:t>
      </w:r>
      <w:bookmarkEnd w:id="25"/>
      <w:bookmarkEnd w:id="26"/>
      <w:bookmarkEnd w:id="27"/>
    </w:p>
    <w:p>
      <w:pPr>
        <w:widowControl/>
        <w:shd w:val="clear" w:color="auto" w:fill="FFFFFF"/>
        <w:spacing w:line="58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1.提高生态系统碳汇能力。</w:t>
      </w:r>
      <w:r>
        <w:rPr>
          <w:rFonts w:hint="eastAsia" w:ascii="仿宋_GB2312" w:hAnsi="Times New Roman" w:eastAsia="仿宋_GB2312" w:cs="Times New Roman"/>
          <w:bCs w:val="0"/>
          <w:color w:val="000000" w:themeColor="text1"/>
          <w:sz w:val="32"/>
          <w:szCs w:val="32"/>
        </w:rPr>
        <w:t>把握国家重视碳汇经济机遇，发挥我县林木蓄积量优势，加强林业森调工作，为进入全国碳汇交易平台打好基础。稳步扩大森林经营总面积，提升林业碳汇功能。开发设计符合市场需求的碳交易产品，建设林区碳交易项目库，促进我县林区经济转型发展，在全国范围内率先产生碳汇经济效益。建设国家木材战略储备林基地、杉木大径材基地、毛竹丰产林基地，发展壮大林业经济。依托县竹木产业园、双牌产业开发区，大力发展竹木加工业。研究开发竹木利用新技术，发展高端竹木制品。推动竹木加工业及中医药产业辐射华中地区，把我县建成华中地区林工产业基地。（县林业局、双牌产业开发区、县自然资源局、县发展和改革局等按职责分工负责）</w:t>
      </w:r>
    </w:p>
    <w:p>
      <w:pPr>
        <w:widowControl/>
        <w:shd w:val="clear" w:color="auto" w:fill="FFFFFF"/>
        <w:spacing w:line="600" w:lineRule="exact"/>
        <w:ind w:firstLine="640" w:firstLineChars="200"/>
        <w:rPr>
          <w:rFonts w:ascii="仿宋_GB2312" w:hAnsi="Times New Roman" w:eastAsia="仿宋_GB2312" w:cs="Times New Roman"/>
          <w:bCs w:val="0"/>
          <w:color w:val="000000" w:themeColor="text1"/>
          <w:sz w:val="32"/>
          <w:szCs w:val="32"/>
        </w:rPr>
      </w:pPr>
      <w:r>
        <w:rPr>
          <w:rFonts w:ascii="仿宋_GB2312" w:hAnsi="Times New Roman" w:eastAsia="仿宋_GB2312" w:cs="Times New Roman"/>
          <w:bCs w:val="0"/>
          <w:color w:val="000000" w:themeColor="text1"/>
          <w:sz w:val="32"/>
          <w:szCs w:val="32"/>
        </w:rPr>
        <w:pict>
          <v:shape id="_x0000_s1196" o:spid="_x0000_s1196" o:spt="202" type="#_x0000_t202" style="position:absolute;left:0pt;margin-left:-28.25pt;margin-top:-226.2pt;height:25.55pt;width:484.85pt;z-index:-251592704;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ascii="仿宋_GB2312" w:hAnsi="Times New Roman" w:eastAsia="仿宋_GB2312" w:cs="Times New Roman"/>
          <w:bCs w:val="0"/>
          <w:color w:val="000000" w:themeColor="text1"/>
          <w:sz w:val="32"/>
          <w:szCs w:val="32"/>
        </w:rPr>
        <w:pict>
          <v:shape id="_x0000_s1175" o:spid="_x0000_s1175" o:spt="202" type="#_x0000_t202" style="position:absolute;left:0pt;margin-left:-28.25pt;margin-top:-280.6pt;height:25.55pt;width:484.85pt;z-index:-251613184;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仿宋_GB2312" w:hAnsi="Times New Roman" w:eastAsia="仿宋_GB2312" w:cs="Times New Roman"/>
          <w:b/>
          <w:bCs w:val="0"/>
          <w:color w:val="000000" w:themeColor="text1"/>
          <w:sz w:val="32"/>
          <w:szCs w:val="32"/>
        </w:rPr>
        <w:t>2.打造林业碳汇先行区。</w:t>
      </w:r>
      <w:r>
        <w:rPr>
          <w:rFonts w:hint="eastAsia" w:ascii="仿宋_GB2312" w:hAnsi="Times New Roman" w:eastAsia="仿宋_GB2312" w:cs="Times New Roman"/>
          <w:bCs w:val="0"/>
          <w:color w:val="000000" w:themeColor="text1"/>
          <w:sz w:val="32"/>
          <w:szCs w:val="32"/>
        </w:rPr>
        <w:t>坚持以习近平生态文明思想为引领，进一步挖掘念好“山字经”，围绕绿水青山这一资源禀赋，紧扣县政府工作报告提出的“着力打造国家碳汇经济先行区、全国森林康养基地、中南地区林工产业基地”发展思路，服务好乡村振兴战略实施，做好资源培育、资源保护、森林康养和竹产业发展，逐步实现生态保护与开发利用统筹结合，逐步实现由林业资源大县向林业经济强县奋进，着力为人民群众提供优美的生态环境、优良的生态产品和优质的生态服务。充分利用好现有外资项目和国内森林精准提质项目的同时，利用政策性银行贷款积极争取国家战略储备林项目落户我县，采取林木资本和央企联营的方式，合作开展国家储备林建设相关工作，在提升全县森林质量的同时同步提增碳汇增量，开发利用县内碳汇资源。（县林业局、县自然资源局、县财政局、县农业农村局、县发展和改革局等按职责分工负责）</w:t>
      </w:r>
    </w:p>
    <w:p>
      <w:pPr>
        <w:widowControl/>
        <w:shd w:val="clear" w:color="auto" w:fill="FFFFFF"/>
        <w:spacing w:line="60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3.建立碳汇补偿机制。</w:t>
      </w:r>
      <w:r>
        <w:rPr>
          <w:rFonts w:hint="eastAsia" w:ascii="仿宋_GB2312" w:hAnsi="Times New Roman" w:eastAsia="仿宋_GB2312" w:cs="Times New Roman"/>
          <w:bCs w:val="0"/>
          <w:color w:val="000000" w:themeColor="text1"/>
          <w:sz w:val="32"/>
          <w:szCs w:val="32"/>
        </w:rPr>
        <w:t>建立林业碳汇生态补偿机制，制定合理补偿标准，引导社会资金进入林业碳汇。开发林业碳汇减排项目，推动林业碳汇项目的交易。在碳汇指标交易过程中，加入多种生态标签作为附加产品，丰富林业碳汇产品内涵与外延，增加筹资力度。</w:t>
      </w:r>
      <w:bookmarkStart w:id="28" w:name="_Toc118117687"/>
      <w:bookmarkStart w:id="29" w:name="_Toc107998072"/>
      <w:r>
        <w:rPr>
          <w:rFonts w:hint="eastAsia" w:ascii="仿宋_GB2312" w:hAnsi="Times New Roman" w:eastAsia="仿宋_GB2312" w:cs="Times New Roman"/>
          <w:bCs w:val="0"/>
          <w:color w:val="000000" w:themeColor="text1"/>
          <w:sz w:val="32"/>
          <w:szCs w:val="32"/>
        </w:rPr>
        <w:t>（县林业局、县自然资源局、县农业农村局等按职责分工负责）</w:t>
      </w:r>
    </w:p>
    <w:p>
      <w:pPr>
        <w:widowControl/>
        <w:shd w:val="clear" w:color="auto" w:fill="FFFFFF"/>
        <w:spacing w:line="600" w:lineRule="exact"/>
        <w:ind w:firstLine="640" w:firstLineChars="200"/>
        <w:rPr>
          <w:rFonts w:ascii="仿宋_GB2312" w:hAnsi="Times New Roman" w:eastAsia="仿宋_GB2312" w:cs="Times New Roman"/>
          <w:bCs w:val="0"/>
          <w:color w:val="000000" w:themeColor="text1"/>
          <w:sz w:val="32"/>
          <w:szCs w:val="32"/>
        </w:rPr>
      </w:pPr>
      <w:r>
        <w:rPr>
          <w:rFonts w:ascii="仿宋_GB2312" w:hAnsi="Times New Roman" w:eastAsia="仿宋_GB2312" w:cs="Times New Roman"/>
          <w:bCs w:val="0"/>
          <w:color w:val="000000" w:themeColor="text1"/>
          <w:sz w:val="32"/>
          <w:szCs w:val="32"/>
        </w:rPr>
        <w:pict>
          <v:shape id="_x0000_s1176" o:spid="_x0000_s1176" o:spt="202" type="#_x0000_t202" style="position:absolute;left:0pt;margin-left:-27.05pt;margin-top:-145.8pt;height:25.55pt;width:484.85pt;z-index:-251612160;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仿宋_GB2312" w:hAnsi="Times New Roman" w:eastAsia="仿宋_GB2312" w:cs="Times New Roman"/>
          <w:b/>
          <w:bCs w:val="0"/>
          <w:color w:val="000000" w:themeColor="text1"/>
          <w:sz w:val="32"/>
          <w:szCs w:val="32"/>
        </w:rPr>
        <w:t>4.大力发展文化和旅游产业。</w:t>
      </w:r>
      <w:r>
        <w:rPr>
          <w:rFonts w:hint="eastAsia" w:ascii="仿宋_GB2312" w:hAnsi="Times New Roman" w:eastAsia="仿宋_GB2312" w:cs="Times New Roman"/>
          <w:bCs w:val="0"/>
          <w:color w:val="000000" w:themeColor="text1"/>
          <w:sz w:val="32"/>
          <w:szCs w:val="32"/>
        </w:rPr>
        <w:t>依托双牌优越的生态资源，大力发展绿色经济。按照“打好文化旅游康养王牌”发展目标和“1147”旅游发展工作思路。围绕以旅游为统筹、推进三产融合发展，推动旅游融合，构建大旅游产业新高地。围绕“一城一带两圈 ”全域旅游发展格局，高起点、高标准抓好旅游项目，打造山水相依、人文相伴、生态相融、美丽怡人、绿色低碳的国家全域旅游示范区。（县文化旅游广电体育局、县林业局、县自然资源局等按职责分工负责）</w:t>
      </w:r>
      <w:bookmarkStart w:id="30" w:name="_Toc3616"/>
    </w:p>
    <w:p>
      <w:pPr>
        <w:widowControl/>
        <w:shd w:val="clear" w:color="auto" w:fill="FFFFFF"/>
        <w:spacing w:line="600" w:lineRule="exact"/>
        <w:ind w:firstLine="642" w:firstLineChars="200"/>
        <w:rPr>
          <w:rFonts w:ascii="楷体_GB2312" w:hAnsi="Times New Roman" w:eastAsia="楷体_GB2312" w:cs="Times New Roman"/>
          <w:b/>
          <w:bCs w:val="0"/>
          <w:color w:val="000000" w:themeColor="text1"/>
          <w:sz w:val="32"/>
          <w:szCs w:val="32"/>
        </w:rPr>
      </w:pPr>
      <w:r>
        <w:rPr>
          <w:rFonts w:hint="eastAsia" w:ascii="楷体_GB2312" w:hAnsi="Times New Roman" w:eastAsia="楷体_GB2312" w:cs="Times New Roman"/>
          <w:b/>
          <w:bCs w:val="0"/>
          <w:color w:val="000000" w:themeColor="text1"/>
          <w:sz w:val="32"/>
          <w:szCs w:val="32"/>
        </w:rPr>
        <w:t>（九）绿</w:t>
      </w:r>
      <w:r>
        <w:rPr>
          <w:rFonts w:hint="eastAsia" w:ascii="楷体_GB2312" w:hAnsi="Times New Roman" w:eastAsia="楷体_GB2312" w:cs="Times New Roman"/>
          <w:b/>
          <w:bCs w:val="0"/>
          <w:color w:val="000000" w:themeColor="text1"/>
          <w:spacing w:val="-8"/>
          <w:sz w:val="32"/>
          <w:szCs w:val="32"/>
        </w:rPr>
        <w:t>色低碳全民行动</w:t>
      </w:r>
      <w:bookmarkEnd w:id="28"/>
      <w:bookmarkEnd w:id="29"/>
      <w:bookmarkEnd w:id="30"/>
    </w:p>
    <w:p>
      <w:pPr>
        <w:widowControl/>
        <w:shd w:val="clear" w:color="auto" w:fill="FFFFFF"/>
        <w:spacing w:line="60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1.持续加强生态文明宣传教育。</w:t>
      </w:r>
      <w:r>
        <w:rPr>
          <w:rFonts w:hint="eastAsia" w:ascii="仿宋_GB2312" w:hAnsi="Times New Roman" w:eastAsia="仿宋_GB2312" w:cs="Times New Roman"/>
          <w:bCs w:val="0"/>
          <w:color w:val="000000" w:themeColor="text1"/>
          <w:sz w:val="32"/>
          <w:szCs w:val="32"/>
        </w:rPr>
        <w:t>组织开展各具特色的宣传教育活动，广泛宣传绿色低碳理念，充分调动广大人民群众参与碳达峰碳中和行动的积极性。在学前教育体系中融入绿色低碳理念，引导青少年从小树立绿色低碳环保理念。鼓励工会、妇联、团县委等群团组织依据自身职能特点，组织贴近大众的实践活动。发挥舆论监督作用，树立学习榜样，曝光反面典型，推动全社会绿色低碳发展迈上新台阶。（市生态环境局双牌分局、县教育局、县委宣传部、县发展和改革局、县融媒体中心等按职责分工负责）</w:t>
      </w:r>
    </w:p>
    <w:p>
      <w:pPr>
        <w:widowControl/>
        <w:shd w:val="clear" w:color="auto" w:fill="FFFFFF"/>
        <w:spacing w:line="60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2.积</w:t>
      </w:r>
      <w:r>
        <w:rPr>
          <w:rFonts w:hint="eastAsia" w:ascii="仿宋_GB2312" w:hAnsi="Times New Roman" w:eastAsia="仿宋_GB2312" w:cs="Times New Roman"/>
          <w:b/>
          <w:bCs w:val="0"/>
          <w:color w:val="000000" w:themeColor="text1"/>
          <w:spacing w:val="-4"/>
          <w:sz w:val="32"/>
          <w:szCs w:val="32"/>
        </w:rPr>
        <w:t>极推广绿色低碳生活方式。</w:t>
      </w:r>
      <w:r>
        <w:rPr>
          <w:rFonts w:hint="eastAsia" w:ascii="仿宋_GB2312" w:hAnsi="Times New Roman" w:eastAsia="仿宋_GB2312" w:cs="Times New Roman"/>
          <w:bCs w:val="0"/>
          <w:color w:val="000000" w:themeColor="text1"/>
          <w:spacing w:val="-4"/>
          <w:sz w:val="32"/>
          <w:szCs w:val="32"/>
        </w:rPr>
        <w:t>深化绿色家庭创建行动，引导居民优先购买使用节能节水器具，减少塑料购物袋等一次性物品使用，倡导步行、公交和共享出行方式，杜绝食品浪费，自觉实行垃圾减量分类，在衣、食、住、行各方面自觉践行简约适度、绿色低碳的生活方式。充分发挥公共机构示范引领作用，积极推进既有建筑绿色化改造，进一步加大绿色采购力度。（县委办、县政府办、县机关事务服务中心、县科技和工业信息化局、县住房和城乡建设局、县交通运输局）</w:t>
      </w:r>
    </w:p>
    <w:p>
      <w:pPr>
        <w:widowControl/>
        <w:shd w:val="clear" w:color="auto" w:fill="FFFFFF"/>
        <w:spacing w:line="600" w:lineRule="exact"/>
        <w:ind w:firstLine="624" w:firstLineChars="200"/>
        <w:rPr>
          <w:rFonts w:ascii="仿宋_GB2312" w:hAnsi="Times New Roman" w:eastAsia="仿宋_GB2312" w:cs="Times New Roman"/>
          <w:bCs w:val="0"/>
          <w:color w:val="000000" w:themeColor="text1"/>
          <w:sz w:val="32"/>
          <w:szCs w:val="32"/>
        </w:rPr>
      </w:pPr>
      <w:r>
        <w:rPr>
          <w:rFonts w:ascii="仿宋_GB2312" w:hAnsi="Times New Roman" w:eastAsia="仿宋_GB2312" w:cs="Times New Roman"/>
          <w:bCs w:val="0"/>
          <w:color w:val="000000" w:themeColor="text1"/>
          <w:spacing w:val="-4"/>
          <w:sz w:val="32"/>
          <w:szCs w:val="32"/>
        </w:rPr>
        <w:pict>
          <v:shape id="_x0000_s1177" o:spid="_x0000_s1177" o:spt="202" type="#_x0000_t202" style="position:absolute;left:0pt;margin-left:-27.05pt;margin-top:-373.6pt;height:25.55pt;width:484.85pt;z-index:-251611136;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仿宋_GB2312" w:hAnsi="Times New Roman" w:eastAsia="仿宋_GB2312" w:cs="Times New Roman"/>
          <w:b/>
          <w:bCs w:val="0"/>
          <w:color w:val="000000" w:themeColor="text1"/>
          <w:sz w:val="32"/>
          <w:szCs w:val="32"/>
        </w:rPr>
        <w:t>3.积极推进公共机构绿色办公和示范引领作用。</w:t>
      </w:r>
      <w:r>
        <w:rPr>
          <w:rFonts w:hint="eastAsia" w:ascii="仿宋_GB2312" w:hAnsi="Times New Roman" w:eastAsia="仿宋_GB2312" w:cs="Times New Roman"/>
          <w:bCs w:val="0"/>
          <w:color w:val="000000" w:themeColor="text1"/>
          <w:sz w:val="32"/>
          <w:szCs w:val="32"/>
        </w:rPr>
        <w:t>积极推进能源资源节约和循环利用，组织开展节约能源资源宣传实践活动，将节能、节水、垃圾分类等内容纳入干部职工培训体系，定期或不定期举办相关知识讲座、岗位培训等，增强干部职工节能、环保和生态意识，营造崇尚生态文明、践行绿色发展的氛围。党政机关带头践行绿色出行，带头采购节能、节水、环保、可再生、资源综合利用等绿色产品，率先形成简约适度、绿色低碳的工作和生活方式。（县政府办、县机关事务服务中心、县委党校、县人力资源和社会保障局等按职责分工负责）</w:t>
      </w:r>
    </w:p>
    <w:p>
      <w:pPr>
        <w:widowControl/>
        <w:shd w:val="clear" w:color="auto" w:fill="FFFFFF"/>
        <w:spacing w:line="60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4.引导企业自觉履行社会责任。</w:t>
      </w:r>
      <w:r>
        <w:rPr>
          <w:rFonts w:hint="eastAsia" w:ascii="仿宋_GB2312" w:hAnsi="Times New Roman" w:eastAsia="仿宋_GB2312" w:cs="Times New Roman"/>
          <w:bCs w:val="0"/>
          <w:color w:val="000000" w:themeColor="text1"/>
          <w:sz w:val="32"/>
          <w:szCs w:val="32"/>
        </w:rPr>
        <w:t>企业是碳排放的主体。要引导企业主动履行社会责任，建立健全内部绿色管理制度体系，将绿色低碳理念融入企业文化。加快构建绿色供应链体系，在绿色产品设计、绿色材料、绿色工艺、绿色设备、绿色回收、绿色包装等全流程实施工艺技术革新。鼓励企业参与绿色认证与标准体系建设，主动开展绿色产品认证，优先采用绿色工艺。（市生态环境局双牌分局、县科技和工业信息化局、双牌产业开发区、县发展和改革局等按职责分工负责）</w:t>
      </w:r>
    </w:p>
    <w:p>
      <w:pPr>
        <w:widowControl/>
        <w:shd w:val="clear" w:color="auto" w:fill="FFFFFF"/>
        <w:spacing w:line="580" w:lineRule="exact"/>
        <w:ind w:firstLine="642" w:firstLineChars="200"/>
        <w:rPr>
          <w:rFonts w:ascii="仿宋_GB2312" w:hAnsi="Times New Roman" w:eastAsia="仿宋_GB2312" w:cs="Times New Roman"/>
          <w:bCs w:val="0"/>
          <w:color w:val="000000" w:themeColor="text1"/>
          <w:sz w:val="32"/>
          <w:szCs w:val="32"/>
        </w:rPr>
      </w:pPr>
      <w:r>
        <w:rPr>
          <w:rFonts w:ascii="仿宋_GB2312" w:hAnsi="Times New Roman" w:eastAsia="仿宋_GB2312" w:cs="Times New Roman"/>
          <w:b/>
          <w:bCs w:val="0"/>
          <w:color w:val="000000" w:themeColor="text1"/>
          <w:sz w:val="32"/>
          <w:szCs w:val="32"/>
        </w:rPr>
        <w:pict>
          <v:shape id="_x0000_s1178" o:spid="_x0000_s1178" o:spt="202" type="#_x0000_t202" style="position:absolute;left:0pt;margin-left:-25.85pt;margin-top:-142.2pt;height:25.55pt;width:484.85pt;z-index:-251610112;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仿宋_GB2312" w:hAnsi="Times New Roman" w:eastAsia="仿宋_GB2312" w:cs="Times New Roman"/>
          <w:b/>
          <w:bCs w:val="0"/>
          <w:color w:val="000000" w:themeColor="text1"/>
          <w:sz w:val="32"/>
          <w:szCs w:val="32"/>
        </w:rPr>
        <w:t>5.高标准做好领导干部培训工作。</w:t>
      </w:r>
      <w:bookmarkStart w:id="31" w:name="_Toc118117688"/>
      <w:bookmarkStart w:id="32" w:name="_Toc107998073"/>
      <w:r>
        <w:rPr>
          <w:rFonts w:hint="eastAsia" w:ascii="仿宋_GB2312" w:hAnsi="Times New Roman" w:eastAsia="仿宋_GB2312" w:cs="Times New Roman"/>
          <w:bCs w:val="0"/>
          <w:color w:val="000000" w:themeColor="text1"/>
          <w:sz w:val="32"/>
          <w:szCs w:val="32"/>
        </w:rPr>
        <w:t>加强各级领导干部对碳达峰碳中和工作重要性、紧迫性、科学性、系统性的认识。将学习贯彻习近平生态文明思想作为干部教育培训的重要内容，尽快把碳达峰碳中和列入各级党政机关的学习培训计划，切实增强各级领导干部抓绿色低碳发展、推进碳达峰碳中和工作的业务素养和执政能力。（县委组织部、县人力资源和社会保障局、县委党校等按职责分工负责）</w:t>
      </w:r>
      <w:bookmarkStart w:id="33" w:name="_Toc31284"/>
    </w:p>
    <w:p>
      <w:pPr>
        <w:widowControl/>
        <w:shd w:val="clear" w:color="auto" w:fill="FFFFFF"/>
        <w:spacing w:line="580" w:lineRule="exact"/>
        <w:ind w:firstLine="642" w:firstLineChars="200"/>
        <w:rPr>
          <w:rFonts w:ascii="楷体_GB2312" w:hAnsi="Times New Roman" w:eastAsia="楷体_GB2312" w:cs="Times New Roman"/>
          <w:b/>
          <w:bCs w:val="0"/>
          <w:color w:val="000000" w:themeColor="text1"/>
          <w:sz w:val="32"/>
          <w:szCs w:val="32"/>
        </w:rPr>
      </w:pPr>
      <w:r>
        <w:rPr>
          <w:rFonts w:hint="eastAsia" w:ascii="楷体_GB2312" w:hAnsi="Times New Roman" w:eastAsia="楷体_GB2312" w:cs="Times New Roman"/>
          <w:b/>
          <w:bCs w:val="0"/>
          <w:color w:val="000000" w:themeColor="text1"/>
          <w:sz w:val="32"/>
          <w:szCs w:val="32"/>
        </w:rPr>
        <w:t>（十）绿</w:t>
      </w:r>
      <w:r>
        <w:rPr>
          <w:rFonts w:hint="eastAsia" w:ascii="楷体_GB2312" w:hAnsi="Times New Roman" w:eastAsia="楷体_GB2312" w:cs="Times New Roman"/>
          <w:b/>
          <w:bCs w:val="0"/>
          <w:color w:val="000000" w:themeColor="text1"/>
          <w:spacing w:val="-10"/>
          <w:sz w:val="32"/>
          <w:szCs w:val="32"/>
        </w:rPr>
        <w:t>色金融支撑行动</w:t>
      </w:r>
      <w:bookmarkEnd w:id="31"/>
      <w:bookmarkEnd w:id="32"/>
      <w:bookmarkEnd w:id="33"/>
    </w:p>
    <w:p>
      <w:pPr>
        <w:widowControl/>
        <w:shd w:val="clear" w:color="auto" w:fill="FFFFFF"/>
        <w:spacing w:line="58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1.金融支持绿色产业发展。</w:t>
      </w:r>
      <w:r>
        <w:rPr>
          <w:rFonts w:hint="eastAsia" w:ascii="仿宋_GB2312" w:hAnsi="Times New Roman" w:eastAsia="仿宋_GB2312" w:cs="Times New Roman"/>
          <w:bCs w:val="0"/>
          <w:color w:val="000000" w:themeColor="text1"/>
          <w:sz w:val="32"/>
          <w:szCs w:val="32"/>
        </w:rPr>
        <w:t>提高双牌县金融机构政治站位，结合实际，持续推进金融暖春行动、“1+N”政银企对接机制，加大对环境治理和节能、减排、低碳环保等绿色产业的信贷投入，重点支持清洁能源设施建设和运营、污染治理、生态修护、资源循环利用、绿色交通、环境基础设施等项目，着力构建资源节约、环境友好的经济体系。（县财政局、人民银行双牌支行、县政府办（金融办）、县发展和改革局等按职责分工负责）</w:t>
      </w:r>
    </w:p>
    <w:p>
      <w:pPr>
        <w:widowControl/>
        <w:shd w:val="clear" w:color="auto" w:fill="FFFFFF"/>
        <w:spacing w:line="600" w:lineRule="exact"/>
        <w:ind w:firstLine="642"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
          <w:bCs w:val="0"/>
          <w:color w:val="000000" w:themeColor="text1"/>
          <w:sz w:val="32"/>
          <w:szCs w:val="32"/>
        </w:rPr>
        <w:t>2.大力发展绿色信贷业务。</w:t>
      </w:r>
      <w:r>
        <w:rPr>
          <w:rFonts w:hint="eastAsia" w:ascii="仿宋_GB2312" w:hAnsi="Times New Roman" w:eastAsia="仿宋_GB2312" w:cs="Times New Roman"/>
          <w:bCs w:val="0"/>
          <w:color w:val="000000" w:themeColor="text1"/>
          <w:sz w:val="32"/>
          <w:szCs w:val="32"/>
        </w:rPr>
        <w:t>引导金融机构对县域绿色产业农村土地综合治理、风力发电设施建设和运营、太阳能利用设施建设和运营、城镇污水处理厂污泥综合利用、城乡生活垃圾综合利用等绿色低碳项目，提供长期限、低成本资金的绿色信贷，鼓励开放性政策性金融机构按照市场化法治化原则为碳达峰行动提供长期稳定融资支持。（县财政局、人民银行双牌支行、县发展和改革局等按职责分工负责）</w:t>
      </w:r>
    </w:p>
    <w:p>
      <w:pPr>
        <w:widowControl/>
        <w:shd w:val="clear" w:color="auto" w:fill="FFFFFF"/>
        <w:spacing w:line="600" w:lineRule="exact"/>
        <w:ind w:firstLine="642" w:firstLineChars="200"/>
        <w:rPr>
          <w:rFonts w:ascii="仿宋_GB2312" w:hAnsi="Times New Roman" w:eastAsia="仿宋_GB2312" w:cs="Times New Roman"/>
          <w:bCs w:val="0"/>
          <w:color w:val="000000" w:themeColor="text1"/>
          <w:sz w:val="32"/>
          <w:szCs w:val="32"/>
        </w:rPr>
      </w:pPr>
      <w:r>
        <w:rPr>
          <w:rFonts w:ascii="仿宋_GB2312" w:hAnsi="Times New Roman" w:eastAsia="仿宋_GB2312" w:cs="Times New Roman"/>
          <w:b/>
          <w:bCs w:val="0"/>
          <w:color w:val="000000" w:themeColor="text1"/>
          <w:sz w:val="32"/>
          <w:szCs w:val="32"/>
        </w:rPr>
        <w:pict>
          <v:shape id="_x0000_s1179" o:spid="_x0000_s1179" o:spt="202" type="#_x0000_t202" style="position:absolute;left:0pt;margin-left:-25.25pt;margin-top:-174.6pt;height:25.55pt;width:484.85pt;z-index:-251609088;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仿宋_GB2312" w:hAnsi="Times New Roman" w:eastAsia="仿宋_GB2312" w:cs="Times New Roman"/>
          <w:b/>
          <w:bCs w:val="0"/>
          <w:color w:val="000000" w:themeColor="text1"/>
          <w:sz w:val="32"/>
          <w:szCs w:val="32"/>
        </w:rPr>
        <w:t>3.健全金融机构环境信息披露制度</w:t>
      </w:r>
      <w:bookmarkStart w:id="34" w:name="_Toc118117689"/>
      <w:r>
        <w:rPr>
          <w:rFonts w:hint="eastAsia" w:ascii="仿宋_GB2312" w:hAnsi="Times New Roman" w:eastAsia="仿宋_GB2312" w:cs="Times New Roman"/>
          <w:b/>
          <w:bCs w:val="0"/>
          <w:color w:val="000000" w:themeColor="text1"/>
          <w:sz w:val="32"/>
          <w:szCs w:val="32"/>
        </w:rPr>
        <w:t>。</w:t>
      </w:r>
      <w:r>
        <w:rPr>
          <w:rFonts w:hint="eastAsia" w:ascii="仿宋_GB2312" w:hAnsi="Times New Roman" w:eastAsia="仿宋_GB2312" w:cs="Times New Roman"/>
          <w:bCs w:val="0"/>
          <w:color w:val="000000" w:themeColor="text1"/>
          <w:sz w:val="32"/>
          <w:szCs w:val="32"/>
        </w:rPr>
        <w:t>以“健全披露规范要求、提升披露质量和效率、建立协调监督机制”为工作思路，分阶段、有重点、可持续地推进双牌县金融机构环境信息披露相关工作。通过环境信息披露强化金融机构绿色经营理念，提升气候环境相关金融风险管理水平，提升绿色金融服务能力与效率，将更多资金配置到绿色低碳领域，充分发挥金融机构的资金中介导向作用，推动市场经济活动低碳转型。（县财政局、县政府办（金融办）、人民银行双牌支行、县发展和改革局等按职责分工负责）</w:t>
      </w:r>
      <w:bookmarkStart w:id="35" w:name="_Toc17419"/>
    </w:p>
    <w:p>
      <w:pPr>
        <w:widowControl/>
        <w:shd w:val="clear" w:color="auto" w:fill="FFFFFF"/>
        <w:spacing w:line="600" w:lineRule="exact"/>
        <w:ind w:firstLine="640" w:firstLineChars="200"/>
        <w:rPr>
          <w:rFonts w:ascii="黑体" w:hAnsi="黑体" w:eastAsia="黑体" w:cs="Times New Roman"/>
          <w:bCs w:val="0"/>
          <w:color w:val="000000" w:themeColor="text1"/>
          <w:sz w:val="32"/>
          <w:szCs w:val="32"/>
        </w:rPr>
      </w:pPr>
      <w:r>
        <w:rPr>
          <w:rFonts w:hint="eastAsia" w:ascii="黑体" w:hAnsi="黑体" w:eastAsia="黑体" w:cs="Times New Roman"/>
          <w:bCs w:val="0"/>
          <w:color w:val="000000" w:themeColor="text1"/>
          <w:sz w:val="32"/>
          <w:szCs w:val="32"/>
        </w:rPr>
        <w:t>三、政策保障</w:t>
      </w:r>
      <w:bookmarkEnd w:id="34"/>
      <w:bookmarkEnd w:id="35"/>
      <w:r>
        <w:rPr>
          <w:rFonts w:hint="eastAsia" w:ascii="黑体" w:hAnsi="黑体" w:eastAsia="黑体" w:cs="Times New Roman"/>
          <w:bCs w:val="0"/>
          <w:color w:val="000000" w:themeColor="text1"/>
          <w:sz w:val="32"/>
          <w:szCs w:val="32"/>
        </w:rPr>
        <w:tab/>
      </w:r>
      <w:bookmarkStart w:id="36" w:name="_Toc107998075"/>
      <w:bookmarkStart w:id="37" w:name="_Toc8451"/>
      <w:bookmarkStart w:id="38" w:name="_Toc118117690"/>
    </w:p>
    <w:p>
      <w:pPr>
        <w:widowControl/>
        <w:shd w:val="clear" w:color="auto" w:fill="FFFFFF"/>
        <w:spacing w:line="600" w:lineRule="exact"/>
        <w:ind w:firstLine="642" w:firstLineChars="200"/>
        <w:rPr>
          <w:rFonts w:ascii="楷体_GB2312" w:hAnsi="Times New Roman" w:eastAsia="楷体_GB2312" w:cs="Times New Roman"/>
          <w:b/>
          <w:bCs w:val="0"/>
          <w:color w:val="000000" w:themeColor="text1"/>
          <w:sz w:val="32"/>
          <w:szCs w:val="32"/>
        </w:rPr>
      </w:pPr>
      <w:r>
        <w:rPr>
          <w:rFonts w:hint="eastAsia" w:ascii="楷体_GB2312" w:hAnsi="Times New Roman" w:eastAsia="楷体_GB2312" w:cs="Times New Roman"/>
          <w:b/>
          <w:bCs w:val="0"/>
          <w:color w:val="000000" w:themeColor="text1"/>
          <w:sz w:val="32"/>
          <w:szCs w:val="32"/>
        </w:rPr>
        <w:t>（一）完</w:t>
      </w:r>
      <w:r>
        <w:rPr>
          <w:rFonts w:hint="eastAsia" w:ascii="楷体_GB2312" w:hAnsi="Times New Roman" w:eastAsia="楷体_GB2312" w:cs="Times New Roman"/>
          <w:b/>
          <w:bCs w:val="0"/>
          <w:color w:val="000000" w:themeColor="text1"/>
          <w:spacing w:val="-10"/>
          <w:sz w:val="32"/>
          <w:szCs w:val="32"/>
        </w:rPr>
        <w:t>善能源计量体系</w:t>
      </w:r>
      <w:bookmarkEnd w:id="36"/>
      <w:bookmarkEnd w:id="37"/>
      <w:bookmarkEnd w:id="38"/>
      <w:bookmarkStart w:id="39" w:name="_Toc107998076"/>
      <w:bookmarkStart w:id="40" w:name="_Toc118117691"/>
    </w:p>
    <w:p>
      <w:pPr>
        <w:widowControl/>
        <w:shd w:val="clear" w:color="auto" w:fill="FFFFFF"/>
        <w:spacing w:line="600" w:lineRule="exact"/>
        <w:ind w:firstLine="640"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Cs w:val="0"/>
          <w:color w:val="000000" w:themeColor="text1"/>
          <w:sz w:val="32"/>
          <w:szCs w:val="32"/>
        </w:rPr>
        <w:t>建立重点行业、重点排放单位碳排放基础统计报表制度，完善能源消费计量、统计监测体系。推动行业、园区、企业建立能源、资源消耗、污染排放等动态台账，提高统计的准确性和及时性。建立健全碳排放统计核算人员业务培训机制，加强统计队伍建设和信息化体系建设。</w:t>
      </w:r>
      <w:bookmarkStart w:id="41" w:name="_Toc27799"/>
    </w:p>
    <w:p>
      <w:pPr>
        <w:widowControl/>
        <w:shd w:val="clear" w:color="auto" w:fill="FFFFFF"/>
        <w:spacing w:line="600" w:lineRule="exact"/>
        <w:ind w:firstLine="642" w:firstLineChars="200"/>
        <w:rPr>
          <w:rFonts w:ascii="楷体_GB2312" w:hAnsi="Times New Roman" w:eastAsia="楷体_GB2312" w:cs="Times New Roman"/>
          <w:b/>
          <w:bCs w:val="0"/>
          <w:color w:val="000000" w:themeColor="text1"/>
          <w:sz w:val="32"/>
          <w:szCs w:val="32"/>
        </w:rPr>
      </w:pPr>
      <w:r>
        <w:rPr>
          <w:rFonts w:hint="eastAsia" w:ascii="楷体_GB2312" w:hAnsi="Times New Roman" w:eastAsia="楷体_GB2312" w:cs="Times New Roman"/>
          <w:b/>
          <w:bCs w:val="0"/>
          <w:color w:val="000000" w:themeColor="text1"/>
          <w:sz w:val="32"/>
          <w:szCs w:val="32"/>
        </w:rPr>
        <w:t>（二）健</w:t>
      </w:r>
      <w:r>
        <w:rPr>
          <w:rFonts w:hint="eastAsia" w:ascii="楷体_GB2312" w:hAnsi="Times New Roman" w:eastAsia="楷体_GB2312" w:cs="Times New Roman"/>
          <w:b/>
          <w:bCs w:val="0"/>
          <w:color w:val="000000" w:themeColor="text1"/>
          <w:spacing w:val="-10"/>
          <w:sz w:val="32"/>
          <w:szCs w:val="32"/>
        </w:rPr>
        <w:t>全</w:t>
      </w:r>
      <w:bookmarkEnd w:id="39"/>
      <w:bookmarkEnd w:id="40"/>
      <w:bookmarkEnd w:id="41"/>
      <w:r>
        <w:rPr>
          <w:rFonts w:hint="eastAsia" w:ascii="楷体_GB2312" w:hAnsi="Times New Roman" w:eastAsia="楷体_GB2312" w:cs="Times New Roman"/>
          <w:b/>
          <w:bCs w:val="0"/>
          <w:color w:val="000000" w:themeColor="text1"/>
          <w:spacing w:val="-10"/>
          <w:sz w:val="32"/>
          <w:szCs w:val="32"/>
        </w:rPr>
        <w:t>政策制度体系</w:t>
      </w:r>
      <w:bookmarkStart w:id="42" w:name="_Toc118117692"/>
      <w:bookmarkStart w:id="43" w:name="_Toc107998077"/>
    </w:p>
    <w:p>
      <w:pPr>
        <w:widowControl/>
        <w:shd w:val="clear" w:color="auto" w:fill="FFFFFF"/>
        <w:spacing w:line="600" w:lineRule="exact"/>
        <w:ind w:firstLine="640"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Cs w:val="0"/>
          <w:color w:val="000000" w:themeColor="text1"/>
          <w:sz w:val="32"/>
          <w:szCs w:val="32"/>
        </w:rPr>
        <w:t>完善双牌县重点用能单位节能管理、能源审计管理办法，完善政府绿色采购标准，强化能源消费总量和强度“双控”制度、煤炭消费总量控制制度。提高节能减碳要求，完善重点行业能耗限额、产品设备能效和工程建设管理办法。</w:t>
      </w:r>
      <w:bookmarkStart w:id="44" w:name="_Toc27795"/>
    </w:p>
    <w:p>
      <w:pPr>
        <w:widowControl/>
        <w:shd w:val="clear" w:color="auto" w:fill="FFFFFF"/>
        <w:spacing w:line="600" w:lineRule="exact"/>
        <w:ind w:firstLine="642" w:firstLineChars="200"/>
        <w:rPr>
          <w:rFonts w:ascii="楷体_GB2312" w:hAnsi="Times New Roman" w:eastAsia="楷体_GB2312" w:cs="Times New Roman"/>
          <w:b/>
          <w:bCs w:val="0"/>
          <w:color w:val="000000" w:themeColor="text1"/>
          <w:sz w:val="32"/>
          <w:szCs w:val="32"/>
        </w:rPr>
      </w:pPr>
      <w:r>
        <w:rPr>
          <w:rFonts w:hint="eastAsia" w:ascii="楷体_GB2312" w:hAnsi="Times New Roman" w:eastAsia="楷体_GB2312" w:cs="Times New Roman"/>
          <w:b/>
          <w:bCs w:val="0"/>
          <w:color w:val="000000" w:themeColor="text1"/>
          <w:sz w:val="32"/>
          <w:szCs w:val="32"/>
        </w:rPr>
        <w:t>（三）完善经济政策</w:t>
      </w:r>
      <w:bookmarkEnd w:id="42"/>
      <w:bookmarkEnd w:id="43"/>
      <w:bookmarkEnd w:id="44"/>
      <w:bookmarkStart w:id="45" w:name="_Toc107998078"/>
      <w:bookmarkStart w:id="46" w:name="_Toc118117693"/>
    </w:p>
    <w:p>
      <w:pPr>
        <w:widowControl/>
        <w:shd w:val="clear" w:color="auto" w:fill="FFFFFF"/>
        <w:spacing w:line="570" w:lineRule="exact"/>
        <w:ind w:firstLine="640" w:firstLineChars="200"/>
        <w:rPr>
          <w:rFonts w:ascii="仿宋_GB2312" w:hAnsi="Times New Roman" w:eastAsia="仿宋_GB2312" w:cs="Times New Roman"/>
          <w:bCs w:val="0"/>
          <w:color w:val="000000" w:themeColor="text1"/>
          <w:sz w:val="32"/>
          <w:szCs w:val="32"/>
        </w:rPr>
      </w:pPr>
      <w:r>
        <w:rPr>
          <w:rFonts w:ascii="仿宋_GB2312" w:hAnsi="Times New Roman" w:eastAsia="仿宋_GB2312" w:cs="Times New Roman"/>
          <w:bCs w:val="0"/>
          <w:color w:val="000000" w:themeColor="text1"/>
          <w:sz w:val="32"/>
          <w:szCs w:val="32"/>
        </w:rPr>
        <w:pict>
          <v:shape id="_x0000_s1188" o:spid="_x0000_s1188" o:spt="202" type="#_x0000_t202" style="position:absolute;left:0pt;margin-left:-28.85pt;margin-top:-54pt;height:25.55pt;width:484.85pt;z-index:-251599872;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县人民政府文件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仿宋_GB2312" w:hAnsi="Times New Roman" w:eastAsia="仿宋_GB2312" w:cs="Times New Roman"/>
          <w:bCs w:val="0"/>
          <w:color w:val="000000" w:themeColor="text1"/>
          <w:sz w:val="32"/>
          <w:szCs w:val="32"/>
        </w:rPr>
        <w:t>加大对绿色低碳循环产业、技术研发应用等的财税支持力度。利用好现有节能、环保类相关专项资金，加大对碳达峰重大行动、重大工程、试点示范、能力建设、绿色制造企业的支持力度。有序推进绿色低碳金融产品和服务开发，引导银行金融机构加大绿色信贷投放力度。开发绿色车贷、绿色消费贷等零售类金融产品，推进碳排放权、排污权等担保方式创新，全方位提升绿色金融供给水平。</w:t>
      </w:r>
      <w:bookmarkStart w:id="47" w:name="_Toc26084"/>
    </w:p>
    <w:p>
      <w:pPr>
        <w:widowControl/>
        <w:shd w:val="clear" w:color="auto" w:fill="FFFFFF"/>
        <w:spacing w:line="580" w:lineRule="exact"/>
        <w:ind w:firstLine="642" w:firstLineChars="200"/>
        <w:rPr>
          <w:rFonts w:ascii="楷体_GB2312" w:hAnsi="Times New Roman" w:eastAsia="楷体_GB2312" w:cs="Times New Roman"/>
          <w:b/>
          <w:bCs w:val="0"/>
          <w:color w:val="000000" w:themeColor="text1"/>
          <w:sz w:val="32"/>
          <w:szCs w:val="32"/>
        </w:rPr>
      </w:pPr>
      <w:r>
        <w:rPr>
          <w:rFonts w:hint="eastAsia" w:ascii="楷体_GB2312" w:hAnsi="Times New Roman" w:eastAsia="楷体_GB2312" w:cs="Times New Roman"/>
          <w:b/>
          <w:bCs w:val="0"/>
          <w:color w:val="000000" w:themeColor="text1"/>
          <w:sz w:val="32"/>
          <w:szCs w:val="32"/>
        </w:rPr>
        <w:t>（四）健全市场化机制</w:t>
      </w:r>
      <w:bookmarkEnd w:id="45"/>
      <w:bookmarkEnd w:id="46"/>
      <w:bookmarkEnd w:id="47"/>
    </w:p>
    <w:p>
      <w:pPr>
        <w:widowControl/>
        <w:shd w:val="clear" w:color="auto" w:fill="FFFFFF"/>
        <w:spacing w:line="580" w:lineRule="exact"/>
        <w:ind w:firstLine="640" w:firstLineChars="200"/>
        <w:rPr>
          <w:rFonts w:ascii="仿宋_GB2312" w:hAnsi="Times New Roman" w:eastAsia="仿宋_GB2312" w:cs="Times New Roman"/>
          <w:bCs w:val="0"/>
          <w:color w:val="000000" w:themeColor="text1"/>
          <w:sz w:val="32"/>
          <w:szCs w:val="32"/>
        </w:rPr>
      </w:pPr>
      <w:r>
        <w:rPr>
          <w:rFonts w:hint="eastAsia" w:ascii="仿宋_GB2312" w:hAnsi="Times New Roman" w:eastAsia="仿宋_GB2312" w:cs="Times New Roman"/>
          <w:bCs w:val="0"/>
          <w:color w:val="000000" w:themeColor="text1"/>
          <w:sz w:val="32"/>
          <w:szCs w:val="32"/>
        </w:rPr>
        <w:t>积极参与碳市场建设，做好重点企业碳排放数据核查复查、配额分配、监督履约等工作。升级改造现有的信贷管理系统和金融普惠信息采集系统的功能，嵌入能反映企业能耗高低的指标，完善绿色小微企业或其他绿色产业等融资项目的环境效益测算数据分析功能。支持碳排放减排量项目开发，鼓励清洁能源、节能技改、林业碳汇等途径的低碳减排，为碳市场注入活力。</w:t>
      </w:r>
    </w:p>
    <w:p>
      <w:pPr>
        <w:spacing w:line="600" w:lineRule="exact"/>
        <w:ind w:left="102" w:firstLine="640" w:firstLineChars="200"/>
        <w:rPr>
          <w:rFonts w:ascii="仿宋_GB2312" w:hAnsi="仿宋" w:eastAsia="仿宋_GB2312" w:cs="仿宋"/>
          <w:color w:val="000000" w:themeColor="text1"/>
          <w:sz w:val="32"/>
          <w:szCs w:val="30"/>
        </w:rPr>
      </w:pPr>
      <w:r>
        <w:rPr>
          <w:rFonts w:hint="eastAsia" w:ascii="仿宋_GB2312" w:hAnsi="仿宋" w:eastAsia="仿宋_GB2312" w:cs="仿宋"/>
          <w:color w:val="000000" w:themeColor="text1"/>
          <w:sz w:val="32"/>
          <w:szCs w:val="30"/>
        </w:rPr>
        <w:t>本方案自公布之日起施行，有效期5年。</w:t>
      </w:r>
    </w:p>
    <w:p>
      <w:pPr>
        <w:spacing w:line="600" w:lineRule="exact"/>
        <w:ind w:left="102" w:firstLine="320" w:firstLineChars="100"/>
        <w:rPr>
          <w:rFonts w:ascii="仿宋_GB2312" w:hAnsi="仿宋" w:eastAsia="仿宋_GB2312" w:cs="仿宋"/>
          <w:color w:val="000000" w:themeColor="text1"/>
          <w:sz w:val="32"/>
          <w:szCs w:val="30"/>
        </w:rPr>
        <w:sectPr>
          <w:type w:val="continuous"/>
          <w:pgSz w:w="11906" w:h="16838"/>
          <w:pgMar w:top="1440" w:right="1800" w:bottom="1440" w:left="1800" w:header="851" w:footer="992" w:gutter="0"/>
          <w:pgNumType w:fmt="numberInDash"/>
          <w:cols w:equalWidth="0" w:num="2">
            <w:col w:w="3940" w:space="425"/>
            <w:col w:w="3940"/>
          </w:cols>
          <w:docGrid w:type="lines" w:linePitch="312" w:charSpace="0"/>
        </w:sectPr>
      </w:pPr>
    </w:p>
    <w:p>
      <w:pPr>
        <w:spacing w:line="600" w:lineRule="exact"/>
        <w:ind w:left="102" w:firstLine="320" w:firstLineChars="100"/>
        <w:rPr>
          <w:rFonts w:ascii="仿宋_GB2312" w:hAnsi="仿宋" w:eastAsia="仿宋_GB2312" w:cs="仿宋"/>
          <w:color w:val="000000" w:themeColor="text1"/>
          <w:sz w:val="32"/>
          <w:szCs w:val="30"/>
        </w:rPr>
      </w:pPr>
    </w:p>
    <w:p>
      <w:pPr>
        <w:spacing w:line="600" w:lineRule="exact"/>
        <w:ind w:left="102" w:firstLine="320" w:firstLineChars="100"/>
        <w:rPr>
          <w:rFonts w:ascii="仿宋_GB2312" w:hAnsi="仿宋" w:eastAsia="仿宋_GB2312" w:cs="仿宋"/>
          <w:color w:val="000000" w:themeColor="text1"/>
          <w:sz w:val="32"/>
          <w:szCs w:val="30"/>
        </w:rPr>
      </w:pPr>
    </w:p>
    <w:p>
      <w:pPr>
        <w:spacing w:line="600" w:lineRule="exact"/>
        <w:ind w:left="102" w:firstLine="320" w:firstLineChars="100"/>
        <w:rPr>
          <w:rFonts w:ascii="仿宋_GB2312" w:hAnsi="仿宋" w:eastAsia="仿宋_GB2312" w:cs="仿宋"/>
          <w:color w:val="000000" w:themeColor="text1"/>
          <w:sz w:val="32"/>
          <w:szCs w:val="30"/>
        </w:rPr>
      </w:pPr>
    </w:p>
    <w:p>
      <w:pPr>
        <w:spacing w:line="600" w:lineRule="exact"/>
        <w:ind w:left="102" w:firstLine="320" w:firstLineChars="100"/>
        <w:rPr>
          <w:rFonts w:ascii="仿宋_GB2312" w:hAnsi="仿宋" w:eastAsia="仿宋_GB2312" w:cs="仿宋"/>
          <w:color w:val="000000" w:themeColor="text1"/>
          <w:sz w:val="32"/>
          <w:szCs w:val="30"/>
        </w:rPr>
      </w:pPr>
    </w:p>
    <w:p>
      <w:pPr>
        <w:pStyle w:val="2"/>
      </w:pPr>
    </w:p>
    <w:p/>
    <w:p>
      <w:pPr>
        <w:spacing w:line="600" w:lineRule="exact"/>
        <w:ind w:left="102" w:firstLine="320" w:firstLineChars="100"/>
        <w:rPr>
          <w:rFonts w:ascii="仿宋_GB2312" w:hAnsi="仿宋" w:eastAsia="仿宋_GB2312" w:cs="仿宋"/>
          <w:color w:val="000000" w:themeColor="text1"/>
          <w:sz w:val="32"/>
          <w:szCs w:val="30"/>
        </w:rPr>
      </w:pPr>
    </w:p>
    <w:p>
      <w:pPr>
        <w:pStyle w:val="2"/>
        <w:spacing w:after="0" w:line="320" w:lineRule="exact"/>
        <w:jc w:val="center"/>
        <w:rPr>
          <w:rFonts w:ascii="方正大标宋_GBK" w:hAnsi="宋体" w:eastAsia="方正大标宋_GBK" w:cs="宋体"/>
          <w:color w:val="000000"/>
          <w:sz w:val="40"/>
          <w:szCs w:val="40"/>
        </w:rPr>
      </w:pPr>
    </w:p>
    <w:p>
      <w:pPr>
        <w:spacing w:line="260" w:lineRule="exact"/>
      </w:pPr>
    </w:p>
    <w:p>
      <w:pPr>
        <w:pStyle w:val="2"/>
      </w:pPr>
    </w:p>
    <w:p>
      <w:pPr>
        <w:spacing w:line="200" w:lineRule="exact"/>
      </w:pPr>
      <w:r>
        <w:rPr>
          <w:sz w:val="40"/>
        </w:rPr>
        <w:pict>
          <v:shape id="_x0000_s1150" o:spid="_x0000_s1150" o:spt="202" type="#_x0000_t202" style="position:absolute;left:0pt;margin-left:-28.85pt;margin-top:-54.6pt;height:25.55pt;width:489.05pt;z-index:-251662336;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县人民政府办公室文件           </w:t>
                  </w:r>
                  <w:r>
                    <w:rPr>
                      <w:rFonts w:hint="eastAsia"/>
                      <w:u w:val="single" w:color="000000"/>
                    </w:rPr>
                    <w:t xml:space="preserve">     </w:t>
                  </w:r>
                  <w:r>
                    <w:rPr>
                      <w:u w:val="single" w:color="000000"/>
                    </w:rPr>
                    <w:t xml:space="preserve">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p>
    <w:p>
      <w:pPr>
        <w:pStyle w:val="2"/>
        <w:spacing w:after="0" w:line="600" w:lineRule="exact"/>
        <w:jc w:val="center"/>
        <w:rPr>
          <w:rFonts w:ascii="方正大标宋_GBK" w:hAnsi="宋体" w:eastAsia="方正大标宋_GBK" w:cs="宋体"/>
          <w:color w:val="000000"/>
          <w:sz w:val="40"/>
          <w:szCs w:val="40"/>
        </w:rPr>
      </w:pPr>
      <w:r>
        <w:rPr>
          <w:rFonts w:hint="eastAsia" w:ascii="方正大标宋_GBK" w:hAnsi="宋体" w:eastAsia="方正大标宋_GBK" w:cs="宋体"/>
          <w:color w:val="000000"/>
          <w:sz w:val="40"/>
          <w:szCs w:val="40"/>
        </w:rPr>
        <w:t>双牌县人民政府办公室</w:t>
      </w:r>
    </w:p>
    <w:p>
      <w:pPr>
        <w:spacing w:line="560" w:lineRule="exact"/>
        <w:jc w:val="center"/>
        <w:rPr>
          <w:rFonts w:ascii="方正大标宋_GBK" w:hAnsi="宋体" w:eastAsia="方正大标宋_GBK" w:cs="宋体"/>
          <w:color w:val="000000"/>
          <w:sz w:val="40"/>
          <w:szCs w:val="40"/>
        </w:rPr>
      </w:pPr>
      <w:r>
        <w:rPr>
          <w:rFonts w:hint="eastAsia" w:ascii="方正大标宋_GBK" w:hAnsi="宋体" w:eastAsia="方正大标宋_GBK" w:cs="宋体"/>
          <w:color w:val="000000"/>
          <w:spacing w:val="-16"/>
          <w:sz w:val="40"/>
          <w:szCs w:val="40"/>
        </w:rPr>
        <w:t>关</w:t>
      </w:r>
      <w:r>
        <w:rPr>
          <w:rFonts w:hint="eastAsia" w:ascii="方正大标宋_GBK" w:hAnsi="宋体" w:eastAsia="方正大标宋_GBK" w:cs="宋体"/>
          <w:color w:val="000000"/>
          <w:spacing w:val="-20"/>
          <w:sz w:val="40"/>
          <w:szCs w:val="40"/>
        </w:rPr>
        <w:t>于印发《</w:t>
      </w:r>
      <w:r>
        <w:rPr>
          <w:rFonts w:hint="eastAsia" w:ascii="方正大标宋_GBK" w:hAnsi="方正小标宋简体" w:eastAsia="方正大标宋_GBK" w:cs="方正小标宋简体"/>
          <w:color w:val="000000" w:themeColor="text1"/>
          <w:spacing w:val="-20"/>
          <w:sz w:val="40"/>
          <w:szCs w:val="40"/>
        </w:rPr>
        <w:t>双牌县促进旅游发展十条措施（试行）》</w:t>
      </w:r>
      <w:r>
        <w:rPr>
          <w:rFonts w:hint="eastAsia" w:ascii="方正大标宋_GBK" w:hAnsi="宋体" w:eastAsia="方正大标宋_GBK" w:cs="宋体"/>
          <w:color w:val="000000"/>
          <w:spacing w:val="-20"/>
          <w:sz w:val="40"/>
          <w:szCs w:val="40"/>
        </w:rPr>
        <w:t>的</w:t>
      </w:r>
      <w:r>
        <w:rPr>
          <w:rFonts w:hint="eastAsia" w:ascii="方正大标宋_GBK" w:hAnsi="宋体" w:eastAsia="方正大标宋_GBK" w:cs="宋体"/>
          <w:color w:val="000000"/>
          <w:sz w:val="40"/>
          <w:szCs w:val="40"/>
        </w:rPr>
        <w:t>通      知</w:t>
      </w:r>
    </w:p>
    <w:p>
      <w:pPr>
        <w:spacing w:line="540" w:lineRule="exact"/>
        <w:jc w:val="center"/>
        <w:rPr>
          <w:rFonts w:ascii="仿宋_GB2312" w:eastAsia="仿宋_GB2312"/>
          <w:snapToGrid w:val="0"/>
          <w:position w:val="4"/>
          <w:sz w:val="32"/>
          <w:szCs w:val="32"/>
        </w:rPr>
      </w:pPr>
      <w:r>
        <w:rPr>
          <w:rFonts w:hint="eastAsia" w:ascii="仿宋_GB2312" w:eastAsia="仿宋_GB2312"/>
          <w:snapToGrid w:val="0"/>
          <w:position w:val="4"/>
          <w:sz w:val="32"/>
          <w:szCs w:val="32"/>
        </w:rPr>
        <w:t>双政办发〔2024〕1号</w:t>
      </w:r>
    </w:p>
    <w:p>
      <w:pPr>
        <w:pStyle w:val="2"/>
        <w:jc w:val="center"/>
        <w:rPr>
          <w:rFonts w:ascii="黑体" w:hAnsi="黑体" w:eastAsia="黑体"/>
          <w:sz w:val="32"/>
          <w:szCs w:val="32"/>
        </w:rPr>
      </w:pPr>
      <w:r>
        <w:rPr>
          <w:rFonts w:hint="eastAsia" w:ascii="黑体" w:hAnsi="黑体" w:eastAsia="黑体"/>
          <w:sz w:val="32"/>
          <w:szCs w:val="32"/>
        </w:rPr>
        <w:t>SPDR-2024-01001</w:t>
      </w:r>
    </w:p>
    <w:p>
      <w:pPr>
        <w:pStyle w:val="2"/>
        <w:spacing w:after="0" w:line="380" w:lineRule="exact"/>
        <w:rPr>
          <w:rFonts w:ascii="宋体" w:hAnsi="宋体" w:cs="宋体"/>
        </w:rPr>
      </w:pPr>
    </w:p>
    <w:p>
      <w:pPr>
        <w:pStyle w:val="2"/>
        <w:spacing w:after="0" w:line="600" w:lineRule="exac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各乡镇人民政府，阳明山管理局，县直各相关单位：</w:t>
      </w:r>
    </w:p>
    <w:p>
      <w:pPr>
        <w:pStyle w:val="2"/>
        <w:spacing w:after="0"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《双牌县促进旅游发展十条措施（试行）》已经县人民政府常务会议研究同意，现印发给你们，请结合实际认真贯彻落实。</w:t>
      </w:r>
    </w:p>
    <w:p>
      <w:pPr>
        <w:pStyle w:val="2"/>
        <w:spacing w:after="0" w:line="600" w:lineRule="exact"/>
        <w:rPr>
          <w:rFonts w:ascii="仿宋_GB2312" w:hAnsi="仿宋_GB2312" w:eastAsia="仿宋_GB2312" w:cs="仿宋_GB2312"/>
          <w:color w:val="000000"/>
          <w:sz w:val="32"/>
          <w:szCs w:val="32"/>
        </w:rPr>
      </w:pPr>
    </w:p>
    <w:p>
      <w:pPr>
        <w:spacing w:line="600" w:lineRule="exact"/>
      </w:pPr>
    </w:p>
    <w:p>
      <w:pPr>
        <w:pStyle w:val="2"/>
        <w:spacing w:after="0" w:line="600" w:lineRule="exac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双牌县人民政府办公室</w:t>
      </w:r>
    </w:p>
    <w:p>
      <w:pPr>
        <w:pStyle w:val="11"/>
        <w:spacing w:after="0" w:line="600" w:lineRule="exact"/>
        <w:ind w:firstLine="5216" w:firstLineChars="163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2024年3月7日</w:t>
      </w:r>
    </w:p>
    <w:p>
      <w:pPr>
        <w:pStyle w:val="11"/>
        <w:spacing w:after="0" w:line="420" w:lineRule="exact"/>
        <w:ind w:firstLine="5056" w:firstLineChars="1580"/>
        <w:rPr>
          <w:rFonts w:ascii="仿宋_GB2312" w:hAnsi="仿宋_GB2312" w:eastAsia="仿宋_GB2312" w:cs="仿宋_GB2312"/>
          <w:color w:val="000000"/>
          <w:sz w:val="32"/>
          <w:szCs w:val="32"/>
        </w:rPr>
      </w:pPr>
    </w:p>
    <w:p>
      <w:pPr>
        <w:rPr>
          <w:rFonts w:ascii="仿宋_GB2312" w:hAnsi="仿宋_GB2312" w:eastAsia="仿宋_GB2312" w:cs="仿宋_GB2312"/>
          <w:color w:val="000000"/>
          <w:sz w:val="32"/>
          <w:szCs w:val="32"/>
        </w:rPr>
      </w:pPr>
    </w:p>
    <w:p>
      <w:pPr>
        <w:pStyle w:val="2"/>
        <w:rPr>
          <w:rFonts w:ascii="仿宋_GB2312" w:hAnsi="仿宋_GB2312" w:eastAsia="仿宋_GB2312" w:cs="仿宋_GB2312"/>
          <w:color w:val="000000"/>
          <w:sz w:val="32"/>
          <w:szCs w:val="32"/>
        </w:rPr>
      </w:pPr>
    </w:p>
    <w:p/>
    <w:p>
      <w:pPr>
        <w:pStyle w:val="11"/>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（此件主动公开）</w:t>
      </w:r>
    </w:p>
    <w:p>
      <w:pPr>
        <w:pStyle w:val="11"/>
        <w:ind w:firstLine="640" w:firstLineChars="200"/>
        <w:rPr>
          <w:rFonts w:ascii="仿宋_GB2312" w:hAnsi="仿宋_GB2312" w:eastAsia="仿宋_GB2312" w:cs="仿宋_GB2312"/>
          <w:color w:val="000000"/>
          <w:sz w:val="32"/>
          <w:szCs w:val="32"/>
        </w:rPr>
      </w:pPr>
    </w:p>
    <w:p>
      <w:pPr>
        <w:rPr>
          <w:rFonts w:ascii="仿宋_GB2312" w:hAnsi="仿宋_GB2312" w:eastAsia="仿宋_GB2312" w:cs="仿宋_GB2312"/>
          <w:color w:val="000000"/>
          <w:sz w:val="32"/>
          <w:szCs w:val="32"/>
        </w:rPr>
      </w:pPr>
    </w:p>
    <w:p>
      <w:pPr>
        <w:pStyle w:val="2"/>
        <w:rPr>
          <w:rFonts w:ascii="仿宋_GB2312" w:hAnsi="仿宋_GB2312" w:eastAsia="仿宋_GB2312" w:cs="仿宋_GB2312"/>
          <w:color w:val="000000"/>
          <w:sz w:val="32"/>
          <w:szCs w:val="32"/>
        </w:rPr>
      </w:pPr>
    </w:p>
    <w:p>
      <w:pPr>
        <w:rPr>
          <w:rFonts w:ascii="仿宋_GB2312" w:hAnsi="仿宋_GB2312" w:eastAsia="仿宋_GB2312" w:cs="仿宋_GB2312"/>
          <w:color w:val="000000"/>
          <w:sz w:val="32"/>
          <w:szCs w:val="32"/>
        </w:rPr>
      </w:pPr>
    </w:p>
    <w:p>
      <w:pPr>
        <w:pStyle w:val="2"/>
        <w:jc w:val="center"/>
        <w:rPr>
          <w:rFonts w:ascii="方正大标宋_GBK" w:hAnsi="方正小标宋简体" w:eastAsia="方正大标宋_GBK" w:cs="方正小标宋简体"/>
          <w:color w:val="000000" w:themeColor="text1"/>
          <w:sz w:val="40"/>
          <w:szCs w:val="40"/>
        </w:rPr>
      </w:pPr>
      <w:r>
        <w:pict>
          <v:shape id="_x0000_s1180" o:spid="_x0000_s1180" o:spt="202" type="#_x0000_t202" style="position:absolute;left:0pt;margin-left:-29.45pt;margin-top:-52.2pt;height:25.55pt;width:489.05pt;z-index:-251608064;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县人民政府办公室文件            </w:t>
                  </w:r>
                  <w:r>
                    <w:rPr>
                      <w:rFonts w:hint="eastAsia"/>
                      <w:u w:val="single" w:color="000000"/>
                    </w:rPr>
                    <w:t xml:space="preserve">    </w:t>
                  </w:r>
                  <w:r>
                    <w:rPr>
                      <w:u w:val="single" w:color="000000"/>
                    </w:rPr>
                    <w:t xml:space="preserve">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方正大标宋_GBK" w:hAnsi="方正小标宋简体" w:eastAsia="方正大标宋_GBK" w:cs="方正小标宋简体"/>
          <w:color w:val="000000" w:themeColor="text1"/>
          <w:sz w:val="40"/>
          <w:szCs w:val="40"/>
        </w:rPr>
        <w:t>双牌县促进旅游发展十条措施（试行）</w:t>
      </w:r>
    </w:p>
    <w:p>
      <w:pPr>
        <w:spacing w:line="440" w:lineRule="exact"/>
        <w:ind w:firstLine="420" w:firstLineChars="200"/>
        <w:rPr>
          <w:color w:val="000000" w:themeColor="text1"/>
        </w:rPr>
      </w:pPr>
    </w:p>
    <w:p>
      <w:pPr>
        <w:spacing w:line="480" w:lineRule="exact"/>
        <w:ind w:firstLine="640" w:firstLineChars="200"/>
        <w:rPr>
          <w:rFonts w:ascii="仿宋_GB2312" w:hAnsi="仿宋_GB2312" w:eastAsia="仿宋_GB2312" w:cs="仿宋_GB2312"/>
          <w:color w:val="000000" w:themeColor="text1"/>
          <w:sz w:val="32"/>
          <w:szCs w:val="32"/>
        </w:rPr>
        <w:sectPr>
          <w:type w:val="continuous"/>
          <w:pgSz w:w="11906" w:h="16838"/>
          <w:pgMar w:top="1440" w:right="1800" w:bottom="1440" w:left="1800" w:header="851" w:footer="992" w:gutter="0"/>
          <w:pgNumType w:fmt="numberInDash"/>
          <w:cols w:space="425" w:num="1"/>
          <w:docGrid w:type="lines" w:linePitch="312" w:charSpace="0"/>
        </w:sectPr>
      </w:pPr>
    </w:p>
    <w:p>
      <w:pPr>
        <w:spacing w:line="600" w:lineRule="exact"/>
        <w:ind w:firstLine="640" w:firstLineChars="20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为深入贯彻习近平总书记关于文化和旅游工作的重要论述，以及国家、省、市、县关于促进旅游产业发展的精神，落实《中共湖南省委 湖南省人民政府关于加快建设世界旅游目的地的意见》（湘发〔2022〕16号）以及《永州市人民政府办公室关于印发&lt;永州市促进旅游发展十条措施&gt;的通知》（永政办发〔2</w:t>
      </w:r>
      <w:r>
        <w:rPr>
          <w:rFonts w:ascii="仿宋_GB2312" w:hAnsi="仿宋_GB2312" w:eastAsia="仿宋_GB2312" w:cs="仿宋_GB2312"/>
          <w:color w:val="000000" w:themeColor="text1"/>
          <w:sz w:val="32"/>
          <w:szCs w:val="32"/>
        </w:rPr>
        <w:t>022</w:t>
      </w:r>
      <w:r>
        <w:rPr>
          <w:rFonts w:hint="eastAsia" w:ascii="仿宋_GB2312" w:hAnsi="仿宋_GB2312" w:eastAsia="仿宋_GB2312" w:cs="仿宋_GB2312"/>
          <w:color w:val="000000" w:themeColor="text1"/>
          <w:sz w:val="32"/>
          <w:szCs w:val="32"/>
        </w:rPr>
        <w:t>〕2号）等文件要求，大力实施全域旅游战略，实</w:t>
      </w:r>
      <w:r>
        <w:rPr>
          <w:rFonts w:hint="eastAsia" w:ascii="仿宋_GB2312" w:hAnsi="仿宋_GB2312" w:eastAsia="仿宋_GB2312" w:cs="仿宋_GB2312"/>
          <w:color w:val="000000" w:themeColor="text1"/>
          <w:spacing w:val="6"/>
          <w:sz w:val="32"/>
          <w:szCs w:val="32"/>
        </w:rPr>
        <w:t>现双牌文化旅游产业高质量发展的目标和任务，特制定如下措</w:t>
      </w:r>
      <w:r>
        <w:rPr>
          <w:rFonts w:hint="eastAsia" w:ascii="仿宋_GB2312" w:hAnsi="仿宋_GB2312" w:eastAsia="仿宋_GB2312" w:cs="仿宋_GB2312"/>
          <w:color w:val="000000" w:themeColor="text1"/>
          <w:sz w:val="32"/>
          <w:szCs w:val="32"/>
        </w:rPr>
        <w:t>施。</w:t>
      </w:r>
    </w:p>
    <w:p>
      <w:pPr>
        <w:spacing w:line="600" w:lineRule="exact"/>
        <w:ind w:firstLine="640" w:firstLineChars="200"/>
        <w:rPr>
          <w:rFonts w:ascii="楷体_GB2312" w:hAnsi="楷体" w:eastAsia="楷体_GB2312" w:cs="楷体_GB2312"/>
          <w:color w:val="000000" w:themeColor="text1"/>
          <w:kern w:val="0"/>
          <w:sz w:val="32"/>
          <w:szCs w:val="32"/>
          <w:shd w:val="clear" w:color="auto" w:fill="FFFFFF"/>
        </w:rPr>
      </w:pPr>
      <w:r>
        <w:rPr>
          <w:rFonts w:hint="eastAsia" w:ascii="黑体" w:hAnsi="黑体" w:eastAsia="黑体" w:cs="楷体"/>
          <w:color w:val="000000" w:themeColor="text1"/>
          <w:sz w:val="32"/>
          <w:szCs w:val="32"/>
        </w:rPr>
        <w:t>一、强化旅游资源统筹管理。</w:t>
      </w:r>
      <w:r>
        <w:rPr>
          <w:rFonts w:hint="eastAsia" w:ascii="仿宋_GB2312" w:hAnsi="仿宋_GB2312" w:eastAsia="仿宋_GB2312" w:cs="仿宋_GB2312"/>
          <w:color w:val="000000" w:themeColor="text1"/>
          <w:sz w:val="32"/>
          <w:szCs w:val="32"/>
        </w:rPr>
        <w:t>加快制定出台《双牌县旅游发展国土空间专项规划》。建立全县重大文旅项目库，对全县核心资源及重大文旅项目的开发，由县文化生态旅游深度融合发展工作领导小组组织评估，相关单位具体实施，强化规划协同，在城市建设、乡村振兴、生态保护、重大项目建设等领域前期规划中，需充分征求文旅部门意见。</w:t>
      </w:r>
      <w:r>
        <w:rPr>
          <w:rFonts w:hint="eastAsia" w:ascii="楷体_GB2312" w:hAnsi="楷体" w:eastAsia="楷体_GB2312" w:cs="楷体_GB2312"/>
          <w:color w:val="000000" w:themeColor="text1"/>
          <w:kern w:val="0"/>
          <w:sz w:val="32"/>
          <w:szCs w:val="32"/>
          <w:shd w:val="clear" w:color="auto" w:fill="FFFFFF"/>
        </w:rPr>
        <w:t>（责任单位:县文旅广体局、县自然资源局、县乡村振兴局</w:t>
      </w:r>
      <w:r>
        <w:rPr>
          <w:rFonts w:hint="eastAsia" w:ascii="楷体_GB2312" w:hAnsi="楷体" w:eastAsia="楷体_GB2312" w:cs="楷体_GB2312"/>
          <w:color w:val="000000" w:themeColor="text1"/>
          <w:kern w:val="0"/>
          <w:sz w:val="32"/>
          <w:szCs w:val="32"/>
        </w:rPr>
        <w:t>、县林业局、县水利局、市生态环境局双牌分局等相关单位，各乡镇人民政</w:t>
      </w:r>
      <w:r>
        <w:rPr>
          <w:rFonts w:hint="eastAsia" w:ascii="楷体_GB2312" w:hAnsi="楷体" w:eastAsia="楷体_GB2312" w:cs="楷体_GB2312"/>
          <w:color w:val="000000" w:themeColor="text1"/>
          <w:kern w:val="0"/>
          <w:sz w:val="32"/>
          <w:szCs w:val="32"/>
          <w:shd w:val="clear" w:color="auto" w:fill="FFFFFF"/>
        </w:rPr>
        <w:t>府、阳明山管理局）</w:t>
      </w:r>
    </w:p>
    <w:p>
      <w:pPr>
        <w:pStyle w:val="10"/>
        <w:shd w:val="clear" w:color="auto" w:fill="FFFFFF"/>
        <w:spacing w:before="0" w:beforeAutospacing="0" w:after="0" w:afterAutospacing="0" w:line="580" w:lineRule="exact"/>
        <w:ind w:firstLine="640" w:firstLineChars="200"/>
        <w:jc w:val="both"/>
        <w:rPr>
          <w:color w:val="000000" w:themeColor="text1"/>
          <w:sz w:val="32"/>
          <w:szCs w:val="32"/>
        </w:rPr>
      </w:pPr>
      <w:r>
        <w:rPr>
          <w:rFonts w:hint="eastAsia" w:ascii="黑体" w:hAnsi="黑体" w:eastAsia="黑体" w:cs="楷体"/>
          <w:color w:val="000000" w:themeColor="text1"/>
          <w:kern w:val="2"/>
          <w:sz w:val="32"/>
          <w:szCs w:val="32"/>
        </w:rPr>
        <w:t>二、鼓励社会资本参与建设。</w:t>
      </w:r>
      <w:r>
        <w:rPr>
          <w:rFonts w:hint="eastAsia" w:ascii="仿宋_GB2312" w:hAnsi="仿宋_GB2312" w:eastAsia="仿宋_GB2312" w:cs="仿宋_GB2312"/>
          <w:color w:val="000000" w:themeColor="text1"/>
          <w:kern w:val="2"/>
          <w:sz w:val="32"/>
          <w:szCs w:val="32"/>
        </w:rPr>
        <w:t>鼓励和支持社会资本参与全县文旅项目建设。对新建</w:t>
      </w:r>
      <w:r>
        <w:rPr>
          <w:rFonts w:hint="eastAsia" w:ascii="仿宋_GB2312" w:hAnsi="仿宋_GB2312" w:eastAsia="仿宋_GB2312" w:cs="仿宋_GB2312"/>
          <w:color w:val="000000" w:themeColor="text1"/>
          <w:sz w:val="32"/>
          <w:szCs w:val="32"/>
          <w:shd w:val="clear" w:color="auto" w:fill="FFFFFF"/>
        </w:rPr>
        <w:t>或扩建的文旅项目，固定资产实际投入资金（不含设备、土地出让金投入，以固定资产投资评估报告为准）</w:t>
      </w:r>
      <w:r>
        <w:rPr>
          <w:rFonts w:ascii="仿宋_GB2312" w:hAnsi="仿宋_GB2312" w:eastAsia="仿宋_GB2312" w:cs="仿宋_GB2312"/>
          <w:color w:val="000000" w:themeColor="text1"/>
          <w:sz w:val="32"/>
          <w:szCs w:val="32"/>
        </w:rPr>
        <w:pict>
          <v:shape id="_x0000_s1181" o:spid="_x0000_s1181" o:spt="202" type="#_x0000_t202" style="position:absolute;left:0pt;margin-left:-31.25pt;margin-top:-52.8pt;height:25.55pt;width:489.05pt;z-index:-251607040;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县人民政府办公室文件           </w:t>
                  </w:r>
                  <w:r>
                    <w:rPr>
                      <w:rFonts w:hint="eastAsia"/>
                      <w:u w:val="single" w:color="000000"/>
                    </w:rPr>
                    <w:t xml:space="preserve">     </w:t>
                  </w:r>
                  <w:r>
                    <w:rPr>
                      <w:u w:val="single" w:color="000000"/>
                    </w:rPr>
                    <w:t xml:space="preserve">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仿宋_GB2312" w:hAnsi="仿宋_GB2312" w:eastAsia="仿宋_GB2312" w:cs="仿宋_GB2312"/>
          <w:color w:val="000000" w:themeColor="text1"/>
          <w:sz w:val="32"/>
          <w:szCs w:val="32"/>
        </w:rPr>
        <w:t>达到500万元（含）以上2000万元（含）以内的，县财政按其10%给予奖励扶持；</w:t>
      </w:r>
      <w:r>
        <w:rPr>
          <w:rFonts w:hint="eastAsia" w:ascii="仿宋_GB2312" w:hAnsi="仿宋_GB2312" w:eastAsia="仿宋_GB2312" w:cs="仿宋_GB2312"/>
          <w:color w:val="000000" w:themeColor="text1"/>
          <w:sz w:val="32"/>
          <w:szCs w:val="32"/>
          <w:shd w:val="clear" w:color="auto" w:fill="FFFFFF"/>
        </w:rPr>
        <w:t>固定资产实际投入资金达</w:t>
      </w:r>
      <w:r>
        <w:rPr>
          <w:rFonts w:hint="eastAsia" w:ascii="仿宋_GB2312" w:hAnsi="仿宋_GB2312" w:eastAsia="仿宋_GB2312" w:cs="仿宋_GB2312"/>
          <w:color w:val="000000" w:themeColor="text1"/>
          <w:sz w:val="32"/>
          <w:szCs w:val="32"/>
        </w:rPr>
        <w:t>到2000万元以上3000万元（含）以内的，县财政按其15%给予奖励扶持；</w:t>
      </w:r>
      <w:r>
        <w:rPr>
          <w:rFonts w:hint="eastAsia" w:ascii="仿宋_GB2312" w:hAnsi="仿宋_GB2312" w:eastAsia="仿宋_GB2312" w:cs="仿宋_GB2312"/>
          <w:color w:val="000000" w:themeColor="text1"/>
          <w:sz w:val="32"/>
          <w:szCs w:val="32"/>
          <w:shd w:val="clear" w:color="auto" w:fill="FFFFFF"/>
        </w:rPr>
        <w:t>固定资产实际投入资金</w:t>
      </w:r>
      <w:r>
        <w:rPr>
          <w:rFonts w:hint="eastAsia" w:ascii="仿宋_GB2312" w:hAnsi="仿宋_GB2312" w:eastAsia="仿宋_GB2312" w:cs="仿宋_GB2312"/>
          <w:color w:val="000000" w:themeColor="text1"/>
          <w:sz w:val="32"/>
          <w:szCs w:val="32"/>
        </w:rPr>
        <w:t>达到3000万元以上5000万元（含）以内的，县财政按其18%给予奖励扶持；</w:t>
      </w:r>
      <w:r>
        <w:rPr>
          <w:rFonts w:hint="eastAsia" w:ascii="仿宋_GB2312" w:hAnsi="仿宋_GB2312" w:eastAsia="仿宋_GB2312" w:cs="仿宋_GB2312"/>
          <w:color w:val="000000" w:themeColor="text1"/>
          <w:sz w:val="32"/>
          <w:szCs w:val="32"/>
          <w:shd w:val="clear" w:color="auto" w:fill="FFFFFF"/>
        </w:rPr>
        <w:t>固定资产实际投入资金</w:t>
      </w:r>
      <w:r>
        <w:rPr>
          <w:rFonts w:hint="eastAsia" w:ascii="仿宋_GB2312" w:hAnsi="仿宋_GB2312" w:eastAsia="仿宋_GB2312" w:cs="仿宋_GB2312"/>
          <w:color w:val="000000" w:themeColor="text1"/>
          <w:sz w:val="32"/>
          <w:szCs w:val="32"/>
        </w:rPr>
        <w:t>达到5000万元以上的，享受“一事一议”优惠政策。自项目签约之日起3年内，由县财政按项目销售收入的1%给予扶持（以增值税发票金额为准），自项目签约之日起第4—6年，由县财政按项目销售收入的0.7%给予扶持（以增值税发票金额为准）。总投资额超过10亿元的项目，优先纳入省重点建设项目管理。鼓励县内各金融企业拓展企业贷款融资渠道，支持开办景区经营权和门票收入等质押贷款业务，鼓励县内融资担保公司开展旅游项目融资担保业务。</w:t>
      </w:r>
      <w:r>
        <w:rPr>
          <w:rFonts w:ascii="楷体_GB2312" w:hAnsi="楷体" w:eastAsia="楷体_GB2312" w:cs="楷体_GB2312"/>
          <w:color w:val="000000" w:themeColor="text1"/>
          <w:sz w:val="32"/>
          <w:szCs w:val="32"/>
        </w:rPr>
        <w:t>（责任单位：县文旅广体局、</w:t>
      </w:r>
      <w:r>
        <w:rPr>
          <w:rFonts w:hint="eastAsia" w:ascii="楷体_GB2312" w:hAnsi="楷体" w:eastAsia="楷体_GB2312" w:cs="楷体_GB2312"/>
          <w:color w:val="000000" w:themeColor="text1"/>
          <w:sz w:val="32"/>
          <w:szCs w:val="32"/>
        </w:rPr>
        <w:t>县发改局、</w:t>
      </w:r>
      <w:r>
        <w:rPr>
          <w:rFonts w:ascii="楷体_GB2312" w:hAnsi="楷体" w:eastAsia="楷体_GB2312" w:cs="楷体_GB2312"/>
          <w:color w:val="000000" w:themeColor="text1"/>
          <w:sz w:val="32"/>
          <w:szCs w:val="32"/>
        </w:rPr>
        <w:t>县财政局、县教育局、县卫健局</w:t>
      </w:r>
      <w:r>
        <w:rPr>
          <w:rFonts w:hint="eastAsia" w:ascii="楷体_GB2312" w:hAnsi="楷体" w:eastAsia="楷体_GB2312" w:cs="楷体_GB2312"/>
          <w:color w:val="000000" w:themeColor="text1"/>
          <w:sz w:val="32"/>
          <w:szCs w:val="32"/>
        </w:rPr>
        <w:t>、县林业局</w:t>
      </w:r>
      <w:r>
        <w:rPr>
          <w:rFonts w:ascii="楷体_GB2312" w:hAnsi="楷体" w:eastAsia="楷体_GB2312" w:cs="楷体_GB2312"/>
          <w:color w:val="000000" w:themeColor="text1"/>
          <w:sz w:val="32"/>
          <w:szCs w:val="32"/>
        </w:rPr>
        <w:t>）</w:t>
      </w:r>
    </w:p>
    <w:p>
      <w:pPr>
        <w:spacing w:line="580" w:lineRule="exact"/>
        <w:ind w:firstLine="640" w:firstLineChars="200"/>
        <w:rPr>
          <w:rFonts w:ascii="楷体_GB2312" w:hAnsi="楷体" w:eastAsia="楷体_GB2312" w:cs="楷体_GB2312"/>
          <w:color w:val="000000" w:themeColor="text1"/>
          <w:kern w:val="0"/>
          <w:sz w:val="32"/>
          <w:szCs w:val="32"/>
          <w:shd w:val="clear" w:color="auto" w:fill="FFFFFF"/>
        </w:rPr>
      </w:pPr>
      <w:r>
        <w:rPr>
          <w:rFonts w:hint="eastAsia" w:ascii="黑体" w:hAnsi="黑体" w:eastAsia="黑体" w:cs="楷体"/>
          <w:color w:val="000000" w:themeColor="text1"/>
          <w:sz w:val="32"/>
          <w:szCs w:val="32"/>
        </w:rPr>
        <w:t>三、鼓励开展宣传营销。</w:t>
      </w:r>
      <w:r>
        <w:rPr>
          <w:rFonts w:hint="eastAsia" w:ascii="仿宋_GB2312" w:hAnsi="仿宋_GB2312" w:eastAsia="仿宋_GB2312" w:cs="仿宋_GB2312"/>
          <w:b/>
          <w:color w:val="000000" w:themeColor="text1"/>
          <w:sz w:val="32"/>
          <w:szCs w:val="32"/>
        </w:rPr>
        <w:t>一是</w:t>
      </w:r>
      <w:r>
        <w:rPr>
          <w:rFonts w:hint="eastAsia" w:ascii="仿宋_GB2312" w:hAnsi="仿宋_GB2312" w:eastAsia="仿宋_GB2312" w:cs="仿宋_GB2312"/>
          <w:color w:val="000000" w:themeColor="text1"/>
          <w:sz w:val="32"/>
          <w:szCs w:val="32"/>
        </w:rPr>
        <w:t>鼓励社会各界运用新兴媒体宣传县内旅游产品。在主流新媒体平台发布双牌文化旅游的正面原创优秀作品，经宣传、文旅、网信、公安等相关职能部门认定后，除享受市级财政奖励资金外，按照《双牌县短视频（直播）奖励实施办法（试行）》进行奖励，同一作品只享受县级奖励一次。</w:t>
      </w:r>
      <w:r>
        <w:rPr>
          <w:rFonts w:hint="eastAsia" w:ascii="仿宋_GB2312" w:hAnsi="仿宋_GB2312" w:eastAsia="仿宋_GB2312" w:cs="仿宋_GB2312"/>
          <w:b/>
          <w:color w:val="000000" w:themeColor="text1"/>
          <w:sz w:val="32"/>
          <w:szCs w:val="32"/>
        </w:rPr>
        <w:t>二是</w:t>
      </w:r>
      <w:r>
        <w:rPr>
          <w:rFonts w:hint="eastAsia" w:ascii="仿宋_GB2312" w:hAnsi="仿宋_GB2312" w:eastAsia="仿宋_GB2312" w:cs="仿宋_GB2312"/>
          <w:color w:val="000000" w:themeColor="text1"/>
          <w:sz w:val="32"/>
          <w:szCs w:val="32"/>
        </w:rPr>
        <w:t>对双牌文化旅游推广作出显著成绩或杰出贡献的文艺作品，经县委县政府研究审定后给予特殊贡献奖，奖金由县委县政府个案研究议定。</w:t>
      </w:r>
      <w:r>
        <w:rPr>
          <w:rFonts w:hint="eastAsia" w:ascii="楷体_GB2312" w:hAnsi="楷体" w:eastAsia="楷体_GB2312" w:cs="楷体_GB2312"/>
          <w:color w:val="000000" w:themeColor="text1"/>
          <w:kern w:val="0"/>
          <w:sz w:val="32"/>
          <w:szCs w:val="32"/>
          <w:shd w:val="clear" w:color="auto" w:fill="FFFFFF"/>
        </w:rPr>
        <w:t>(责任单位:县委宣传部、县文旅广体局、县财政局、县公安局、县文联、县委网信办)</w:t>
      </w:r>
    </w:p>
    <w:p>
      <w:pPr>
        <w:spacing w:line="600" w:lineRule="exact"/>
        <w:ind w:firstLine="640" w:firstLineChars="200"/>
        <w:rPr>
          <w:rFonts w:ascii="楷体_GB2312" w:hAnsi="楷体" w:eastAsia="楷体_GB2312" w:cs="楷体_GB2312"/>
          <w:color w:val="000000" w:themeColor="text1"/>
          <w:kern w:val="0"/>
          <w:sz w:val="32"/>
          <w:szCs w:val="32"/>
          <w:shd w:val="clear" w:color="auto" w:fill="FFFFFF"/>
        </w:rPr>
      </w:pPr>
      <w:r>
        <w:rPr>
          <w:rFonts w:ascii="楷体_GB2312" w:hAnsi="楷体" w:eastAsia="楷体_GB2312" w:cs="楷体_GB2312"/>
          <w:color w:val="000000" w:themeColor="text1"/>
          <w:kern w:val="0"/>
          <w:sz w:val="32"/>
          <w:szCs w:val="32"/>
        </w:rPr>
        <w:pict>
          <v:shape id="_x0000_s1182" o:spid="_x0000_s1182" o:spt="202" type="#_x0000_t202" style="position:absolute;left:0pt;margin-left:-30.65pt;margin-top:-137.4pt;height:25.55pt;width:489.05pt;z-index:-251606016;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县人民政府办公室文件           </w:t>
                  </w:r>
                  <w:r>
                    <w:rPr>
                      <w:rFonts w:hint="eastAsia"/>
                      <w:u w:val="single" w:color="000000"/>
                    </w:rPr>
                    <w:t xml:space="preserve">     </w:t>
                  </w:r>
                  <w:r>
                    <w:rPr>
                      <w:u w:val="single" w:color="000000"/>
                    </w:rPr>
                    <w:t xml:space="preserve">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黑体" w:hAnsi="黑体" w:eastAsia="黑体" w:cs="楷体"/>
          <w:color w:val="000000" w:themeColor="text1"/>
          <w:sz w:val="32"/>
          <w:szCs w:val="32"/>
        </w:rPr>
        <w:t>四、鼓励创建文旅品牌。</w:t>
      </w:r>
      <w:r>
        <w:rPr>
          <w:rFonts w:hint="eastAsia" w:ascii="仿宋_GB2312" w:hAnsi="仿宋_GB2312" w:eastAsia="仿宋_GB2312" w:cs="仿宋_GB2312"/>
          <w:color w:val="000000" w:themeColor="text1"/>
          <w:sz w:val="32"/>
          <w:szCs w:val="32"/>
        </w:rPr>
        <w:t>围绕“康养福地 和美双牌”品牌定位，各景区(点)围绕总体品牌打造各具特色的子品牌，形成品牌矩阵。鼓励和支持社会资本投资建设的文旅项目创建文旅品牌：当年新评为 5A 级、4A 级、3A级旅游景区的，由县财政分别奖励创建主体 1000万元、500万元、100万元，奖励景区（点）所在乡镇政府工作经费5万元；对当年成功创建国家级旅游度假区、省级旅游度假区的，由县财政分别奖励500万元、200万元，奖励所在乡镇政府 5万元;对当年成功创建 5C、4C 级自驾车旅居车营地的，由县财政分别奖励自驾车旅居车营地 20万元、10万元，奖励所在乡镇政府3万元;对当年新评为国家级甲级、乙级、丙级旅游民宿的，分别奖励100万元、50万元、20万元；对当年新评为五星级、四星级、三星级旅游饭店的，分别奖励100万元、50万元、20万元;对当年新评为五星级、四星级乡村旅游区(点)的，分别奖励 8万元、5万元。以上创建文旅品牌的奖励对象需正常经营且效益较好。</w:t>
      </w:r>
      <w:r>
        <w:rPr>
          <w:rFonts w:hint="eastAsia" w:ascii="楷体_GB2312" w:hAnsi="楷体" w:eastAsia="楷体_GB2312" w:cs="楷体_GB2312"/>
          <w:color w:val="000000" w:themeColor="text1"/>
          <w:kern w:val="0"/>
          <w:sz w:val="32"/>
          <w:szCs w:val="32"/>
          <w:shd w:val="clear" w:color="auto" w:fill="FFFFFF"/>
        </w:rPr>
        <w:t>（责任单位：县文旅广体局、县财政局、县住建局、各乡镇人民政府、阳明山管理局）</w:t>
      </w:r>
    </w:p>
    <w:p>
      <w:pPr>
        <w:spacing w:line="600" w:lineRule="exact"/>
        <w:ind w:firstLine="640" w:firstLineChars="200"/>
        <w:rPr>
          <w:rFonts w:ascii="楷体_GB2312" w:hAnsi="楷体" w:eastAsia="楷体_GB2312" w:cs="楷体_GB2312"/>
          <w:color w:val="000000" w:themeColor="text1"/>
          <w:kern w:val="0"/>
          <w:sz w:val="32"/>
          <w:szCs w:val="32"/>
          <w:shd w:val="clear" w:color="auto" w:fill="FFFFFF"/>
        </w:rPr>
      </w:pPr>
      <w:r>
        <w:rPr>
          <w:rFonts w:hint="eastAsia" w:ascii="黑体" w:hAnsi="黑体" w:eastAsia="黑体" w:cs="楷体"/>
          <w:color w:val="000000" w:themeColor="text1"/>
          <w:sz w:val="32"/>
          <w:szCs w:val="32"/>
        </w:rPr>
        <w:t>五、大力开展研学旅行。</w:t>
      </w:r>
      <w:r>
        <w:rPr>
          <w:rFonts w:hint="eastAsia" w:ascii="仿宋_GB2312" w:hAnsi="仿宋_GB2312" w:eastAsia="仿宋_GB2312" w:cs="仿宋_GB2312"/>
          <w:color w:val="000000" w:themeColor="text1"/>
          <w:sz w:val="32"/>
          <w:szCs w:val="32"/>
        </w:rPr>
        <w:t>按照国家和省、市相关标准，在本县规划建设的研学旅行基地(营地)项目，同等享受本文件第二条措施优惠条件，并在县内组织的研学活动中优先推荐，对当年新评为国家级研学旅行基地(营地)、省级研学旅游基地的，由县级财政分别奖补给基地(营地)50万元、20万元。开展“十万学子研学双牌”活动，每学期组织全市10000人以上中小学生在双牌开展研学活动。</w:t>
      </w:r>
      <w:r>
        <w:rPr>
          <w:rFonts w:hint="eastAsia" w:ascii="楷体_GB2312" w:hAnsi="楷体" w:eastAsia="楷体_GB2312" w:cs="楷体_GB2312"/>
          <w:color w:val="000000" w:themeColor="text1"/>
          <w:kern w:val="0"/>
          <w:sz w:val="32"/>
          <w:szCs w:val="32"/>
          <w:shd w:val="clear" w:color="auto" w:fill="FFFFFF"/>
        </w:rPr>
        <w:t>(责任单位：县教育局、县文旅广体局、县财政局，各乡镇人民政府、阳明山管理局）</w:t>
      </w:r>
    </w:p>
    <w:p>
      <w:pPr>
        <w:spacing w:line="600" w:lineRule="exact"/>
        <w:ind w:firstLine="640" w:firstLineChars="200"/>
        <w:rPr>
          <w:rFonts w:ascii="楷体_GB2312" w:hAnsi="楷体" w:eastAsia="楷体_GB2312" w:cs="楷体_GB2312"/>
          <w:color w:val="000000" w:themeColor="text1"/>
          <w:kern w:val="0"/>
          <w:sz w:val="32"/>
          <w:szCs w:val="32"/>
          <w:shd w:val="clear" w:color="auto" w:fill="FFFFFF"/>
        </w:rPr>
      </w:pPr>
      <w:r>
        <w:rPr>
          <w:rFonts w:ascii="仿宋_GB2312" w:hAnsi="仿宋_GB2312" w:eastAsia="仿宋_GB2312" w:cs="仿宋_GB2312"/>
          <w:color w:val="000000" w:themeColor="text1"/>
          <w:sz w:val="32"/>
          <w:szCs w:val="32"/>
        </w:rPr>
        <w:pict>
          <v:shape id="_x0000_s1183" o:spid="_x0000_s1183" o:spt="202" type="#_x0000_t202" style="position:absolute;left:0pt;margin-left:-27.05pt;margin-top:-410.4pt;height:25.55pt;width:489.05pt;z-index:-251604992;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县人民政府办公室文件           </w:t>
                  </w:r>
                  <w:r>
                    <w:rPr>
                      <w:rFonts w:hint="eastAsia"/>
                      <w:u w:val="single" w:color="000000"/>
                    </w:rPr>
                    <w:t xml:space="preserve">     </w:t>
                  </w:r>
                  <w:r>
                    <w:rPr>
                      <w:u w:val="single" w:color="000000"/>
                    </w:rPr>
                    <w:t xml:space="preserve">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黑体" w:hAnsi="黑体" w:eastAsia="黑体" w:cs="楷体"/>
          <w:color w:val="000000" w:themeColor="text1"/>
          <w:sz w:val="32"/>
          <w:szCs w:val="32"/>
        </w:rPr>
        <w:t>六、积极开展文旅节庆活动。</w:t>
      </w:r>
      <w:r>
        <w:rPr>
          <w:rFonts w:hint="eastAsia" w:ascii="仿宋_GB2312" w:hAnsi="仿宋_GB2312" w:eastAsia="仿宋_GB2312" w:cs="仿宋_GB2312"/>
          <w:color w:val="000000" w:themeColor="text1"/>
          <w:sz w:val="32"/>
          <w:szCs w:val="32"/>
        </w:rPr>
        <w:t>大力推进“一乡一特色”建设，每个乡镇打造一个知名的文旅节庆活动品牌，对积极承办的乡镇给予项目资金倾斜。经县政府批准承办的国家、省、市级文旅节会、体育赛事，实行一事一议，根据实际情况给予奖补。简化演绎审批流程，开通审批绿色通道，针对不同规模的文艺活动演出，由相关职能部门细化相关标准，压缩办理时限，确保“能演尽演”。</w:t>
      </w:r>
      <w:r>
        <w:rPr>
          <w:rFonts w:hint="eastAsia" w:ascii="楷体_GB2312" w:hAnsi="楷体" w:eastAsia="楷体_GB2312" w:cs="楷体_GB2312"/>
          <w:color w:val="000000" w:themeColor="text1"/>
          <w:kern w:val="0"/>
          <w:sz w:val="32"/>
          <w:szCs w:val="32"/>
          <w:shd w:val="clear" w:color="auto" w:fill="FFFFFF"/>
        </w:rPr>
        <w:t>（责任单位：县文旅广体局、县财政局、县公安局、县城管执法局、县应急管理局、县消防救援大队，各乡镇人民政府、阳明山管理局）</w:t>
      </w:r>
    </w:p>
    <w:p>
      <w:pPr>
        <w:spacing w:line="600" w:lineRule="exact"/>
        <w:ind w:firstLine="640" w:firstLineChars="200"/>
        <w:rPr>
          <w:rFonts w:ascii="楷体_GB2312" w:hAnsi="楷体" w:eastAsia="楷体_GB2312" w:cs="楷体_GB2312"/>
          <w:color w:val="000000" w:themeColor="text1"/>
          <w:kern w:val="0"/>
          <w:sz w:val="32"/>
          <w:szCs w:val="32"/>
          <w:shd w:val="clear" w:color="auto" w:fill="FFFFFF"/>
        </w:rPr>
      </w:pPr>
      <w:r>
        <w:rPr>
          <w:rFonts w:hint="eastAsia" w:ascii="黑体" w:hAnsi="黑体" w:eastAsia="黑体" w:cs="楷体"/>
          <w:color w:val="000000" w:themeColor="text1"/>
          <w:sz w:val="32"/>
          <w:szCs w:val="32"/>
        </w:rPr>
        <w:t>七、支持发展康养旅游。</w:t>
      </w:r>
      <w:r>
        <w:rPr>
          <w:rFonts w:hint="eastAsia" w:ascii="仿宋_GB2312" w:hAnsi="仿宋_GB2312" w:eastAsia="仿宋_GB2312" w:cs="仿宋_GB2312"/>
          <w:color w:val="000000" w:themeColor="text1"/>
          <w:sz w:val="32"/>
          <w:szCs w:val="32"/>
        </w:rPr>
        <w:t>按照《国家康养旅游示范基地标准》,在本县建设的康养旅游基地，同等享受本文件第二条措施优惠条件。鼓励全县机关、企事业单位、社会团体对获得“劳动模范（先进工作者）”“五一劳动奖章”“三八红旗手”等群体，定期组织康养旅行。对外市来双入住康养旅游基地、景区内酒店或民宿5天以上的，给予一定奖励。对当年“引客入双”团队游客达2000人次以上的本县机关、事业单位、社会团体（不含旅行社），一次性奖励工作经费2万元。</w:t>
      </w:r>
      <w:r>
        <w:rPr>
          <w:rFonts w:hint="eastAsia" w:ascii="楷体_GB2312" w:hAnsi="楷体" w:eastAsia="楷体_GB2312" w:cs="楷体_GB2312"/>
          <w:color w:val="000000" w:themeColor="text1"/>
          <w:kern w:val="0"/>
          <w:sz w:val="32"/>
          <w:szCs w:val="32"/>
        </w:rPr>
        <w:t>（责</w:t>
      </w:r>
      <w:r>
        <w:rPr>
          <w:rFonts w:hint="eastAsia" w:ascii="楷体_GB2312" w:hAnsi="楷体" w:eastAsia="楷体_GB2312" w:cs="楷体_GB2312"/>
          <w:color w:val="000000" w:themeColor="text1"/>
          <w:kern w:val="0"/>
          <w:sz w:val="32"/>
          <w:szCs w:val="32"/>
          <w:shd w:val="clear" w:color="auto" w:fill="FFFFFF"/>
        </w:rPr>
        <w:t>任单位：县文旅广体局、县财政局、县卫健局、县民政局、县总工会、团县委、县妇联，各乡镇人民政府、阳明山管理局）</w:t>
      </w:r>
    </w:p>
    <w:p>
      <w:pPr>
        <w:spacing w:line="600" w:lineRule="exact"/>
        <w:ind w:firstLine="640" w:firstLineChars="200"/>
        <w:rPr>
          <w:rFonts w:ascii="楷体_GB2312" w:hAnsi="楷体" w:eastAsia="楷体_GB2312" w:cs="楷体_GB2312"/>
          <w:color w:val="000000" w:themeColor="text1"/>
          <w:kern w:val="0"/>
          <w:sz w:val="32"/>
          <w:szCs w:val="32"/>
          <w:shd w:val="clear" w:color="auto" w:fill="FFFFFF"/>
        </w:rPr>
      </w:pPr>
      <w:r>
        <w:rPr>
          <w:rFonts w:ascii="仿宋_GB2312" w:hAnsi="仿宋_GB2312" w:eastAsia="仿宋_GB2312" w:cs="仿宋_GB2312"/>
          <w:color w:val="000000" w:themeColor="text1"/>
          <w:sz w:val="32"/>
          <w:szCs w:val="32"/>
        </w:rPr>
        <w:pict>
          <v:shape id="_x0000_s1184" o:spid="_x0000_s1184" o:spt="202" type="#_x0000_t202" style="position:absolute;left:0pt;margin-left:-27.65pt;margin-top:-262.8pt;height:25.55pt;width:489.05pt;z-index:-251603968;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县人民政府办公室文件           </w:t>
                  </w:r>
                  <w:r>
                    <w:rPr>
                      <w:rFonts w:hint="eastAsia"/>
                      <w:u w:val="single" w:color="000000"/>
                    </w:rPr>
                    <w:t xml:space="preserve">     </w:t>
                  </w:r>
                  <w:r>
                    <w:rPr>
                      <w:u w:val="single" w:color="000000"/>
                    </w:rPr>
                    <w:t xml:space="preserve">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黑体" w:hAnsi="黑体" w:eastAsia="黑体" w:cs="楷体"/>
          <w:color w:val="000000" w:themeColor="text1"/>
          <w:sz w:val="32"/>
          <w:szCs w:val="32"/>
        </w:rPr>
        <w:t>八、鼓励开发旅游文创商品。</w:t>
      </w:r>
      <w:r>
        <w:rPr>
          <w:rFonts w:hint="eastAsia" w:ascii="仿宋_GB2312" w:hAnsi="仿宋_GB2312" w:eastAsia="仿宋_GB2312" w:cs="仿宋_GB2312"/>
          <w:color w:val="000000" w:themeColor="text1"/>
          <w:sz w:val="32"/>
          <w:szCs w:val="32"/>
        </w:rPr>
        <w:t>积极打造“双牌味道”文创美食品牌；加强院县合作，引进社会资本研发、生产、销售竹木和美食等文创商品，2024年起获得专利并进入商品流通环节的文创旅游商品，其销售额达100万元以上的按销售金额的1%给予奖补，单个奖项最高不超过10万元；整合特色竹木工艺美术品、旅游纪念品、地方农特产品等旅游商品纳入全县统一标识标牌等品牌范围，在A级景区、乡村旅游区（点）游客中心开设示范点。</w:t>
      </w:r>
      <w:r>
        <w:rPr>
          <w:rFonts w:hint="eastAsia" w:ascii="楷体_GB2312" w:hAnsi="楷体" w:eastAsia="楷体_GB2312" w:cs="楷体_GB2312"/>
          <w:color w:val="000000" w:themeColor="text1"/>
          <w:kern w:val="0"/>
          <w:sz w:val="32"/>
          <w:szCs w:val="32"/>
          <w:shd w:val="clear" w:color="auto" w:fill="FFFFFF"/>
        </w:rPr>
        <w:t>（责任单位：县文旅广体局、县财政局、县农业农村局、县市场监管局、县科工信局、泷旅集团，各乡镇人民政府、阳明山管理局）</w:t>
      </w:r>
    </w:p>
    <w:p>
      <w:pPr>
        <w:spacing w:line="600" w:lineRule="exact"/>
        <w:ind w:firstLine="640" w:firstLineChars="200"/>
        <w:rPr>
          <w:rFonts w:ascii="楷体_GB2312" w:hAnsi="楷体" w:eastAsia="楷体_GB2312" w:cs="楷体_GB2312"/>
          <w:color w:val="000000" w:themeColor="text1"/>
          <w:kern w:val="0"/>
          <w:sz w:val="32"/>
          <w:szCs w:val="32"/>
          <w:shd w:val="clear" w:color="auto" w:fill="FFFFFF"/>
        </w:rPr>
      </w:pPr>
      <w:r>
        <w:rPr>
          <w:rFonts w:hint="eastAsia" w:ascii="黑体" w:hAnsi="黑体" w:eastAsia="黑体" w:cs="楷体"/>
          <w:color w:val="000000" w:themeColor="text1"/>
          <w:sz w:val="32"/>
          <w:szCs w:val="32"/>
        </w:rPr>
        <w:t>九、扶持旅游企业做大做强。</w:t>
      </w:r>
      <w:r>
        <w:rPr>
          <w:rFonts w:hint="eastAsia" w:ascii="仿宋_GB2312" w:hAnsi="仿宋_GB2312" w:eastAsia="仿宋_GB2312" w:cs="仿宋_GB2312"/>
          <w:color w:val="000000" w:themeColor="text1"/>
          <w:sz w:val="32"/>
          <w:szCs w:val="32"/>
        </w:rPr>
        <w:t>鼓励在双牌注册旅行社。对当年“引客入双”非双牌籍团队游客达20000人次以上的旅行社，除享受“引客入永”现有政策奖励外，再一次性奖励3万元。鼓励“双牌人游双牌，永州人游双牌、湖南人游双牌、两广人(广东、广西)游双牌”，每年开展2次“免费畅游双牌”活动，由县文旅部门牵头组织实施。鼓励全县机关、企事业单位和社会团体的党建、工会和公务活动，可依法依规委托旅行社代理安排交通、住宿、餐饮、会务等事项。</w:t>
      </w:r>
      <w:r>
        <w:rPr>
          <w:rFonts w:hint="eastAsia" w:ascii="楷体_GB2312" w:hAnsi="楷体" w:eastAsia="楷体_GB2312" w:cs="楷体_GB2312"/>
          <w:color w:val="000000" w:themeColor="text1"/>
          <w:kern w:val="0"/>
          <w:sz w:val="32"/>
          <w:szCs w:val="32"/>
          <w:shd w:val="clear" w:color="auto" w:fill="FFFFFF"/>
        </w:rPr>
        <w:t>(责任单位: 县文旅广体局、县财政局、县总工会，各乡镇人民政府、阳明山管理局)。</w:t>
      </w:r>
    </w:p>
    <w:p>
      <w:pPr>
        <w:spacing w:line="600" w:lineRule="exact"/>
        <w:ind w:firstLine="640" w:firstLineChars="200"/>
        <w:rPr>
          <w:rFonts w:ascii="黑体" w:hAnsi="黑体" w:eastAsia="黑体" w:cs="楷体"/>
          <w:b/>
          <w:color w:val="000000" w:themeColor="text1"/>
          <w:sz w:val="32"/>
          <w:szCs w:val="32"/>
        </w:rPr>
      </w:pPr>
      <w:r>
        <w:rPr>
          <w:rFonts w:ascii="楷体_GB2312" w:hAnsi="楷体" w:eastAsia="楷体_GB2312" w:cs="楷体_GB2312"/>
          <w:color w:val="000000" w:themeColor="text1"/>
          <w:kern w:val="0"/>
          <w:sz w:val="32"/>
          <w:szCs w:val="32"/>
        </w:rPr>
        <w:pict>
          <v:shape id="_x0000_s1185" o:spid="_x0000_s1185" o:spt="202" type="#_x0000_t202" style="position:absolute;left:0pt;margin-left:-28.25pt;margin-top:-114pt;height:25.55pt;width:489.05pt;z-index:-251602944;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县人民政府办公室文件           </w:t>
                  </w:r>
                  <w:r>
                    <w:rPr>
                      <w:rFonts w:hint="eastAsia"/>
                      <w:u w:val="single" w:color="000000"/>
                    </w:rPr>
                    <w:t xml:space="preserve">     </w:t>
                  </w:r>
                  <w:r>
                    <w:rPr>
                      <w:u w:val="single" w:color="000000"/>
                    </w:rPr>
                    <w:t xml:space="preserve">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黑体" w:hAnsi="黑体" w:eastAsia="黑体" w:cs="楷体"/>
          <w:color w:val="000000" w:themeColor="text1"/>
          <w:sz w:val="32"/>
          <w:szCs w:val="32"/>
        </w:rPr>
        <w:t>十、强化保障措施。</w:t>
      </w:r>
      <w:r>
        <w:rPr>
          <w:rFonts w:hint="eastAsia" w:ascii="仿宋_GB2312" w:hAnsi="仿宋_GB2312" w:eastAsia="仿宋_GB2312" w:cs="仿宋_GB2312"/>
          <w:color w:val="000000" w:themeColor="text1"/>
          <w:sz w:val="32"/>
          <w:szCs w:val="32"/>
        </w:rPr>
        <w:t>县级财政设立旅游产业发展专项资金，自2024年起每年安排资金1000万元，以后根据实际情况适当增长，统筹用于文旅产业奖励兑现、活动开展工作经费等。凡在双牌新办的客商投资旅游相关企业，可以依法依规依程序通过出让、转让、租赁和政府划拨等方式取得土地使用权。经营性项目用地必须依法依规依程序以招标、拍卖、挂牌方式取得。对出让取得的国有土地使用权可以依法依规依程序转让、出租、继承或作为合作合资经营的折股投资。在土地利用年度计划和城乡土地利用总体规划中，优先安排旅游开发建设用地。</w:t>
      </w:r>
      <w:r>
        <w:rPr>
          <w:rFonts w:hint="eastAsia" w:ascii="楷体_GB2312" w:hAnsi="楷体" w:eastAsia="楷体_GB2312" w:cs="楷体_GB2312"/>
          <w:color w:val="000000" w:themeColor="text1"/>
          <w:kern w:val="0"/>
          <w:sz w:val="32"/>
          <w:szCs w:val="32"/>
          <w:shd w:val="clear" w:color="auto" w:fill="FFFFFF"/>
        </w:rPr>
        <w:t>（责任单位：县财政局、县自然资源局、县文旅广体局，各乡镇人民政府、阳明山管理局）</w:t>
      </w:r>
    </w:p>
    <w:p>
      <w:pPr>
        <w:pStyle w:val="27"/>
        <w:spacing w:line="60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所有奖励项为发布之日起在建项目和新引进投资项目、新创建的品牌、新引进的游客、新开发的文创旅游商品。</w:t>
      </w:r>
      <w:r>
        <w:rPr>
          <w:rFonts w:hint="eastAsia" w:ascii="楷体" w:hAnsi="楷体" w:eastAsia="楷体" w:cs="楷体"/>
          <w:color w:val="000000" w:themeColor="text1"/>
          <w:sz w:val="32"/>
          <w:szCs w:val="32"/>
        </w:rPr>
        <w:t>统计时间范围为：</w:t>
      </w:r>
      <w:r>
        <w:rPr>
          <w:rFonts w:hint="eastAsia" w:ascii="仿宋_GB2312" w:hAnsi="仿宋_GB2312" w:eastAsia="仿宋_GB2312" w:cs="仿宋_GB2312"/>
          <w:color w:val="000000" w:themeColor="text1"/>
          <w:sz w:val="32"/>
          <w:szCs w:val="32"/>
        </w:rPr>
        <w:t>除文旅项目投资项以项目竣工投用为准外，其它奖项统计时间范围均为当年自然年度内。</w:t>
      </w:r>
      <w:r>
        <w:rPr>
          <w:rFonts w:hint="eastAsia" w:ascii="楷体" w:hAnsi="楷体" w:eastAsia="楷体" w:cs="楷体"/>
          <w:color w:val="000000" w:themeColor="text1"/>
          <w:sz w:val="32"/>
          <w:szCs w:val="32"/>
        </w:rPr>
        <w:t>认定要求：</w:t>
      </w:r>
      <w:r>
        <w:rPr>
          <w:rFonts w:hint="eastAsia" w:ascii="仿宋_GB2312" w:hAnsi="仿宋_GB2312" w:eastAsia="仿宋_GB2312" w:cs="仿宋_GB2312"/>
          <w:color w:val="000000" w:themeColor="text1"/>
          <w:sz w:val="32"/>
          <w:szCs w:val="32"/>
        </w:rPr>
        <w:t>文旅项目投资项以县发改、县财政等部门核实出具的证明资料为凭证；品牌创建项以批文或公告公示为凭证；宣传推介项以线上认定的资料为凭证；文创产品和旅游商品开发以样品、专利证书、相关证照并进入商品流通市场许可为凭证；“引客入双”项以文旅场所消费有效单据和组团人员信息及影像资料为凭证。</w:t>
      </w:r>
      <w:r>
        <w:rPr>
          <w:rFonts w:hint="eastAsia" w:ascii="楷体" w:hAnsi="楷体" w:eastAsia="楷体" w:cs="楷体"/>
          <w:color w:val="000000" w:themeColor="text1"/>
          <w:sz w:val="32"/>
          <w:szCs w:val="32"/>
        </w:rPr>
        <w:t>奖励扶持方式：</w:t>
      </w:r>
      <w:r>
        <w:rPr>
          <w:rFonts w:hint="eastAsia" w:ascii="仿宋_GB2312" w:hAnsi="仿宋_GB2312" w:eastAsia="仿宋_GB2312" w:cs="仿宋_GB2312"/>
          <w:color w:val="000000" w:themeColor="text1"/>
          <w:sz w:val="32"/>
          <w:szCs w:val="32"/>
        </w:rPr>
        <w:t>本地财政奖励资金、上级财政补贴资金、相关基础设施投入资金等。</w:t>
      </w:r>
      <w:r>
        <w:rPr>
          <w:rFonts w:ascii="仿宋_GB2312" w:hAnsi="仿宋" w:eastAsia="仿宋_GB2312" w:cs="仿宋_GB2312"/>
          <w:color w:val="000000" w:themeColor="text1"/>
          <w:sz w:val="32"/>
          <w:szCs w:val="32"/>
        </w:rPr>
        <w:t>新建</w:t>
      </w:r>
      <w:r>
        <w:rPr>
          <w:rFonts w:hint="eastAsia" w:ascii="仿宋_GB2312" w:hAnsi="仿宋" w:eastAsia="仿宋_GB2312" w:cs="仿宋_GB2312"/>
          <w:color w:val="000000" w:themeColor="text1"/>
          <w:sz w:val="32"/>
          <w:szCs w:val="32"/>
        </w:rPr>
        <w:t>和</w:t>
      </w:r>
      <w:r>
        <w:rPr>
          <w:rFonts w:ascii="仿宋_GB2312" w:hAnsi="仿宋" w:eastAsia="仿宋_GB2312" w:cs="仿宋_GB2312"/>
          <w:color w:val="000000" w:themeColor="text1"/>
          <w:sz w:val="32"/>
          <w:szCs w:val="32"/>
        </w:rPr>
        <w:t>扩建项目不重复计算奖励额，在计算投资额时应剔除各级政府的补助、奖励等奖补性支出。</w:t>
      </w:r>
    </w:p>
    <w:p>
      <w:pPr>
        <w:pStyle w:val="27"/>
        <w:spacing w:line="600" w:lineRule="exact"/>
        <w:ind w:firstLine="640" w:firstLineChars="200"/>
        <w:jc w:val="both"/>
        <w:rPr>
          <w:color w:val="000000" w:themeColor="text1"/>
        </w:rPr>
      </w:pPr>
      <w:r>
        <w:rPr>
          <w:rFonts w:ascii="楷体" w:hAnsi="楷体" w:eastAsia="楷体" w:cs="楷体"/>
          <w:color w:val="000000" w:themeColor="text1"/>
          <w:sz w:val="32"/>
          <w:szCs w:val="32"/>
        </w:rPr>
        <w:pict>
          <v:shape id="_x0000_s1186" o:spid="_x0000_s1186" o:spt="202" type="#_x0000_t202" style="position:absolute;left:0pt;margin-left:-31.25pt;margin-top:-261pt;height:25.55pt;width:489.05pt;z-index:-251601920;mso-width-relative:page;mso-height-relative:page;" stroked="f" coordsize="21600,21600" o:gfxdata="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BD/bmnVAAAACwEAAA8AAAAAAAAAAQAg&#10;AAAAOAAAAGRycy9kb3ducmV2LnhtbFBLAQIUABQAAAAIAIdO4kAHtHNsNAIAAEMEAAAOAAAAAAAA&#10;AAEAIAAAADoBAABkcnMvZTJvRG9jLnhtbFBLBQYAAAAABgAGAFkBAADgBQAAAAA=&#10;">
            <v:path/>
            <v:fill focussize="0,0"/>
            <v:stroke on="f" weight="0.5pt" joinstyle="miter"/>
            <v:imagedata o:title=""/>
            <o:lock v:ext="edit"/>
            <v:textbox>
              <w:txbxContent>
                <w:p>
                  <w:r>
                    <w:rPr>
                      <w:u w:val="single" w:color="000000"/>
                    </w:rPr>
                    <w:t xml:space="preserve">县人民政府办公室文件           </w:t>
                  </w:r>
                  <w:r>
                    <w:rPr>
                      <w:rFonts w:hint="eastAsia"/>
                      <w:u w:val="single" w:color="000000"/>
                    </w:rPr>
                    <w:t xml:space="preserve">     </w:t>
                  </w:r>
                  <w:r>
                    <w:rPr>
                      <w:u w:val="single" w:color="000000"/>
                    </w:rPr>
                    <w:t xml:space="preserve">双牌县人民政府公报    </w:t>
                  </w:r>
                  <w:r>
                    <w:rPr>
                      <w:rFonts w:hint="eastAsia"/>
                      <w:u w:val="single" w:color="000000"/>
                    </w:rPr>
                    <w:t xml:space="preserve">       </w:t>
                  </w:r>
                  <w:r>
                    <w:rPr>
                      <w:u w:val="single" w:color="000000"/>
                    </w:rPr>
                    <w:t xml:space="preserve">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仿宋_GB2312" w:hAnsi="仿宋_GB2312" w:eastAsia="仿宋_GB2312" w:cs="仿宋_GB2312"/>
          <w:color w:val="000000" w:themeColor="text1"/>
          <w:sz w:val="32"/>
          <w:szCs w:val="32"/>
        </w:rPr>
        <w:t>本措施自发布之日起，此前有关政策与本措施不一致的，以本措施为准，奖励措施按就高不就低的原则执行，不得叠加实施。所有奖补项目需提前到文旅部门报备，经审批同意后方可实施奖补。具体实施由双牌县相关职能部门按程序审批，依法依规执行。</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本措施自公布之日起施行，有效期二年。</w:t>
      </w:r>
    </w:p>
    <w:p>
      <w:pPr>
        <w:rPr>
          <w:rFonts w:eastAsia="仿宋_GB2312"/>
        </w:rPr>
        <w:sectPr>
          <w:type w:val="continuous"/>
          <w:pgSz w:w="11906" w:h="16838"/>
          <w:pgMar w:top="1440" w:right="1800" w:bottom="1440" w:left="1800" w:header="851" w:footer="992" w:gutter="0"/>
          <w:pgNumType w:fmt="numberInDash"/>
          <w:cols w:equalWidth="0" w:num="2">
            <w:col w:w="3940" w:space="425"/>
            <w:col w:w="3940"/>
          </w:cols>
          <w:docGrid w:type="lines" w:linePitch="312" w:charSpace="0"/>
        </w:sectPr>
      </w:pPr>
    </w:p>
    <w:p>
      <w:pPr>
        <w:pStyle w:val="2"/>
      </w:pPr>
    </w:p>
    <w:p>
      <w:pPr>
        <w:spacing w:line="600" w:lineRule="exact"/>
        <w:ind w:firstLine="640" w:firstLineChars="200"/>
        <w:jc w:val="left"/>
        <w:rPr>
          <w:rFonts w:ascii="仿宋_GB2312" w:hAnsi="仿宋" w:eastAsia="仿宋_GB2312" w:cs="仿宋"/>
          <w:sz w:val="32"/>
          <w:szCs w:val="32"/>
        </w:rPr>
      </w:pPr>
    </w:p>
    <w:p>
      <w:pPr>
        <w:pStyle w:val="11"/>
        <w:spacing w:after="0" w:line="260" w:lineRule="exact"/>
        <w:ind w:firstLine="640" w:firstLineChars="200"/>
        <w:rPr>
          <w:rFonts w:ascii="仿宋_GB2312" w:hAnsi="仿宋_GB2312" w:eastAsia="仿宋_GB2312" w:cs="仿宋_GB2312"/>
          <w:color w:val="000000"/>
          <w:sz w:val="32"/>
          <w:szCs w:val="32"/>
        </w:rPr>
      </w:pPr>
    </w:p>
    <w:p>
      <w:pPr>
        <w:pStyle w:val="10"/>
        <w:spacing w:beforeAutospacing="0" w:after="105" w:afterAutospacing="0" w:line="500" w:lineRule="exact"/>
        <w:jc w:val="center"/>
        <w:rPr>
          <w:rFonts w:ascii="方正大标宋_GBK" w:hAnsi="宋体" w:eastAsia="方正大标宋_GBK" w:cs="宋体"/>
          <w:sz w:val="40"/>
          <w:szCs w:val="40"/>
        </w:rPr>
      </w:pPr>
    </w:p>
    <w:p>
      <w:pPr>
        <w:pStyle w:val="10"/>
        <w:spacing w:beforeAutospacing="0" w:after="105" w:afterAutospacing="0" w:line="500" w:lineRule="exact"/>
        <w:jc w:val="center"/>
        <w:rPr>
          <w:rFonts w:ascii="方正大标宋_GBK" w:hAnsi="宋体" w:eastAsia="方正大标宋_GBK" w:cs="宋体"/>
          <w:sz w:val="40"/>
          <w:szCs w:val="40"/>
        </w:rPr>
      </w:pPr>
    </w:p>
    <w:p>
      <w:pPr>
        <w:pStyle w:val="10"/>
        <w:spacing w:beforeAutospacing="0" w:after="105" w:afterAutospacing="0" w:line="500" w:lineRule="exact"/>
        <w:jc w:val="center"/>
        <w:rPr>
          <w:rFonts w:ascii="方正大标宋_GBK" w:hAnsi="宋体" w:eastAsia="方正大标宋_GBK" w:cs="宋体"/>
          <w:sz w:val="40"/>
          <w:szCs w:val="40"/>
        </w:rPr>
      </w:pPr>
    </w:p>
    <w:p>
      <w:pPr>
        <w:pStyle w:val="10"/>
        <w:spacing w:beforeAutospacing="0" w:after="105" w:afterAutospacing="0" w:line="500" w:lineRule="exact"/>
        <w:jc w:val="center"/>
        <w:rPr>
          <w:rFonts w:ascii="方正大标宋_GBK" w:hAnsi="宋体" w:eastAsia="方正大标宋_GBK" w:cs="宋体"/>
          <w:sz w:val="40"/>
          <w:szCs w:val="40"/>
        </w:rPr>
      </w:pPr>
    </w:p>
    <w:p>
      <w:pPr>
        <w:pStyle w:val="10"/>
        <w:spacing w:beforeAutospacing="0" w:after="105" w:afterAutospacing="0" w:line="500" w:lineRule="exact"/>
        <w:jc w:val="center"/>
        <w:rPr>
          <w:rFonts w:ascii="方正大标宋_GBK" w:hAnsi="宋体" w:eastAsia="方正大标宋_GBK" w:cs="宋体"/>
          <w:sz w:val="40"/>
          <w:szCs w:val="40"/>
        </w:rPr>
      </w:pPr>
    </w:p>
    <w:p>
      <w:pPr>
        <w:pStyle w:val="10"/>
        <w:spacing w:beforeAutospacing="0" w:after="105" w:afterAutospacing="0" w:line="500" w:lineRule="exact"/>
        <w:jc w:val="center"/>
        <w:rPr>
          <w:rFonts w:ascii="方正大标宋_GBK" w:hAnsi="宋体" w:eastAsia="方正大标宋_GBK" w:cs="宋体"/>
          <w:sz w:val="40"/>
          <w:szCs w:val="40"/>
        </w:rPr>
      </w:pPr>
    </w:p>
    <w:p>
      <w:pPr>
        <w:pStyle w:val="10"/>
        <w:spacing w:beforeAutospacing="0" w:after="105" w:afterAutospacing="0" w:line="500" w:lineRule="exact"/>
        <w:jc w:val="center"/>
        <w:rPr>
          <w:rFonts w:ascii="方正大标宋_GBK" w:hAnsi="宋体" w:eastAsia="方正大标宋_GBK" w:cs="宋体"/>
          <w:sz w:val="40"/>
          <w:szCs w:val="40"/>
        </w:rPr>
      </w:pPr>
    </w:p>
    <w:p>
      <w:pPr>
        <w:pStyle w:val="10"/>
        <w:spacing w:beforeAutospacing="0" w:after="105" w:afterAutospacing="0" w:line="500" w:lineRule="exact"/>
        <w:jc w:val="center"/>
        <w:rPr>
          <w:rFonts w:ascii="方正大标宋_GBK" w:hAnsi="宋体" w:eastAsia="方正大标宋_GBK" w:cs="宋体"/>
          <w:sz w:val="40"/>
          <w:szCs w:val="40"/>
        </w:rPr>
      </w:pPr>
    </w:p>
    <w:p>
      <w:pPr>
        <w:pStyle w:val="10"/>
        <w:spacing w:beforeAutospacing="0" w:after="105" w:afterAutospacing="0" w:line="500" w:lineRule="exact"/>
        <w:jc w:val="center"/>
        <w:rPr>
          <w:rFonts w:ascii="方正大标宋_GBK" w:hAnsi="宋体" w:eastAsia="方正大标宋_GBK" w:cs="宋体"/>
          <w:sz w:val="40"/>
          <w:szCs w:val="40"/>
        </w:rPr>
      </w:pPr>
    </w:p>
    <w:p>
      <w:pPr>
        <w:spacing w:line="600" w:lineRule="exact"/>
        <w:rPr>
          <w:rFonts w:ascii="仿宋_GB2312" w:hAnsi="仿宋_GB2312" w:eastAsia="仿宋_GB2312" w:cs="仿宋_GB2312"/>
          <w:sz w:val="32"/>
          <w:szCs w:val="32"/>
        </w:rPr>
      </w:pPr>
    </w:p>
    <w:p>
      <w:pPr>
        <w:spacing w:line="320" w:lineRule="exact"/>
        <w:jc w:val="center"/>
        <w:rPr>
          <w:rFonts w:ascii="方正大标宋_GBK" w:hAnsi="方正小标宋_GBK" w:eastAsia="方正大标宋_GBK" w:cs="方正小标宋_GBK"/>
          <w:sz w:val="40"/>
          <w:szCs w:val="40"/>
        </w:rPr>
      </w:pPr>
    </w:p>
    <w:p>
      <w:pPr>
        <w:pStyle w:val="2"/>
        <w:spacing w:after="0" w:line="240" w:lineRule="exact"/>
      </w:pPr>
      <w:r>
        <w:rPr>
          <w:sz w:val="40"/>
        </w:rPr>
        <w:pict>
          <v:shape id="_x0000_s1030" o:spid="_x0000_s1030" o:spt="202" type="#_x0000_t202" style="position:absolute;left:0pt;margin-left:-25.8pt;margin-top:-50.8pt;height:25.55pt;width:484.8pt;z-index:251631616;mso-width-relative:page;mso-height-relative:page;" stroked="f" coordsize="21600,21600" o:gfxdata="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H//k8zVAAAACwEAAA8AAAAAAAAAAQAg&#10;AAAAOAAAAGRycy9kb3ducmV2LnhtbFBLAQIUABQAAAAIAIdO4kDt1S6ONAIAAEMEAAAOAAAAAAAA&#10;AAEAIAAAADoBAABkcnMvZTJvRG9jLnhtbFBLBQYAAAAABgAGAFkBAADgBQAAAAA=&#10;">
            <v:path/>
            <v:fill focussize="0,0"/>
            <v:stroke on="f" weight="0.5pt" joinstyle="miter"/>
            <v:imagedata o:title=""/>
            <o:lock v:ext="edit"/>
            <v:textbox>
              <w:txbxContent>
                <w:p>
                  <w:r>
                    <w:rPr>
                      <w:u w:val="single" w:color="000000"/>
                    </w:rPr>
                    <w:t xml:space="preserve">人事任免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p>
    <w:p>
      <w:pPr>
        <w:spacing w:line="600" w:lineRule="exact"/>
        <w:jc w:val="center"/>
        <w:rPr>
          <w:rFonts w:ascii="方正大标宋_GBK" w:hAnsi="方正小标宋_GBK" w:eastAsia="方正大标宋_GBK" w:cs="方正小标宋_GBK"/>
          <w:sz w:val="40"/>
          <w:szCs w:val="40"/>
        </w:rPr>
      </w:pPr>
      <w:r>
        <w:rPr>
          <w:rFonts w:hint="eastAsia" w:ascii="方正大标宋_GBK" w:hAnsi="方正小标宋_GBK" w:eastAsia="方正大标宋_GBK" w:cs="方正小标宋_GBK"/>
          <w:sz w:val="40"/>
          <w:szCs w:val="40"/>
        </w:rPr>
        <w:t>双牌县人民政府</w:t>
      </w:r>
    </w:p>
    <w:p>
      <w:pPr>
        <w:spacing w:line="600" w:lineRule="exact"/>
        <w:jc w:val="center"/>
        <w:rPr>
          <w:rFonts w:ascii="方正大标宋_GBK" w:hAnsi="方正小标宋_GBK" w:eastAsia="方正大标宋_GBK" w:cs="方正小标宋_GBK"/>
          <w:sz w:val="40"/>
          <w:szCs w:val="40"/>
        </w:rPr>
      </w:pPr>
      <w:r>
        <w:rPr>
          <w:rFonts w:ascii="方正大标宋_GBK" w:hAnsi="方正小标宋_GBK" w:eastAsia="方正大标宋_GBK" w:cs="方正小标宋_GBK"/>
          <w:sz w:val="40"/>
          <w:szCs w:val="40"/>
        </w:rPr>
        <w:t>关于</w:t>
      </w:r>
      <w:r>
        <w:rPr>
          <w:rFonts w:hint="eastAsia" w:ascii="方正大标宋_GBK" w:hAnsi="方正小标宋简体" w:eastAsia="方正大标宋_GBK" w:cs="方正小标宋简体"/>
          <w:sz w:val="40"/>
          <w:szCs w:val="40"/>
        </w:rPr>
        <w:t>屈艳斌等同志职务任免的通知</w:t>
      </w:r>
    </w:p>
    <w:p>
      <w:pPr>
        <w:spacing w:line="600" w:lineRule="exact"/>
        <w:jc w:val="center"/>
        <w:rPr>
          <w:rFonts w:ascii="方正大标宋_GBK" w:hAnsi="方正小标宋_GBK" w:eastAsia="方正大标宋_GBK" w:cs="方正小标宋_GBK"/>
          <w:sz w:val="40"/>
          <w:szCs w:val="40"/>
        </w:rPr>
      </w:pPr>
      <w:r>
        <w:rPr>
          <w:rFonts w:hint="eastAsia" w:ascii="仿宋_GB2312" w:eastAsia="仿宋_GB2312" w:cs="Times New Roman"/>
          <w:sz w:val="32"/>
          <w:szCs w:val="32"/>
        </w:rPr>
        <w:t>双政人〔20</w:t>
      </w:r>
      <w:r>
        <w:rPr>
          <w:rFonts w:hint="eastAsia" w:ascii="仿宋_GB2312" w:eastAsia="仿宋_GB2312"/>
          <w:sz w:val="32"/>
          <w:szCs w:val="32"/>
        </w:rPr>
        <w:t>2</w:t>
      </w:r>
      <w:r>
        <w:rPr>
          <w:rFonts w:ascii="仿宋_GB2312" w:eastAsia="仿宋_GB2312"/>
          <w:sz w:val="32"/>
          <w:szCs w:val="32"/>
        </w:rPr>
        <w:t>4</w:t>
      </w:r>
      <w:r>
        <w:rPr>
          <w:rFonts w:hint="eastAsia" w:ascii="仿宋_GB2312" w:eastAsia="仿宋_GB2312" w:cs="Times New Roman"/>
          <w:sz w:val="32"/>
          <w:szCs w:val="32"/>
        </w:rPr>
        <w:t>〕</w:t>
      </w:r>
      <w:r>
        <w:rPr>
          <w:rFonts w:ascii="仿宋_GB2312" w:eastAsia="仿宋_GB2312" w:cs="Times New Roman"/>
          <w:sz w:val="32"/>
          <w:szCs w:val="32"/>
        </w:rPr>
        <w:t>1</w:t>
      </w:r>
      <w:r>
        <w:rPr>
          <w:rFonts w:hint="eastAsia" w:ascii="仿宋_GB2312" w:eastAsia="仿宋_GB2312" w:cs="Times New Roman"/>
          <w:sz w:val="32"/>
          <w:szCs w:val="32"/>
        </w:rPr>
        <w:t>号</w:t>
      </w:r>
    </w:p>
    <w:p>
      <w:pPr>
        <w:spacing w:line="500" w:lineRule="exact"/>
        <w:rPr>
          <w:rFonts w:ascii="仿宋_GB2312" w:hAnsi="仿宋_GB2312" w:eastAsia="仿宋_GB2312" w:cs="仿宋_GB2312"/>
          <w:sz w:val="32"/>
          <w:szCs w:val="32"/>
        </w:rPr>
      </w:pPr>
    </w:p>
    <w:p>
      <w:pPr>
        <w:spacing w:line="580" w:lineRule="exact"/>
        <w:rPr>
          <w:rFonts w:ascii="仿宋_GB2312" w:hAnsi="仿宋_GB2312" w:eastAsia="仿宋_GB2312" w:cs="仿宋_GB2312"/>
          <w:sz w:val="32"/>
          <w:szCs w:val="32"/>
        </w:rPr>
      </w:pPr>
      <w:r>
        <w:rPr>
          <w:rFonts w:ascii="仿宋_GB2312" w:hAnsi="仿宋_GB2312" w:eastAsia="仿宋_GB2312" w:cs="仿宋_GB2312"/>
          <w:sz w:val="32"/>
          <w:szCs w:val="32"/>
        </w:rPr>
        <w:t>各乡镇人民政府，阳明山管理局，县直各单位</w:t>
      </w:r>
      <w:r>
        <w:rPr>
          <w:rFonts w:hint="eastAsia" w:ascii="仿宋_GB2312" w:hAnsi="仿宋_GB2312" w:eastAsia="仿宋_GB2312" w:cs="仿宋_GB2312"/>
          <w:sz w:val="32"/>
          <w:szCs w:val="32"/>
        </w:rPr>
        <w:t>:</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根据县委双委干〔202</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73</w:t>
      </w:r>
      <w:r>
        <w:rPr>
          <w:rFonts w:hint="eastAsia" w:ascii="仿宋_GB2312" w:hAnsi="仿宋_GB2312" w:eastAsia="仿宋_GB2312" w:cs="仿宋_GB2312"/>
          <w:sz w:val="32"/>
          <w:szCs w:val="32"/>
        </w:rPr>
        <w:t>号文件提名，经县人民政府党组研究</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决定</w:t>
      </w:r>
      <w:r>
        <w:rPr>
          <w:rFonts w:ascii="仿宋_GB2312" w:hAnsi="仿宋_GB2312" w:eastAsia="仿宋_GB2312" w:cs="仿宋_GB2312"/>
          <w:sz w:val="32"/>
          <w:szCs w:val="32"/>
        </w:rPr>
        <w:t>任命</w:t>
      </w:r>
      <w:r>
        <w:rPr>
          <w:rFonts w:hint="eastAsia" w:ascii="仿宋_GB2312" w:hAnsi="仿宋_GB2312" w:eastAsia="仿宋_GB2312" w:cs="仿宋_GB2312"/>
          <w:sz w:val="32"/>
          <w:szCs w:val="32"/>
        </w:rPr>
        <w:t>：</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屈艳斌同志为县公安局副局长</w:t>
      </w:r>
      <w:r>
        <w:rPr>
          <w:rFonts w:ascii="仿宋_GB2312" w:hAnsi="仿宋_GB2312" w:eastAsia="仿宋_GB2312" w:cs="仿宋_GB2312"/>
          <w:sz w:val="32"/>
          <w:szCs w:val="32"/>
        </w:rPr>
        <w:t>；</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龚双剑同志为县公安局城关派出所所长(试用期一年);</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蒋义同志为县森林公安局副局长(试用期一年);</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卿辉同志为县公安局麻江派出所所长</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试用期一年</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刘毅同志为县公安局永江派出所所长(试用期一年);</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李平</w:t>
      </w:r>
      <w:r>
        <w:rPr>
          <w:rFonts w:hint="eastAsia" w:ascii="仿宋_GB2312" w:hAnsi="仿宋_GB2312" w:eastAsia="仿宋_GB2312" w:cs="仿宋_GB2312"/>
          <w:spacing w:val="-4"/>
          <w:sz w:val="32"/>
          <w:szCs w:val="32"/>
        </w:rPr>
        <w:t>国同志为县公安局理家坪派出所所长(试用期一年);</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彭龙</w:t>
      </w:r>
      <w:r>
        <w:rPr>
          <w:rFonts w:hint="eastAsia" w:ascii="仿宋_GB2312" w:hAnsi="仿宋_GB2312" w:eastAsia="仿宋_GB2312" w:cs="仿宋_GB2312"/>
          <w:spacing w:val="-4"/>
          <w:sz w:val="32"/>
          <w:szCs w:val="32"/>
        </w:rPr>
        <w:t>滔同志为县公安局平福头派出所所长(试用期一年);</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王甜甜同志为湖南阳明山国家森林公园管理局财务科科长(试用期一年); </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郑艳君同志为湖南阳明山国家森林公园管理局宣传教育科科长; </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蒋秦栋同志为湖南阳明山国家森林公园管理局资源管理科科长; </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邓志佩同志为县旅游发展服务中心副主任;</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周高见同志为县第二中学副校长; </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杨迪亚同志为县第一中学副校长; </w:t>
      </w:r>
    </w:p>
    <w:p>
      <w:pPr>
        <w:spacing w:line="60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pict>
          <v:shape id="_x0000_s1187" o:spid="_x0000_s1187" o:spt="202" type="#_x0000_t202" style="position:absolute;left:0pt;margin-left:-26.4pt;margin-top:-51.6pt;height:25.55pt;width:484.8pt;z-index:251715584;mso-width-relative:page;mso-height-relative:page;" stroked="f" coordsize="21600,21600" o:gfxdata="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H//k8zVAAAACwEAAA8AAAAAAAAAAQAg&#10;AAAAOAAAAGRycy9kb3ducmV2LnhtbFBLAQIUABQAAAAIAIdO4kDt1S6ONAIAAEMEAAAOAAAAAAAA&#10;AAEAIAAAADoBAABkcnMvZTJvRG9jLnhtbFBLBQYAAAAABgAGAFkBAADgBQAAAAA=&#10;">
            <v:path/>
            <v:fill focussize="0,0"/>
            <v:stroke on="f" weight="0.5pt" joinstyle="miter"/>
            <v:imagedata o:title=""/>
            <o:lock v:ext="edit"/>
            <v:textbox>
              <w:txbxContent>
                <w:p>
                  <w:r>
                    <w:rPr>
                      <w:u w:val="single" w:color="000000"/>
                    </w:rPr>
                    <w:t xml:space="preserve">人事任免           </w:t>
                  </w:r>
                  <w:r>
                    <w:rPr>
                      <w:rFonts w:hint="eastAsia"/>
                      <w:u w:val="single" w:color="000000"/>
                    </w:rPr>
                    <w:t xml:space="preserve">         </w:t>
                  </w:r>
                  <w:r>
                    <w:rPr>
                      <w:u w:val="single" w:color="000000"/>
                    </w:rPr>
                    <w:t xml:space="preserve">   双牌县人民政府公报          </w:t>
                  </w:r>
                  <w:r>
                    <w:rPr>
                      <w:rFonts w:hint="eastAsia"/>
                      <w:u w:val="single" w:color="000000"/>
                    </w:rPr>
                    <w:t xml:space="preserve">    </w:t>
                  </w:r>
                  <w:r>
                    <w:rPr>
                      <w:u w:val="single" w:color="000000"/>
                    </w:rPr>
                    <w:t xml:space="preserve">         202</w:t>
                  </w:r>
                  <w:r>
                    <w:rPr>
                      <w:rFonts w:hint="eastAsia"/>
                      <w:u w:val="single" w:color="000000"/>
                    </w:rPr>
                    <w:t>4</w:t>
                  </w:r>
                  <w:r>
                    <w:rPr>
                      <w:u w:val="single" w:color="000000"/>
                    </w:rPr>
                    <w:t>年第1-2期</w:t>
                  </w:r>
                </w:p>
                <w:p/>
              </w:txbxContent>
            </v:textbox>
          </v:shape>
        </w:pict>
      </w:r>
      <w:r>
        <w:rPr>
          <w:rFonts w:hint="eastAsia" w:ascii="仿宋_GB2312" w:hAnsi="仿宋_GB2312" w:eastAsia="仿宋_GB2312" w:cs="仿宋_GB2312"/>
          <w:sz w:val="32"/>
          <w:szCs w:val="32"/>
        </w:rPr>
        <w:t>蒋宏文同志为县职业技术学校校长。</w:t>
      </w:r>
    </w:p>
    <w:p>
      <w:pPr>
        <w:spacing w:line="60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决定免去：</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屈艳斌同志</w:t>
      </w:r>
      <w:r>
        <w:rPr>
          <w:rFonts w:ascii="仿宋_GB2312" w:hAnsi="仿宋_GB2312" w:eastAsia="仿宋_GB2312" w:cs="仿宋_GB2312"/>
          <w:sz w:val="32"/>
          <w:szCs w:val="32"/>
        </w:rPr>
        <w:t>的</w:t>
      </w:r>
      <w:r>
        <w:rPr>
          <w:rFonts w:hint="eastAsia" w:ascii="仿宋_GB2312" w:hAnsi="仿宋_GB2312" w:eastAsia="仿宋_GB2312" w:cs="仿宋_GB2312"/>
          <w:sz w:val="32"/>
          <w:szCs w:val="32"/>
        </w:rPr>
        <w:t xml:space="preserve">县公安局城关派出所所长职务; </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赵勰同志的县公安局理家坪派出所所长职务; </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魏舜同志的县公安局拘留所所长职务;</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杨海辉同志的县农旅发展有限公司总工程师(聘)职务</w:t>
      </w:r>
      <w:r>
        <w:rPr>
          <w:rFonts w:ascii="仿宋_GB2312" w:hAnsi="仿宋_GB2312" w:eastAsia="仿宋_GB2312" w:cs="仿宋_GB2312"/>
          <w:sz w:val="32"/>
          <w:szCs w:val="32"/>
        </w:rPr>
        <w:t>；</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郭荣波同志的县文化旅游广电体育局副局长职务;</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郑艳君同志</w:t>
      </w:r>
      <w:r>
        <w:rPr>
          <w:rFonts w:ascii="仿宋_GB2312" w:hAnsi="仿宋_GB2312" w:eastAsia="仿宋_GB2312" w:cs="仿宋_GB2312"/>
          <w:sz w:val="32"/>
          <w:szCs w:val="32"/>
        </w:rPr>
        <w:t>的</w:t>
      </w:r>
      <w:r>
        <w:rPr>
          <w:rFonts w:hint="eastAsia" w:ascii="仿宋_GB2312" w:hAnsi="仿宋_GB2312" w:eastAsia="仿宋_GB2312" w:cs="仿宋_GB2312"/>
          <w:sz w:val="32"/>
          <w:szCs w:val="32"/>
        </w:rPr>
        <w:t>湖南阳明山国家森林公园管理局办公室主任职务</w:t>
      </w:r>
      <w:r>
        <w:rPr>
          <w:rFonts w:ascii="仿宋_GB2312" w:hAnsi="仿宋_GB2312" w:eastAsia="仿宋_GB2312" w:cs="仿宋_GB2312"/>
          <w:sz w:val="32"/>
          <w:szCs w:val="32"/>
        </w:rPr>
        <w:t>；</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蒋秦栋同志</w:t>
      </w:r>
      <w:r>
        <w:rPr>
          <w:rFonts w:ascii="仿宋_GB2312" w:hAnsi="仿宋_GB2312" w:eastAsia="仿宋_GB2312" w:cs="仿宋_GB2312"/>
          <w:sz w:val="32"/>
          <w:szCs w:val="32"/>
        </w:rPr>
        <w:t>的</w:t>
      </w:r>
      <w:r>
        <w:rPr>
          <w:rFonts w:hint="eastAsia" w:ascii="仿宋_GB2312" w:hAnsi="仿宋_GB2312" w:eastAsia="仿宋_GB2312" w:cs="仿宋_GB2312"/>
          <w:sz w:val="32"/>
          <w:szCs w:val="32"/>
        </w:rPr>
        <w:t>湖南阳明山国家森林公园管理局宣传教育科科长职务</w:t>
      </w:r>
      <w:r>
        <w:rPr>
          <w:rFonts w:ascii="仿宋_GB2312" w:hAnsi="仿宋_GB2312" w:eastAsia="仿宋_GB2312" w:cs="仿宋_GB2312"/>
          <w:sz w:val="32"/>
          <w:szCs w:val="32"/>
        </w:rPr>
        <w:t>；</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邓志佩同志</w:t>
      </w:r>
      <w:r>
        <w:rPr>
          <w:rFonts w:ascii="仿宋_GB2312" w:hAnsi="仿宋_GB2312" w:eastAsia="仿宋_GB2312" w:cs="仿宋_GB2312"/>
          <w:sz w:val="32"/>
          <w:szCs w:val="32"/>
        </w:rPr>
        <w:t>的</w:t>
      </w:r>
      <w:r>
        <w:rPr>
          <w:rFonts w:hint="eastAsia" w:ascii="仿宋_GB2312" w:hAnsi="仿宋_GB2312" w:eastAsia="仿宋_GB2312" w:cs="仿宋_GB2312"/>
          <w:sz w:val="32"/>
          <w:szCs w:val="32"/>
        </w:rPr>
        <w:t>湖南阳明山国家森林公园管理局科学技术科科长职务</w:t>
      </w:r>
      <w:r>
        <w:rPr>
          <w:rFonts w:ascii="仿宋_GB2312" w:hAnsi="仿宋_GB2312" w:eastAsia="仿宋_GB2312" w:cs="仿宋_GB2312"/>
          <w:sz w:val="32"/>
          <w:szCs w:val="32"/>
        </w:rPr>
        <w:t>；</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奉改善同志的县卫生健康局副局长职务;</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何凌云同志的县第二中学校长职务;</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熊和平、周泽黎同志的县第二中学副校长职务;</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盘先瑞同志的县职业技术学校校长职务;</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蒋宏文同志</w:t>
      </w:r>
      <w:r>
        <w:rPr>
          <w:rFonts w:ascii="仿宋_GB2312" w:hAnsi="仿宋_GB2312" w:eastAsia="仿宋_GB2312" w:cs="仿宋_GB2312"/>
          <w:sz w:val="32"/>
          <w:szCs w:val="32"/>
        </w:rPr>
        <w:t>的</w:t>
      </w:r>
      <w:r>
        <w:rPr>
          <w:rFonts w:hint="eastAsia" w:ascii="仿宋_GB2312" w:hAnsi="仿宋_GB2312" w:eastAsia="仿宋_GB2312" w:cs="仿宋_GB2312"/>
          <w:sz w:val="32"/>
          <w:szCs w:val="32"/>
        </w:rPr>
        <w:t>县第一中学校长职务</w:t>
      </w:r>
      <w:r>
        <w:rPr>
          <w:rFonts w:ascii="仿宋_GB2312" w:hAnsi="仿宋_GB2312" w:eastAsia="仿宋_GB2312" w:cs="仿宋_GB2312"/>
          <w:sz w:val="32"/>
          <w:szCs w:val="32"/>
        </w:rPr>
        <w:t>；</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邓先锋、夏志东同志的县第一中学副校长职务;</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夏小军同志的县中医医院院长职务。</w:t>
      </w:r>
    </w:p>
    <w:p>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任校长、副校长的人员纳入县委管理，不对应行政级别。</w:t>
      </w:r>
    </w:p>
    <w:p>
      <w:pPr>
        <w:spacing w:line="520" w:lineRule="exact"/>
        <w:ind w:right="480"/>
        <w:jc w:val="right"/>
        <w:rPr>
          <w:rFonts w:ascii="仿宋_GB2312" w:hAnsi="仿宋_GB2312" w:eastAsia="仿宋_GB2312" w:cs="仿宋_GB2312"/>
          <w:sz w:val="32"/>
          <w:szCs w:val="32"/>
        </w:rPr>
      </w:pPr>
    </w:p>
    <w:p>
      <w:pPr>
        <w:spacing w:line="600" w:lineRule="exact"/>
        <w:ind w:right="480"/>
        <w:jc w:val="right"/>
        <w:rPr>
          <w:rFonts w:ascii="仿宋_GB2312" w:hAnsi="仿宋_GB2312" w:eastAsia="仿宋_GB2312" w:cs="仿宋_GB2312"/>
          <w:sz w:val="32"/>
          <w:szCs w:val="32"/>
        </w:rPr>
      </w:pPr>
      <w:r>
        <w:rPr>
          <w:rFonts w:ascii="仿宋_GB2312" w:hAnsi="仿宋_GB2312" w:eastAsia="仿宋_GB2312" w:cs="仿宋_GB2312"/>
          <w:sz w:val="32"/>
          <w:szCs w:val="32"/>
        </w:rPr>
        <w:t>双牌县人民政府</w:t>
      </w:r>
    </w:p>
    <w:p>
      <w:pPr>
        <w:spacing w:line="600" w:lineRule="exact"/>
        <w:ind w:right="320"/>
        <w:jc w:val="right"/>
      </w:pPr>
      <w:r>
        <w:rPr>
          <w:rFonts w:hint="eastAsia" w:ascii="仿宋_GB2312" w:hAnsi="仿宋_GB2312" w:eastAsia="仿宋_GB2312" w:cs="仿宋_GB2312"/>
          <w:sz w:val="32"/>
          <w:szCs w:val="32"/>
        </w:rPr>
        <w:t>202</w:t>
      </w:r>
      <w:r>
        <w:rPr>
          <w:rFonts w:ascii="仿宋_GB2312" w:hAnsi="仿宋_GB2312" w:eastAsia="仿宋_GB2312" w:cs="仿宋_GB2312"/>
          <w:sz w:val="32"/>
          <w:szCs w:val="32"/>
        </w:rPr>
        <w:t>3年12</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27</w:t>
      </w:r>
      <w:r>
        <w:rPr>
          <w:rFonts w:hint="eastAsia" w:ascii="仿宋_GB2312" w:hAnsi="仿宋_GB2312" w:eastAsia="仿宋_GB2312" w:cs="仿宋_GB2312"/>
          <w:sz w:val="32"/>
          <w:szCs w:val="32"/>
        </w:rPr>
        <w:t>日</w:t>
      </w:r>
    </w:p>
    <w:sectPr>
      <w:type w:val="continuous"/>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等线">
    <w:altName w:val="仿宋"/>
    <w:panose1 w:val="00000000000000000000"/>
    <w:charset w:val="86"/>
    <w:family w:val="auto"/>
    <w:pitch w:val="default"/>
    <w:sig w:usb0="00000000" w:usb1="00000000" w:usb2="00000016" w:usb3="00000000" w:csb0="0004000F" w:csb1="00000000"/>
  </w:font>
  <w:font w:name="Arial">
    <w:panose1 w:val="020B0604020202020204"/>
    <w:charset w:val="00"/>
    <w:family w:val="swiss"/>
    <w:pitch w:val="default"/>
    <w:sig w:usb0="E0002EFF" w:usb1="C000785B" w:usb2="00000009" w:usb3="00000000" w:csb0="400001FF" w:csb1="FFFF0000"/>
  </w:font>
  <w:font w:name="方正大标宋_GBK">
    <w:panose1 w:val="02000000000000000000"/>
    <w:charset w:val="86"/>
    <w:family w:val="script"/>
    <w:pitch w:val="default"/>
    <w:sig w:usb0="A00002BF" w:usb1="08CF7CFA" w:usb2="00000000" w:usb3="00000000" w:csb0="00040001" w:csb1="00000000"/>
  </w:font>
  <w:font w:name="东文宋体">
    <w:altName w:val="方正书宋_GBK"/>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CESI楷体-GB2312">
    <w:panose1 w:val="02000500000000000000"/>
    <w:charset w:val="86"/>
    <w:family w:val="auto"/>
    <w:pitch w:val="default"/>
    <w:sig w:usb0="800002BF" w:usb1="184F6CF8" w:usb2="00000012" w:usb3="00000000" w:csb0="0004000F" w:csb1="00000000"/>
  </w:font>
  <w:font w:name="Tahoma">
    <w:altName w:val="Ubuntu"/>
    <w:panose1 w:val="020B0604030504040204"/>
    <w:charset w:val="00"/>
    <w:family w:val="swiss"/>
    <w:pitch w:val="default"/>
    <w:sig w:usb0="00000000" w:usb1="00000000" w:usb2="00000029" w:usb3="00000000" w:csb0="000101FF"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font>
  <w:font w:name="华文仿宋">
    <w:panose1 w:val="02010600040101010101"/>
    <w:charset w:val="86"/>
    <w:family w:val="auto"/>
    <w:pitch w:val="default"/>
    <w:sig w:usb0="00000287" w:usb1="080F0000" w:usb2="00000000" w:usb3="00000000" w:csb0="0004009F" w:csb1="DFD70000"/>
  </w:font>
  <w:font w:name="华文中宋">
    <w:altName w:val="方正书宋_GBK"/>
    <w:panose1 w:val="02010600040101010101"/>
    <w:charset w:val="86"/>
    <w:family w:val="auto"/>
    <w:pitch w:val="default"/>
    <w:sig w:usb0="00000000" w:usb1="00000000" w:usb2="00000010" w:usb3="00000000" w:csb0="0004009F" w:csb1="00000000"/>
  </w:font>
  <w:font w:name="楷体">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824067"/>
      <w:docPartObj>
        <w:docPartGallery w:val="AutoText"/>
      </w:docPartObj>
    </w:sdtPr>
    <w:sdtEndPr>
      <w:rPr>
        <w:rFonts w:asciiTheme="minorEastAsia" w:hAnsiTheme="minorEastAsia"/>
        <w:sz w:val="24"/>
        <w:szCs w:val="24"/>
      </w:rPr>
    </w:sdtEndPr>
    <w:sdtContent>
      <w:p>
        <w:pPr>
          <w:pStyle w:val="8"/>
          <w:jc w:val="right"/>
        </w:pPr>
        <w:r>
          <w:rPr>
            <w:rFonts w:asciiTheme="minorEastAsia" w:hAnsiTheme="minorEastAsia"/>
            <w:sz w:val="24"/>
            <w:szCs w:val="24"/>
          </w:rPr>
          <w:fldChar w:fldCharType="begin"/>
        </w:r>
        <w:r>
          <w:rPr>
            <w:rFonts w:asciiTheme="minorEastAsia" w:hAnsiTheme="minorEastAsia"/>
            <w:sz w:val="24"/>
            <w:szCs w:val="24"/>
          </w:rPr>
          <w:instrText xml:space="preserve"> PAGE   \* MERGEFORMAT </w:instrText>
        </w:r>
        <w:r>
          <w:rPr>
            <w:rFonts w:asciiTheme="minorEastAsia" w:hAnsiTheme="minorEastAsia"/>
            <w:sz w:val="24"/>
            <w:szCs w:val="24"/>
          </w:rPr>
          <w:fldChar w:fldCharType="separate"/>
        </w:r>
        <w:r>
          <w:rPr>
            <w:rFonts w:asciiTheme="minorEastAsia" w:hAnsiTheme="minorEastAsia"/>
            <w:sz w:val="24"/>
            <w:szCs w:val="24"/>
            <w:lang w:val="zh-CN"/>
          </w:rPr>
          <w:t>-</w:t>
        </w:r>
        <w:r>
          <w:rPr>
            <w:rFonts w:asciiTheme="minorEastAsia" w:hAnsiTheme="minorEastAsia"/>
            <w:sz w:val="24"/>
            <w:szCs w:val="24"/>
          </w:rPr>
          <w:t xml:space="preserve"> 31 -</w:t>
        </w:r>
        <w:r>
          <w:rPr>
            <w:rFonts w:asciiTheme="minorEastAsia" w:hAnsiTheme="minorEastAsia"/>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rPr>
        <w:rFonts w:asciiTheme="minorEastAsia" w:hAnsiTheme="minorEastAsia"/>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824076"/>
      <w:docPartObj>
        <w:docPartGallery w:val="AutoText"/>
      </w:docPartObj>
    </w:sdtPr>
    <w:sdtContent>
      <w:p>
        <w:pPr>
          <w:pStyle w:val="8"/>
          <w:jc w:val="right"/>
        </w:pPr>
        <w:r>
          <w:rPr>
            <w:rFonts w:asciiTheme="minorEastAsia" w:hAnsiTheme="minorEastAsia"/>
            <w:sz w:val="24"/>
            <w:szCs w:val="24"/>
          </w:rPr>
          <w:fldChar w:fldCharType="begin"/>
        </w:r>
        <w:r>
          <w:rPr>
            <w:rFonts w:asciiTheme="minorEastAsia" w:hAnsiTheme="minorEastAsia"/>
            <w:sz w:val="24"/>
            <w:szCs w:val="24"/>
          </w:rPr>
          <w:instrText xml:space="preserve"> PAGE   \* MERGEFORMAT </w:instrText>
        </w:r>
        <w:r>
          <w:rPr>
            <w:rFonts w:asciiTheme="minorEastAsia" w:hAnsiTheme="minorEastAsia"/>
            <w:sz w:val="24"/>
            <w:szCs w:val="24"/>
          </w:rPr>
          <w:fldChar w:fldCharType="separate"/>
        </w:r>
        <w:r>
          <w:rPr>
            <w:rFonts w:asciiTheme="minorEastAsia" w:hAnsiTheme="minorEastAsia"/>
            <w:sz w:val="24"/>
            <w:szCs w:val="24"/>
            <w:lang w:val="zh-CN"/>
          </w:rPr>
          <w:t>-</w:t>
        </w:r>
        <w:r>
          <w:rPr>
            <w:rFonts w:asciiTheme="minorEastAsia" w:hAnsiTheme="minorEastAsia"/>
            <w:sz w:val="24"/>
            <w:szCs w:val="24"/>
          </w:rPr>
          <w:t xml:space="preserve"> 1 -</w:t>
        </w:r>
        <w:r>
          <w:rPr>
            <w:rFonts w:asciiTheme="minorEastAsia" w:hAnsiTheme="minorEastAsia"/>
            <w:sz w:val="24"/>
            <w:szCs w:val="24"/>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824070"/>
      <w:docPartObj>
        <w:docPartGallery w:val="AutoText"/>
      </w:docPartObj>
    </w:sdtPr>
    <w:sdtContent>
      <w:p>
        <w:pPr>
          <w:pStyle w:val="8"/>
        </w:pPr>
        <w:r>
          <w:rPr>
            <w:rFonts w:asciiTheme="minorEastAsia" w:hAnsiTheme="minorEastAsia"/>
            <w:sz w:val="24"/>
            <w:szCs w:val="24"/>
          </w:rPr>
          <w:fldChar w:fldCharType="begin"/>
        </w:r>
        <w:r>
          <w:rPr>
            <w:rFonts w:asciiTheme="minorEastAsia" w:hAnsiTheme="minorEastAsia"/>
            <w:sz w:val="24"/>
            <w:szCs w:val="24"/>
          </w:rPr>
          <w:instrText xml:space="preserve"> PAGE   \* MERGEFORMAT </w:instrText>
        </w:r>
        <w:r>
          <w:rPr>
            <w:rFonts w:asciiTheme="minorEastAsia" w:hAnsiTheme="minorEastAsia"/>
            <w:sz w:val="24"/>
            <w:szCs w:val="24"/>
          </w:rPr>
          <w:fldChar w:fldCharType="separate"/>
        </w:r>
        <w:r>
          <w:rPr>
            <w:rFonts w:asciiTheme="minorEastAsia" w:hAnsiTheme="minorEastAsia"/>
            <w:sz w:val="24"/>
            <w:szCs w:val="24"/>
            <w:lang w:val="zh-CN"/>
          </w:rPr>
          <w:t>-</w:t>
        </w:r>
        <w:r>
          <w:rPr>
            <w:rFonts w:asciiTheme="minorEastAsia" w:hAnsiTheme="minorEastAsia"/>
            <w:sz w:val="24"/>
            <w:szCs w:val="24"/>
          </w:rPr>
          <w:t xml:space="preserve"> 32 -</w:t>
        </w:r>
        <w:r>
          <w:rPr>
            <w:rFonts w:asciiTheme="minorEastAsia" w:hAnsiTheme="minorEastAsia"/>
            <w:sz w:val="24"/>
            <w:szCs w:val="24"/>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859EE"/>
    <w:rsid w:val="00000C32"/>
    <w:rsid w:val="000371C2"/>
    <w:rsid w:val="000721A5"/>
    <w:rsid w:val="000964AC"/>
    <w:rsid w:val="000B6F18"/>
    <w:rsid w:val="000D6A9A"/>
    <w:rsid w:val="000E7FB5"/>
    <w:rsid w:val="000F05EB"/>
    <w:rsid w:val="000F1F22"/>
    <w:rsid w:val="00124CCC"/>
    <w:rsid w:val="00184648"/>
    <w:rsid w:val="001A04D5"/>
    <w:rsid w:val="001A22AB"/>
    <w:rsid w:val="001A4E8C"/>
    <w:rsid w:val="001D4A82"/>
    <w:rsid w:val="001D6613"/>
    <w:rsid w:val="001D6D96"/>
    <w:rsid w:val="0020494A"/>
    <w:rsid w:val="002179B5"/>
    <w:rsid w:val="002B295F"/>
    <w:rsid w:val="002E366D"/>
    <w:rsid w:val="002E6968"/>
    <w:rsid w:val="002F4B0D"/>
    <w:rsid w:val="003005DB"/>
    <w:rsid w:val="003220AB"/>
    <w:rsid w:val="0033732A"/>
    <w:rsid w:val="00347809"/>
    <w:rsid w:val="00384C37"/>
    <w:rsid w:val="003A52D0"/>
    <w:rsid w:val="003D7DF8"/>
    <w:rsid w:val="003F0455"/>
    <w:rsid w:val="003F129E"/>
    <w:rsid w:val="0041502B"/>
    <w:rsid w:val="00440A8E"/>
    <w:rsid w:val="0048355A"/>
    <w:rsid w:val="004E753C"/>
    <w:rsid w:val="004F0BF6"/>
    <w:rsid w:val="00577042"/>
    <w:rsid w:val="00577703"/>
    <w:rsid w:val="00590DCC"/>
    <w:rsid w:val="005E0976"/>
    <w:rsid w:val="005F0419"/>
    <w:rsid w:val="00613506"/>
    <w:rsid w:val="00620BAA"/>
    <w:rsid w:val="006738D0"/>
    <w:rsid w:val="006E2A74"/>
    <w:rsid w:val="00726E7E"/>
    <w:rsid w:val="00744C1F"/>
    <w:rsid w:val="007767A6"/>
    <w:rsid w:val="007815B1"/>
    <w:rsid w:val="007C2094"/>
    <w:rsid w:val="00852638"/>
    <w:rsid w:val="00864499"/>
    <w:rsid w:val="008A4E41"/>
    <w:rsid w:val="008B7F92"/>
    <w:rsid w:val="009044CA"/>
    <w:rsid w:val="00914401"/>
    <w:rsid w:val="0092038F"/>
    <w:rsid w:val="009303FC"/>
    <w:rsid w:val="00966B9A"/>
    <w:rsid w:val="00973A38"/>
    <w:rsid w:val="00995C17"/>
    <w:rsid w:val="00A54FC5"/>
    <w:rsid w:val="00A65F7C"/>
    <w:rsid w:val="00A71BA7"/>
    <w:rsid w:val="00AA2125"/>
    <w:rsid w:val="00AB4E0C"/>
    <w:rsid w:val="00AE41F4"/>
    <w:rsid w:val="00AF0E5B"/>
    <w:rsid w:val="00B06DBC"/>
    <w:rsid w:val="00B50F8B"/>
    <w:rsid w:val="00B56E9C"/>
    <w:rsid w:val="00BA7543"/>
    <w:rsid w:val="00BA7744"/>
    <w:rsid w:val="00BE742D"/>
    <w:rsid w:val="00C23D28"/>
    <w:rsid w:val="00C36D24"/>
    <w:rsid w:val="00C40502"/>
    <w:rsid w:val="00C477F0"/>
    <w:rsid w:val="00C65EF3"/>
    <w:rsid w:val="00C65FB5"/>
    <w:rsid w:val="00C74EFE"/>
    <w:rsid w:val="00C83E64"/>
    <w:rsid w:val="00C859EE"/>
    <w:rsid w:val="00CA5779"/>
    <w:rsid w:val="00D153AE"/>
    <w:rsid w:val="00D35DFF"/>
    <w:rsid w:val="00DC1FA9"/>
    <w:rsid w:val="00DF2FFE"/>
    <w:rsid w:val="00E54F02"/>
    <w:rsid w:val="00E66FA9"/>
    <w:rsid w:val="00E70DDB"/>
    <w:rsid w:val="00EA2DA3"/>
    <w:rsid w:val="00F23D89"/>
    <w:rsid w:val="00F41F85"/>
    <w:rsid w:val="00F4397F"/>
    <w:rsid w:val="00F654B8"/>
    <w:rsid w:val="00FA7940"/>
    <w:rsid w:val="00FC3CE4"/>
    <w:rsid w:val="00FD32AA"/>
    <w:rsid w:val="00FE458B"/>
    <w:rsid w:val="00FF1D14"/>
    <w:rsid w:val="1FFF56FA"/>
    <w:rsid w:val="3CFB5323"/>
    <w:rsid w:val="3FCF698B"/>
    <w:rsid w:val="4A69DAC2"/>
    <w:rsid w:val="4FFD2CB9"/>
    <w:rsid w:val="536D6438"/>
    <w:rsid w:val="5E8FBFA1"/>
    <w:rsid w:val="5F9E2A06"/>
    <w:rsid w:val="5FB379C3"/>
    <w:rsid w:val="5FBD0C9E"/>
    <w:rsid w:val="5FFD905B"/>
    <w:rsid w:val="5FFF5002"/>
    <w:rsid w:val="63FEB195"/>
    <w:rsid w:val="64D7DBF0"/>
    <w:rsid w:val="6B3FCB87"/>
    <w:rsid w:val="6DA77E4B"/>
    <w:rsid w:val="6E3FF375"/>
    <w:rsid w:val="6FDD10EC"/>
    <w:rsid w:val="6FDE48CF"/>
    <w:rsid w:val="75F151E8"/>
    <w:rsid w:val="799F1E74"/>
    <w:rsid w:val="7CEF2CED"/>
    <w:rsid w:val="7D7F77C2"/>
    <w:rsid w:val="7ED65846"/>
    <w:rsid w:val="7FB48FDE"/>
    <w:rsid w:val="7FB6937A"/>
    <w:rsid w:val="7FBC7BEC"/>
    <w:rsid w:val="7FEFE52F"/>
    <w:rsid w:val="7FFEB12C"/>
    <w:rsid w:val="83FF7EE2"/>
    <w:rsid w:val="8EF9C4B6"/>
    <w:rsid w:val="97DCE086"/>
    <w:rsid w:val="9FB756AB"/>
    <w:rsid w:val="9FC7C0BD"/>
    <w:rsid w:val="B3F9865B"/>
    <w:rsid w:val="BE73DC86"/>
    <w:rsid w:val="C7FFFE63"/>
    <w:rsid w:val="CACD0E64"/>
    <w:rsid w:val="DCFF115B"/>
    <w:rsid w:val="DFE8FA66"/>
    <w:rsid w:val="ED9FDBD0"/>
    <w:rsid w:val="EF7FAE42"/>
    <w:rsid w:val="EFA17998"/>
    <w:rsid w:val="F7FB8FB0"/>
    <w:rsid w:val="FBEF49E1"/>
    <w:rsid w:val="FDF62486"/>
    <w:rsid w:val="FECCFEF7"/>
    <w:rsid w:val="FFDE99B4"/>
    <w:rsid w:val="FFF2A89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99" w:name="toc 3"/>
    <w:lsdException w:uiPriority="39" w:name="toc 4"/>
    <w:lsdException w:qFormat="1" w:unhideWhenUsed="0" w:uiPriority="9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bCs/>
      <w:kern w:val="2"/>
      <w:sz w:val="21"/>
      <w:szCs w:val="22"/>
      <w:lang w:val="en-US" w:eastAsia="zh-CN" w:bidi="ar-SA"/>
    </w:rPr>
  </w:style>
  <w:style w:type="paragraph" w:styleId="3">
    <w:name w:val="heading 1"/>
    <w:basedOn w:val="1"/>
    <w:next w:val="1"/>
    <w:qFormat/>
    <w:uiPriority w:val="0"/>
    <w:pPr>
      <w:spacing w:beforeAutospacing="1" w:afterAutospacing="1"/>
      <w:jc w:val="left"/>
      <w:outlineLvl w:val="0"/>
    </w:pPr>
    <w:rPr>
      <w:rFonts w:ascii="宋体" w:hAnsi="宋体" w:cs="宋体"/>
      <w:b/>
      <w:kern w:val="44"/>
      <w:sz w:val="48"/>
      <w:szCs w:val="4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3"/>
    <w:unhideWhenUsed/>
    <w:qFormat/>
    <w:uiPriority w:val="99"/>
    <w:pPr>
      <w:spacing w:after="120"/>
    </w:pPr>
  </w:style>
  <w:style w:type="paragraph" w:styleId="4">
    <w:name w:val="toc 5"/>
    <w:basedOn w:val="1"/>
    <w:next w:val="1"/>
    <w:semiHidden/>
    <w:qFormat/>
    <w:uiPriority w:val="99"/>
    <w:pPr>
      <w:ind w:left="1280"/>
    </w:pPr>
    <w:rPr>
      <w:rFonts w:ascii="Calibri" w:hAnsi="Calibri" w:cs="Calibri"/>
      <w:sz w:val="18"/>
      <w:szCs w:val="18"/>
    </w:rPr>
  </w:style>
  <w:style w:type="paragraph" w:styleId="5">
    <w:name w:val="toc 3"/>
    <w:basedOn w:val="1"/>
    <w:next w:val="1"/>
    <w:semiHidden/>
    <w:qFormat/>
    <w:uiPriority w:val="99"/>
    <w:pPr>
      <w:ind w:left="840"/>
    </w:pPr>
  </w:style>
  <w:style w:type="paragraph" w:styleId="6">
    <w:name w:val="Date"/>
    <w:basedOn w:val="1"/>
    <w:next w:val="1"/>
    <w:link w:val="28"/>
    <w:semiHidden/>
    <w:unhideWhenUsed/>
    <w:qFormat/>
    <w:uiPriority w:val="99"/>
    <w:pPr>
      <w:ind w:left="100" w:leftChars="2500"/>
    </w:pPr>
  </w:style>
  <w:style w:type="paragraph" w:styleId="7">
    <w:name w:val="Balloon Text"/>
    <w:basedOn w:val="1"/>
    <w:link w:val="25"/>
    <w:semiHidden/>
    <w:unhideWhenUsed/>
    <w:qFormat/>
    <w:uiPriority w:val="99"/>
    <w:rPr>
      <w:sz w:val="18"/>
      <w:szCs w:val="18"/>
    </w:rPr>
  </w:style>
  <w:style w:type="paragraph" w:styleId="8">
    <w:name w:val="footer"/>
    <w:basedOn w:val="1"/>
    <w:link w:val="29"/>
    <w:unhideWhenUsed/>
    <w:qFormat/>
    <w:uiPriority w:val="99"/>
    <w:pPr>
      <w:tabs>
        <w:tab w:val="center" w:pos="4153"/>
        <w:tab w:val="right" w:pos="8306"/>
      </w:tabs>
      <w:snapToGrid w:val="0"/>
      <w:spacing w:line="240" w:lineRule="atLeast"/>
      <w:jc w:val="left"/>
    </w:pPr>
    <w:rPr>
      <w:sz w:val="18"/>
      <w:szCs w:val="18"/>
    </w:rPr>
  </w:style>
  <w:style w:type="paragraph" w:styleId="9">
    <w:name w:val="header"/>
    <w:basedOn w:val="1"/>
    <w:next w:val="1"/>
    <w:link w:val="30"/>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0"/>
    <w:pPr>
      <w:spacing w:before="100" w:beforeAutospacing="1" w:after="100" w:afterAutospacing="1"/>
      <w:jc w:val="left"/>
    </w:pPr>
    <w:rPr>
      <w:rFonts w:cs="Times New Roman"/>
      <w:kern w:val="0"/>
      <w:sz w:val="24"/>
    </w:rPr>
  </w:style>
  <w:style w:type="paragraph" w:styleId="11">
    <w:name w:val="Body Text First Indent"/>
    <w:basedOn w:val="2"/>
    <w:next w:val="1"/>
    <w:link w:val="24"/>
    <w:qFormat/>
    <w:uiPriority w:val="99"/>
    <w:pPr>
      <w:ind w:firstLine="420" w:firstLineChars="1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basedOn w:val="14"/>
    <w:qFormat/>
    <w:uiPriority w:val="99"/>
  </w:style>
  <w:style w:type="character" w:styleId="16">
    <w:name w:val="Hyperlink"/>
    <w:basedOn w:val="14"/>
    <w:qFormat/>
    <w:uiPriority w:val="0"/>
    <w:rPr>
      <w:color w:val="0000FF"/>
      <w:u w:val="single"/>
    </w:rPr>
  </w:style>
  <w:style w:type="paragraph" w:customStyle="1" w:styleId="17">
    <w:name w:val="样式2"/>
    <w:basedOn w:val="1"/>
    <w:qFormat/>
    <w:uiPriority w:val="0"/>
    <w:pPr>
      <w:shd w:val="clear" w:color="auto" w:fill="FFFFFF"/>
      <w:spacing w:before="100" w:beforeAutospacing="1" w:after="100" w:afterAutospacing="1"/>
      <w:ind w:left="562"/>
      <w:jc w:val="center"/>
    </w:pPr>
    <w:rPr>
      <w:rFonts w:ascii="宋体" w:hAnsi="宋体"/>
      <w:b/>
      <w:szCs w:val="21"/>
    </w:rPr>
  </w:style>
  <w:style w:type="paragraph" w:customStyle="1" w:styleId="18">
    <w:name w:val="样式1"/>
    <w:basedOn w:val="1"/>
    <w:link w:val="19"/>
    <w:qFormat/>
    <w:uiPriority w:val="0"/>
    <w:rPr>
      <w:b/>
      <w:color w:val="538135" w:themeColor="accent6" w:themeShade="BF"/>
      <w:sz w:val="28"/>
    </w:rPr>
  </w:style>
  <w:style w:type="character" w:customStyle="1" w:styleId="19">
    <w:name w:val="样式1 Char"/>
    <w:basedOn w:val="14"/>
    <w:link w:val="18"/>
    <w:qFormat/>
    <w:uiPriority w:val="0"/>
    <w:rPr>
      <w:b/>
      <w:color w:val="538135" w:themeColor="accent6" w:themeShade="BF"/>
      <w:sz w:val="28"/>
    </w:rPr>
  </w:style>
  <w:style w:type="paragraph" w:customStyle="1" w:styleId="20">
    <w:name w:val="正文文本1"/>
    <w:basedOn w:val="1"/>
    <w:qFormat/>
    <w:uiPriority w:val="0"/>
    <w:pPr>
      <w:spacing w:after="120"/>
    </w:pPr>
  </w:style>
  <w:style w:type="paragraph" w:customStyle="1" w:styleId="21">
    <w:name w:val="正文首行缩进1"/>
    <w:basedOn w:val="20"/>
    <w:qFormat/>
    <w:uiPriority w:val="0"/>
    <w:pPr>
      <w:ind w:firstLine="664"/>
    </w:pPr>
  </w:style>
  <w:style w:type="paragraph" w:customStyle="1" w:styleId="22">
    <w:name w:val="页脚1"/>
    <w:basedOn w:val="1"/>
    <w:semiHidden/>
    <w:qFormat/>
    <w:uiPriority w:val="0"/>
    <w:pPr>
      <w:tabs>
        <w:tab w:val="center" w:pos="4153"/>
        <w:tab w:val="right" w:pos="8306"/>
      </w:tabs>
    </w:pPr>
    <w:rPr>
      <w:sz w:val="18"/>
      <w:szCs w:val="18"/>
    </w:rPr>
  </w:style>
  <w:style w:type="character" w:customStyle="1" w:styleId="23">
    <w:name w:val="正文文本 Char"/>
    <w:basedOn w:val="14"/>
    <w:link w:val="2"/>
    <w:qFormat/>
    <w:uiPriority w:val="99"/>
    <w:rPr>
      <w:bCs/>
      <w:kern w:val="2"/>
      <w:sz w:val="21"/>
      <w:szCs w:val="22"/>
    </w:rPr>
  </w:style>
  <w:style w:type="character" w:customStyle="1" w:styleId="24">
    <w:name w:val="正文首行缩进 Char"/>
    <w:basedOn w:val="23"/>
    <w:link w:val="11"/>
    <w:qFormat/>
    <w:uiPriority w:val="99"/>
  </w:style>
  <w:style w:type="character" w:customStyle="1" w:styleId="25">
    <w:name w:val="批注框文本 Char"/>
    <w:basedOn w:val="14"/>
    <w:link w:val="7"/>
    <w:semiHidden/>
    <w:qFormat/>
    <w:uiPriority w:val="99"/>
    <w:rPr>
      <w:bCs/>
      <w:kern w:val="2"/>
      <w:sz w:val="18"/>
      <w:szCs w:val="18"/>
    </w:rPr>
  </w:style>
  <w:style w:type="paragraph" w:customStyle="1" w:styleId="26">
    <w:name w:val="BodyText1I2"/>
    <w:next w:val="5"/>
    <w:qFormat/>
    <w:uiPriority w:val="99"/>
    <w:pPr>
      <w:widowControl w:val="0"/>
      <w:spacing w:after="120"/>
      <w:ind w:left="200" w:leftChars="200" w:firstLine="200" w:firstLineChars="200"/>
      <w:jc w:val="both"/>
      <w:textAlignment w:val="baseline"/>
    </w:pPr>
    <w:rPr>
      <w:rFonts w:ascii="Calibri" w:hAnsi="Calibri" w:eastAsia="宋体" w:cs="Calibri"/>
      <w:kern w:val="2"/>
      <w:sz w:val="21"/>
      <w:szCs w:val="21"/>
      <w:lang w:val="en-US" w:eastAsia="zh-CN" w:bidi="ar-SA"/>
    </w:rPr>
  </w:style>
  <w:style w:type="paragraph" w:customStyle="1" w:styleId="27">
    <w:name w:val="表格文字"/>
    <w:basedOn w:val="1"/>
    <w:qFormat/>
    <w:uiPriority w:val="0"/>
    <w:pPr>
      <w:adjustRightInd w:val="0"/>
      <w:snapToGrid w:val="0"/>
      <w:jc w:val="center"/>
    </w:pPr>
    <w:rPr>
      <w:rFonts w:ascii="等线" w:eastAsia="等线" w:cs="Arial"/>
    </w:rPr>
  </w:style>
  <w:style w:type="character" w:customStyle="1" w:styleId="28">
    <w:name w:val="日期 Char"/>
    <w:basedOn w:val="14"/>
    <w:link w:val="6"/>
    <w:semiHidden/>
    <w:qFormat/>
    <w:uiPriority w:val="99"/>
    <w:rPr>
      <w:bCs/>
      <w:kern w:val="2"/>
      <w:sz w:val="21"/>
      <w:szCs w:val="22"/>
    </w:rPr>
  </w:style>
  <w:style w:type="character" w:customStyle="1" w:styleId="29">
    <w:name w:val="页脚 Char"/>
    <w:basedOn w:val="14"/>
    <w:link w:val="8"/>
    <w:qFormat/>
    <w:uiPriority w:val="99"/>
    <w:rPr>
      <w:bCs/>
      <w:kern w:val="2"/>
      <w:sz w:val="18"/>
      <w:szCs w:val="18"/>
    </w:rPr>
  </w:style>
  <w:style w:type="character" w:customStyle="1" w:styleId="30">
    <w:name w:val="页眉 Char"/>
    <w:basedOn w:val="14"/>
    <w:link w:val="9"/>
    <w:qFormat/>
    <w:uiPriority w:val="99"/>
    <w:rPr>
      <w:bCs/>
      <w:kern w:val="2"/>
      <w:sz w:val="18"/>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044"/>
    <customShpInfo spid="_x0000_s1159"/>
    <customShpInfo spid="_x0000_s1160"/>
    <customShpInfo spid="_x0000_s1161"/>
    <customShpInfo spid="_x0000_s1162"/>
    <customShpInfo spid="_x0000_s1163"/>
    <customShpInfo spid="_x0000_s1165"/>
    <customShpInfo spid="_x0000_s1164"/>
    <customShpInfo spid="_x0000_s1166"/>
    <customShpInfo spid="_x0000_s1167"/>
    <customShpInfo spid="_x0000_s1168"/>
    <customShpInfo spid="_x0000_s1190"/>
    <customShpInfo spid="_x0000_s1169"/>
    <customShpInfo spid="_x0000_s1191"/>
    <customShpInfo spid="_x0000_s1170"/>
    <customShpInfo spid="_x0000_s1192"/>
    <customShpInfo spid="_x0000_s1171"/>
    <customShpInfo spid="_x0000_s1193"/>
    <customShpInfo spid="_x0000_s1172"/>
    <customShpInfo spid="_x0000_s1194"/>
    <customShpInfo spid="_x0000_s1173"/>
    <customShpInfo spid="_x0000_s1195"/>
    <customShpInfo spid="_x0000_s1174"/>
    <customShpInfo spid="_x0000_s1196"/>
    <customShpInfo spid="_x0000_s1175"/>
    <customShpInfo spid="_x0000_s1176"/>
    <customShpInfo spid="_x0000_s1177"/>
    <customShpInfo spid="_x0000_s1178"/>
    <customShpInfo spid="_x0000_s1179"/>
    <customShpInfo spid="_x0000_s1188"/>
    <customShpInfo spid="_x0000_s1150"/>
    <customShpInfo spid="_x0000_s1180"/>
    <customShpInfo spid="_x0000_s1181"/>
    <customShpInfo spid="_x0000_s1182"/>
    <customShpInfo spid="_x0000_s1183"/>
    <customShpInfo spid="_x0000_s1184"/>
    <customShpInfo spid="_x0000_s1185"/>
    <customShpInfo spid="_x0000_s1186"/>
    <customShpInfo spid="_x0000_s1030"/>
    <customShpInfo spid="_x0000_s118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Yozosoft</Company>
  <Pages>59</Pages>
  <Words>4834</Words>
  <Characters>27560</Characters>
  <Lines>229</Lines>
  <Paragraphs>64</Paragraphs>
  <TotalTime>378</TotalTime>
  <ScaleCrop>false</ScaleCrop>
  <LinksUpToDate>false</LinksUpToDate>
  <CharactersWithSpaces>32330</CharactersWithSpaces>
  <Application>WPS Office_11.8.2.9339_F1E327BC-269C-435d-A152-05C5408002CA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2023-04-20T08:39:00Z</dcterms:created>
  <dc:creator>User274</dc:creator>
  <cp:lastModifiedBy>kylin</cp:lastModifiedBy>
  <cp:lastPrinted>2024-04-09T15:41:00Z</cp:lastPrinted>
  <dcterms:modified xsi:type="dcterms:W3CDTF">2024-07-05T17:20:51Z</dcterms:modified>
  <cp:revision>185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2052-11.8.2.9339</vt:lpwstr>
  </property>
</Properties>
</file>