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widowControl/>
        <w:spacing w:beforeAutospacing="0" w:afterAutospacing="0" w:line="600" w:lineRule="exact"/>
        <w:jc w:val="center"/>
        <w:rPr>
          <w:rFonts w:hint="eastAsia" w:ascii="方正大标宋_GBK" w:eastAsia="方正大标宋_GBK"/>
          <w:sz w:val="28"/>
          <w:szCs w:val="28"/>
        </w:rPr>
      </w:pPr>
      <w:r>
        <w:rPr>
          <w:rFonts w:hint="eastAsia" w:ascii="方正大标宋_GBK" w:hAnsi="黑体" w:eastAsia="方正大标宋_GBK" w:cs="黑体"/>
          <w:sz w:val="44"/>
          <w:szCs w:val="44"/>
        </w:rPr>
        <w:t>双牌县人民政府公报</w:t>
      </w:r>
    </w:p>
    <w:p>
      <w:pPr>
        <w:pStyle w:val="9"/>
        <w:widowControl/>
        <w:spacing w:beforeAutospacing="0" w:afterAutospacing="0" w:line="600" w:lineRule="exact"/>
        <w:jc w:val="center"/>
        <w:rPr>
          <w:rFonts w:ascii="黑体" w:hAnsi="黑体" w:eastAsia="黑体" w:cs="黑体"/>
          <w:sz w:val="32"/>
          <w:szCs w:val="32"/>
        </w:rPr>
      </w:pPr>
      <w:r>
        <w:rPr>
          <w:rFonts w:hint="eastAsia" w:ascii="东文宋体" w:hAnsi="东文宋体" w:eastAsia="东文宋体" w:cs="东文宋体"/>
          <w:sz w:val="32"/>
          <w:szCs w:val="32"/>
        </w:rPr>
        <w:t>◎</w:t>
      </w:r>
      <w:r>
        <w:rPr>
          <w:rFonts w:hint="eastAsia" w:ascii="黑体" w:hAnsi="黑体" w:eastAsia="黑体" w:cs="黑体"/>
          <w:sz w:val="32"/>
          <w:szCs w:val="32"/>
        </w:rPr>
        <w:t>本刊刊登的文件与正式文件具有同等效力</w:t>
      </w:r>
    </w:p>
    <w:p>
      <w:pPr>
        <w:pStyle w:val="9"/>
        <w:widowControl/>
        <w:spacing w:beforeAutospacing="0" w:afterAutospacing="0" w:line="600" w:lineRule="exact"/>
        <w:jc w:val="center"/>
        <w:rPr>
          <w:rFonts w:ascii="黑体" w:hAnsi="黑体" w:eastAsia="黑体" w:cs="黑体"/>
          <w:sz w:val="32"/>
          <w:szCs w:val="32"/>
        </w:rPr>
      </w:pPr>
    </w:p>
    <w:p>
      <w:pPr>
        <w:pStyle w:val="9"/>
        <w:widowControl/>
        <w:spacing w:beforeAutospacing="0" w:afterAutospacing="0" w:line="600" w:lineRule="exact"/>
        <w:jc w:val="center"/>
        <w:rPr>
          <w:rFonts w:ascii="黑体" w:hAnsi="黑体" w:eastAsia="黑体" w:cs="黑体"/>
          <w:sz w:val="36"/>
          <w:szCs w:val="36"/>
        </w:rPr>
      </w:pPr>
      <w:r>
        <w:rPr>
          <w:rFonts w:ascii="黑体" w:hAnsi="黑体" w:eastAsia="黑体" w:cs="黑体"/>
          <w:sz w:val="36"/>
          <w:szCs w:val="36"/>
        </w:rPr>
        <w:t>编 辑 委 员 会</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rPr>
        <w:t>顾  问：蔡富强、唐  亚</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rPr>
        <w:t>主  任：杨丽军</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rPr>
        <w:t>副主任：周振文</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rPr>
        <w:t>委  员：唐耀东、杨  迪、袁  湘、蒋  波</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rPr>
        <w:t>编  辑：刘亚玲</w:t>
      </w:r>
    </w:p>
    <w:p>
      <w:pPr>
        <w:pStyle w:val="9"/>
        <w:widowControl/>
        <w:spacing w:beforeAutospacing="0" w:afterAutospacing="0" w:line="600" w:lineRule="exact"/>
        <w:jc w:val="both"/>
        <w:rPr>
          <w:rFonts w:ascii="黑体" w:hAnsi="黑体" w:eastAsia="黑体" w:cs="黑体"/>
          <w:sz w:val="32"/>
          <w:szCs w:val="32"/>
        </w:rPr>
      </w:pPr>
      <w:r>
        <w:rPr>
          <w:rFonts w:ascii="黑体" w:hAnsi="黑体" w:eastAsia="黑体" w:cs="黑体"/>
          <w:sz w:val="32"/>
          <w:szCs w:val="32"/>
          <w:u w:val="double"/>
        </w:rPr>
        <w:t>双牌县人民政府办公室                  2022年第1-2期</w:t>
      </w:r>
    </w:p>
    <w:p>
      <w:pPr>
        <w:pStyle w:val="9"/>
        <w:widowControl/>
        <w:spacing w:before="0" w:beforeAutospacing="0" w:after="0" w:afterAutospacing="0" w:line="480" w:lineRule="exact"/>
        <w:jc w:val="center"/>
        <w:rPr>
          <w:rFonts w:hint="eastAsia" w:ascii="黑体" w:hAnsi="黑体" w:eastAsia="黑体" w:cs="黑体"/>
          <w:sz w:val="44"/>
          <w:szCs w:val="44"/>
        </w:rPr>
      </w:pPr>
    </w:p>
    <w:p>
      <w:pPr>
        <w:pStyle w:val="9"/>
        <w:widowControl/>
        <w:spacing w:beforeAutospacing="0" w:afterAutospacing="0" w:line="600" w:lineRule="exact"/>
        <w:jc w:val="center"/>
        <w:rPr>
          <w:rFonts w:ascii="黑体" w:hAnsi="黑体" w:eastAsia="黑体" w:cs="黑体"/>
          <w:sz w:val="44"/>
          <w:szCs w:val="44"/>
        </w:rPr>
      </w:pPr>
      <w:r>
        <w:rPr>
          <w:rFonts w:hint="eastAsia" w:ascii="黑体" w:hAnsi="黑体" w:eastAsia="黑体" w:cs="黑体"/>
          <w:sz w:val="44"/>
          <w:szCs w:val="44"/>
        </w:rPr>
        <w:t>目      录</w:t>
      </w:r>
    </w:p>
    <w:p>
      <w:pPr>
        <w:pStyle w:val="9"/>
        <w:widowControl/>
        <w:spacing w:before="0" w:beforeAutospacing="0" w:after="0" w:afterAutospacing="0" w:line="600" w:lineRule="exact"/>
        <w:jc w:val="both"/>
        <w:rPr>
          <w:rFonts w:ascii="黑体" w:hAnsi="黑体" w:eastAsia="黑体" w:cs="黑体"/>
          <w:sz w:val="44"/>
          <w:szCs w:val="44"/>
        </w:rPr>
      </w:pPr>
      <w:r>
        <w:rPr>
          <w:rFonts w:hint="eastAsia" w:ascii="黑体" w:hAnsi="黑体" w:eastAsia="黑体" w:cs="黑体"/>
          <w:sz w:val="32"/>
          <w:szCs w:val="32"/>
        </w:rPr>
        <w:t>【</w:t>
      </w:r>
      <w:r>
        <w:rPr>
          <w:rFonts w:ascii="黑体" w:hAnsi="黑体" w:eastAsia="黑体" w:cs="黑体"/>
          <w:sz w:val="32"/>
          <w:szCs w:val="32"/>
        </w:rPr>
        <w:t>重要政务</w:t>
      </w:r>
      <w:r>
        <w:rPr>
          <w:rFonts w:hint="eastAsia" w:ascii="黑体" w:hAnsi="黑体" w:eastAsia="黑体" w:cs="黑体"/>
          <w:sz w:val="32"/>
          <w:szCs w:val="32"/>
        </w:rPr>
        <w:t>】</w:t>
      </w:r>
    </w:p>
    <w:p>
      <w:pPr>
        <w:spacing w:line="60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政府工作报告</w:t>
      </w:r>
    </w:p>
    <w:p>
      <w:pPr>
        <w:spacing w:line="600" w:lineRule="exact"/>
        <w:jc w:val="left"/>
        <w:rPr>
          <w:rFonts w:hint="eastAsia" w:ascii="仿宋_GB2312" w:hAnsi="仿宋_GB2312" w:eastAsia="仿宋_GB2312" w:cs="仿宋_GB2312"/>
          <w:w w:val="87"/>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w w:val="87"/>
          <w:kern w:val="0"/>
          <w:sz w:val="32"/>
          <w:szCs w:val="32"/>
        </w:rPr>
        <w:t>2022年3月18日在双牌县第十三届人民代表大会第二次会议上</w:t>
      </w:r>
    </w:p>
    <w:p>
      <w:pPr>
        <w:spacing w:line="600" w:lineRule="exact"/>
        <w:jc w:val="left"/>
        <w:rPr>
          <w:rFonts w:ascii="仿宋_GB2312" w:hAnsi="仿宋_GB2312" w:eastAsia="仿宋_GB2312" w:cs="仿宋_GB2312"/>
          <w:kern w:val="0"/>
          <w:sz w:val="32"/>
          <w:szCs w:val="32"/>
        </w:rPr>
      </w:pPr>
      <w:r>
        <w:rPr>
          <w:rFonts w:ascii="仿宋_GB2312" w:hAnsi="仿宋_GB2312" w:eastAsia="仿宋_GB2312" w:cs="仿宋_GB2312"/>
          <w:kern w:val="0"/>
          <w:sz w:val="32"/>
          <w:szCs w:val="32"/>
        </w:rPr>
        <w:t>双牌县人民政府</w:t>
      </w:r>
      <w:r>
        <w:rPr>
          <w:rFonts w:hint="eastAsia" w:ascii="仿宋_GB2312" w:hAnsi="仿宋_GB2312" w:eastAsia="仿宋_GB2312" w:cs="仿宋_GB2312"/>
          <w:kern w:val="0"/>
          <w:sz w:val="32"/>
          <w:szCs w:val="32"/>
        </w:rPr>
        <w:t>县长  蔡富强………………………………1</w:t>
      </w:r>
    </w:p>
    <w:p>
      <w:pPr>
        <w:pStyle w:val="2"/>
        <w:spacing w:after="0" w:line="600" w:lineRule="exact"/>
        <w:ind w:firstLine="0" w:firstLineChars="0"/>
        <w:rPr>
          <w:rFonts w:ascii="黑体" w:hAnsi="黑体" w:eastAsia="黑体" w:cs="黑体"/>
        </w:rPr>
      </w:pPr>
      <w:r>
        <w:rPr>
          <w:rFonts w:hint="eastAsia" w:ascii="黑体" w:hAnsi="黑体" w:eastAsia="黑体" w:cs="黑体"/>
          <w:kern w:val="0"/>
          <w:sz w:val="32"/>
          <w:szCs w:val="32"/>
        </w:rPr>
        <w:t>【</w:t>
      </w:r>
      <w:r>
        <w:rPr>
          <w:rFonts w:ascii="黑体" w:hAnsi="黑体" w:eastAsia="黑体" w:cs="黑体"/>
          <w:kern w:val="0"/>
          <w:sz w:val="32"/>
          <w:szCs w:val="32"/>
        </w:rPr>
        <w:t>县人民政府文件</w:t>
      </w:r>
      <w:r>
        <w:rPr>
          <w:rFonts w:hint="eastAsia" w:ascii="黑体" w:hAnsi="黑体" w:eastAsia="黑体" w:cs="黑体"/>
          <w:kern w:val="0"/>
          <w:sz w:val="32"/>
          <w:szCs w:val="32"/>
        </w:rPr>
        <w:t>】</w:t>
      </w:r>
    </w:p>
    <w:p>
      <w:pPr>
        <w:spacing w:line="60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双牌县人民政府关于公布双牌县第一批历史建筑保护单位的通知</w:t>
      </w:r>
    </w:p>
    <w:p>
      <w:pPr>
        <w:pStyle w:val="2"/>
        <w:spacing w:after="0" w:line="600" w:lineRule="exact"/>
        <w:ind w:firstLine="0" w:firstLineChars="0"/>
        <w:jc w:val="left"/>
        <w:rPr>
          <w:rFonts w:ascii="仿宋_GB2312" w:eastAsia="仿宋_GB2312"/>
          <w:sz w:val="32"/>
          <w:szCs w:val="32"/>
        </w:rPr>
      </w:pPr>
      <w:r>
        <w:rPr>
          <w:rFonts w:ascii="仿宋_GB2312" w:eastAsia="仿宋_GB2312"/>
          <w:sz w:val="32"/>
          <w:szCs w:val="32"/>
        </w:rPr>
        <w:t>（</w:t>
      </w:r>
      <w:r>
        <w:rPr>
          <w:rFonts w:hint="eastAsia" w:ascii="仿宋_GB2312" w:eastAsia="仿宋_GB2312"/>
          <w:sz w:val="32"/>
          <w:szCs w:val="32"/>
        </w:rPr>
        <w:t>双政发〔</w:t>
      </w:r>
      <w:r>
        <w:rPr>
          <w:rFonts w:ascii="仿宋_GB2312" w:eastAsia="仿宋_GB2312"/>
          <w:sz w:val="32"/>
          <w:szCs w:val="32"/>
        </w:rPr>
        <w:t>20</w:t>
      </w:r>
      <w:r>
        <w:rPr>
          <w:rFonts w:hint="eastAsia" w:ascii="仿宋_GB2312" w:eastAsia="仿宋_GB2312"/>
          <w:sz w:val="32"/>
          <w:szCs w:val="32"/>
        </w:rPr>
        <w:t>22〕1号</w:t>
      </w:r>
      <w:r>
        <w:rPr>
          <w:rFonts w:ascii="仿宋_GB2312" w:eastAsia="仿宋_GB2312"/>
          <w:sz w:val="32"/>
          <w:szCs w:val="32"/>
        </w:rPr>
        <w:t>）</w:t>
      </w:r>
      <w:r>
        <w:rPr>
          <w:rFonts w:hint="eastAsia" w:ascii="仿宋_GB2312" w:eastAsia="仿宋_GB2312"/>
          <w:sz w:val="32"/>
          <w:szCs w:val="32"/>
        </w:rPr>
        <w:t>……………………………………25</w:t>
      </w:r>
    </w:p>
    <w:p>
      <w:pPr>
        <w:pStyle w:val="2"/>
        <w:spacing w:after="0" w:line="600" w:lineRule="exact"/>
        <w:ind w:firstLine="0" w:firstLineChars="0"/>
        <w:rPr>
          <w:rFonts w:ascii="黑体" w:hAnsi="黑体" w:eastAsia="黑体" w:cs="黑体"/>
          <w:kern w:val="0"/>
          <w:sz w:val="32"/>
          <w:szCs w:val="32"/>
        </w:rPr>
      </w:pPr>
      <w:r>
        <w:rPr>
          <w:rFonts w:ascii="黑体" w:hAnsi="黑体" w:eastAsia="黑体" w:cs="黑体"/>
          <w:kern w:val="0"/>
          <w:sz w:val="32"/>
          <w:szCs w:val="32"/>
        </w:rPr>
        <w:t>发布政令       公开政务       指导工作     服务社会</w:t>
      </w:r>
    </w:p>
    <w:p>
      <w:pPr>
        <w:pStyle w:val="2"/>
        <w:spacing w:after="0" w:line="600" w:lineRule="exact"/>
        <w:ind w:firstLine="0" w:firstLineChars="0"/>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县人民政府办公室文件</w:t>
      </w:r>
      <w:r>
        <w:rPr>
          <w:rFonts w:hint="eastAsia" w:ascii="黑体" w:hAnsi="黑体" w:eastAsia="黑体" w:cs="黑体"/>
          <w:kern w:val="0"/>
          <w:sz w:val="32"/>
          <w:szCs w:val="32"/>
        </w:rPr>
        <w:t>】</w:t>
      </w:r>
    </w:p>
    <w:p>
      <w:pPr>
        <w:spacing w:line="60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双牌县人民政府办公室关于印发《</w:t>
      </w:r>
      <w:r>
        <w:rPr>
          <w:rFonts w:hint="eastAsia" w:ascii="仿宋_GB2312" w:hAnsi="仿宋_GB2312" w:eastAsia="仿宋_GB2312" w:cs="仿宋_GB2312"/>
          <w:color w:val="000000"/>
          <w:sz w:val="32"/>
          <w:szCs w:val="32"/>
          <w:shd w:val="clear" w:color="auto" w:fill="FFFFFF"/>
        </w:rPr>
        <w:t>双牌县全民科学素质行动规划纲要实施计划（2021-2025年）</w:t>
      </w:r>
      <w:r>
        <w:rPr>
          <w:rFonts w:hint="eastAsia" w:ascii="仿宋_GB2312" w:hAnsi="仿宋_GB2312" w:eastAsia="仿宋_GB2312" w:cs="仿宋_GB2312"/>
          <w:sz w:val="32"/>
          <w:szCs w:val="32"/>
        </w:rPr>
        <w:t>》的通知</w:t>
      </w:r>
    </w:p>
    <w:p>
      <w:pPr>
        <w:pStyle w:val="9"/>
        <w:widowControl/>
        <w:shd w:val="clear" w:color="auto" w:fill="FFFFFF"/>
        <w:spacing w:before="0" w:beforeAutospacing="0" w:after="0" w:afterAutospacing="0" w:line="600" w:lineRule="exact"/>
        <w:rPr>
          <w:rFonts w:ascii="仿宋_GB2312" w:hAnsi="仿宋_GB2312" w:eastAsia="仿宋_GB2312" w:cs="仿宋_GB2312"/>
          <w:snapToGrid w:val="0"/>
          <w:position w:val="4"/>
          <w:sz w:val="32"/>
          <w:szCs w:val="32"/>
        </w:rPr>
      </w:pPr>
      <w:r>
        <w:rPr>
          <w:rFonts w:ascii="仿宋_GB2312" w:hAnsi="仿宋_GB2312" w:eastAsia="仿宋_GB2312" w:cs="仿宋_GB2312"/>
          <w:snapToGrid w:val="0"/>
          <w:position w:val="4"/>
          <w:sz w:val="32"/>
          <w:szCs w:val="32"/>
        </w:rPr>
        <w:t>（</w:t>
      </w:r>
      <w:r>
        <w:rPr>
          <w:rFonts w:hint="eastAsia" w:ascii="仿宋_GB2312" w:hAnsi="仿宋_GB2312" w:eastAsia="仿宋_GB2312" w:cs="仿宋_GB2312"/>
          <w:snapToGrid w:val="0"/>
          <w:position w:val="4"/>
          <w:sz w:val="32"/>
          <w:szCs w:val="32"/>
        </w:rPr>
        <w:t>双政办发〔2022〕1号</w:t>
      </w:r>
      <w:r>
        <w:rPr>
          <w:rFonts w:hint="eastAsia" w:ascii="仿宋_GB2312" w:hAnsi="仿宋_GB2312" w:eastAsia="仿宋_GB2312" w:cs="仿宋_GB2312"/>
          <w:sz w:val="32"/>
          <w:szCs w:val="32"/>
        </w:rPr>
        <w:t>SPDR-2022-01001</w:t>
      </w:r>
      <w:r>
        <w:rPr>
          <w:rFonts w:ascii="仿宋_GB2312" w:hAnsi="仿宋_GB2312" w:eastAsia="仿宋_GB2312" w:cs="仿宋_GB2312"/>
          <w:snapToGrid w:val="0"/>
          <w:position w:val="4"/>
          <w:sz w:val="32"/>
          <w:szCs w:val="32"/>
        </w:rPr>
        <w:t>）</w:t>
      </w:r>
      <w:r>
        <w:rPr>
          <w:rFonts w:hint="eastAsia" w:ascii="仿宋_GB2312" w:hAnsi="仿宋_GB2312" w:eastAsia="仿宋_GB2312" w:cs="仿宋_GB2312"/>
          <w:snapToGrid w:val="0"/>
          <w:position w:val="4"/>
          <w:sz w:val="32"/>
          <w:szCs w:val="32"/>
        </w:rPr>
        <w:t>………………27</w:t>
      </w:r>
    </w:p>
    <w:p>
      <w:pPr>
        <w:pStyle w:val="18"/>
        <w:spacing w:before="0" w:beforeAutospacing="0" w:after="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双牌县人民政府办公室关于全县在省政府2021年真抓实干督查激励中获奖情况的通报</w:t>
      </w:r>
    </w:p>
    <w:p>
      <w:pPr>
        <w:pStyle w:val="18"/>
        <w:spacing w:before="0" w:beforeAutospacing="0" w:after="0" w:afterAutospacing="0" w:line="600" w:lineRule="exact"/>
        <w:rPr>
          <w:rFonts w:ascii="仿宋_GB2312" w:hAnsi="仿宋_GB2312" w:eastAsia="仿宋_GB2312" w:cs="仿宋_GB2312"/>
          <w:position w:val="-6"/>
          <w:sz w:val="32"/>
          <w:szCs w:val="32"/>
        </w:rPr>
      </w:pPr>
      <w:r>
        <w:rPr>
          <w:rFonts w:ascii="仿宋_GB2312" w:hAnsi="仿宋_GB2312" w:eastAsia="仿宋_GB2312" w:cs="仿宋_GB2312"/>
          <w:position w:val="-6"/>
          <w:sz w:val="32"/>
          <w:szCs w:val="32"/>
        </w:rPr>
        <w:t>（</w:t>
      </w:r>
      <w:r>
        <w:rPr>
          <w:rFonts w:hint="eastAsia" w:ascii="仿宋_GB2312" w:hAnsi="仿宋_GB2312" w:eastAsia="仿宋_GB2312" w:cs="仿宋_GB2312"/>
          <w:position w:val="-6"/>
          <w:sz w:val="32"/>
          <w:szCs w:val="32"/>
        </w:rPr>
        <w:t>双政办函〔2022〕2号</w:t>
      </w:r>
      <w:r>
        <w:rPr>
          <w:rFonts w:ascii="仿宋_GB2312" w:hAnsi="仿宋_GB2312" w:eastAsia="仿宋_GB2312" w:cs="仿宋_GB2312"/>
          <w:position w:val="-6"/>
          <w:sz w:val="32"/>
          <w:szCs w:val="32"/>
        </w:rPr>
        <w:t>）</w:t>
      </w:r>
      <w:r>
        <w:rPr>
          <w:rFonts w:hint="eastAsia" w:ascii="仿宋_GB2312" w:hAnsi="仿宋_GB2312" w:eastAsia="仿宋_GB2312" w:cs="仿宋_GB2312"/>
          <w:position w:val="-6"/>
          <w:sz w:val="32"/>
          <w:szCs w:val="32"/>
        </w:rPr>
        <w:t>……………………………………44</w:t>
      </w:r>
    </w:p>
    <w:p>
      <w:pPr>
        <w:pStyle w:val="2"/>
        <w:spacing w:after="0" w:line="600" w:lineRule="exact"/>
        <w:ind w:firstLine="0" w:firstLineChars="0"/>
        <w:jc w:val="left"/>
        <w:rPr>
          <w:rFonts w:ascii="黑体" w:hAnsi="黑体" w:eastAsia="黑体" w:cs="黑体"/>
          <w:kern w:val="0"/>
          <w:sz w:val="32"/>
          <w:szCs w:val="32"/>
        </w:rPr>
      </w:pPr>
      <w:r>
        <w:rPr>
          <w:rFonts w:hint="eastAsia" w:ascii="黑体" w:hAnsi="黑体" w:eastAsia="黑体" w:cs="黑体"/>
          <w:kern w:val="0"/>
          <w:sz w:val="32"/>
          <w:szCs w:val="32"/>
        </w:rPr>
        <w:t>【</w:t>
      </w:r>
      <w:r>
        <w:rPr>
          <w:rFonts w:ascii="黑体" w:hAnsi="黑体" w:eastAsia="黑体" w:cs="黑体"/>
          <w:kern w:val="0"/>
          <w:sz w:val="32"/>
          <w:szCs w:val="32"/>
        </w:rPr>
        <w:t>人事任免文件</w:t>
      </w:r>
      <w:r>
        <w:rPr>
          <w:rFonts w:hint="eastAsia" w:ascii="黑体" w:hAnsi="黑体" w:eastAsia="黑体" w:cs="黑体"/>
          <w:kern w:val="0"/>
          <w:sz w:val="32"/>
          <w:szCs w:val="32"/>
        </w:rPr>
        <w:t>】</w:t>
      </w:r>
    </w:p>
    <w:p>
      <w:pPr>
        <w:spacing w:line="60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双牌县人民政府关于汤政成等同志职务任免的通知</w:t>
      </w:r>
    </w:p>
    <w:p>
      <w:pPr>
        <w:pStyle w:val="2"/>
        <w:spacing w:after="0" w:line="600" w:lineRule="exact"/>
        <w:ind w:firstLine="0"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rPr>
        <w:t>双政人〔2022〕1号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………………………………………54</w:t>
      </w:r>
    </w:p>
    <w:p>
      <w:pPr>
        <w:spacing w:line="600" w:lineRule="exact"/>
      </w:pPr>
    </w:p>
    <w:p>
      <w:pPr>
        <w:pStyle w:val="2"/>
        <w:spacing w:after="0" w:line="600" w:lineRule="exact"/>
        <w:ind w:firstLine="0" w:firstLineChars="0"/>
        <w:jc w:val="left"/>
        <w:rPr>
          <w:rFonts w:ascii="仿宋_GB2312" w:hAnsi="仿宋_GB2312" w:eastAsia="仿宋_GB2312" w:cs="仿宋_GB2312"/>
          <w:kern w:val="0"/>
          <w:sz w:val="32"/>
          <w:szCs w:val="32"/>
        </w:rPr>
      </w:pPr>
    </w:p>
    <w:p>
      <w:pPr>
        <w:pStyle w:val="9"/>
        <w:widowControl/>
        <w:spacing w:before="0" w:beforeAutospacing="0" w:after="0" w:afterAutospacing="0" w:line="600" w:lineRule="exact"/>
        <w:rPr>
          <w:rFonts w:hint="eastAsia" w:ascii="仿宋_GB2312" w:eastAsia="仿宋_GB2312"/>
          <w:sz w:val="28"/>
          <w:szCs w:val="28"/>
        </w:rPr>
      </w:pPr>
    </w:p>
    <w:p>
      <w:pPr>
        <w:pStyle w:val="9"/>
        <w:widowControl/>
        <w:spacing w:before="0" w:beforeAutospacing="0" w:after="0" w:afterAutospacing="0" w:line="600" w:lineRule="exact"/>
        <w:rPr>
          <w:rFonts w:hint="eastAsia" w:ascii="仿宋_GB2312" w:eastAsia="仿宋_GB2312"/>
          <w:sz w:val="28"/>
          <w:szCs w:val="28"/>
        </w:rPr>
      </w:pPr>
    </w:p>
    <w:p>
      <w:pPr>
        <w:pStyle w:val="9"/>
        <w:widowControl/>
        <w:spacing w:beforeAutospacing="0" w:afterAutospacing="0" w:line="600" w:lineRule="exact"/>
        <w:rPr>
          <w:rFonts w:ascii="仿宋_GB2312" w:eastAsia="仿宋_GB2312"/>
          <w:sz w:val="28"/>
          <w:szCs w:val="28"/>
        </w:rPr>
      </w:pPr>
    </w:p>
    <w:p>
      <w:pPr>
        <w:pStyle w:val="9"/>
        <w:widowControl/>
        <w:spacing w:beforeAutospacing="0" w:afterAutospacing="0" w:line="600" w:lineRule="exact"/>
        <w:rPr>
          <w:rFonts w:ascii="仿宋_GB2312" w:eastAsia="仿宋_GB2312"/>
          <w:sz w:val="28"/>
          <w:szCs w:val="28"/>
        </w:rPr>
      </w:pPr>
    </w:p>
    <w:p>
      <w:pPr>
        <w:pStyle w:val="9"/>
        <w:widowControl/>
        <w:spacing w:beforeAutospacing="0" w:afterAutospacing="0" w:line="600" w:lineRule="exact"/>
        <w:rPr>
          <w:rFonts w:hint="eastAsia" w:ascii="仿宋_GB2312" w:eastAsia="仿宋_GB2312"/>
          <w:sz w:val="28"/>
          <w:szCs w:val="28"/>
        </w:rPr>
      </w:pPr>
    </w:p>
    <w:p>
      <w:pPr>
        <w:pStyle w:val="9"/>
        <w:widowControl/>
        <w:spacing w:beforeAutospacing="0" w:afterAutospacing="0" w:line="600" w:lineRule="exact"/>
        <w:rPr>
          <w:rFonts w:hint="eastAsia" w:ascii="仿宋_GB2312" w:eastAsia="仿宋_GB2312"/>
          <w:sz w:val="28"/>
          <w:szCs w:val="28"/>
        </w:rPr>
      </w:pPr>
    </w:p>
    <w:p>
      <w:pPr>
        <w:pStyle w:val="9"/>
        <w:widowControl/>
        <w:spacing w:beforeAutospacing="0" w:afterAutospacing="0" w:line="600" w:lineRule="exact"/>
        <w:rPr>
          <w:rFonts w:ascii="仿宋_GB2312" w:eastAsia="仿宋_GB2312"/>
          <w:sz w:val="28"/>
          <w:szCs w:val="28"/>
        </w:rPr>
      </w:pPr>
    </w:p>
    <w:p/>
    <w:p>
      <w:pPr>
        <w:sectPr>
          <w:footerReference r:id="rId3" w:type="even"/>
          <w:pgSz w:w="11906" w:h="16838"/>
          <w:pgMar w:top="1701" w:right="1701" w:bottom="1474" w:left="1701" w:header="851" w:footer="992" w:gutter="0"/>
          <w:pgNumType w:start="1"/>
          <w:cols w:space="720" w:num="1"/>
          <w:docGrid w:type="lines" w:linePitch="312" w:charSpace="0"/>
        </w:sectPr>
      </w:pPr>
    </w:p>
    <w:p>
      <w:r>
        <w:rPr>
          <w:sz w:val="44"/>
          <w:szCs w:val="44"/>
        </w:rPr>
        <w:pict>
          <v:shape id="_x0000_s1026" o:spid="_x0000_s1026" o:spt="202" type="#_x0000_t202" style="position:absolute;left:0pt;margin-left:-9.05pt;margin-top:-30.15pt;height:27pt;width:437.75pt;z-index:251633664;mso-width-relative:page;mso-height-relative:page;" stroked="f" coordsize="21600,21600" o:gfxdata="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WAAAAZHJzL1BLAQIUABQAAAAIAIdO4kCUALgb&#10;1QAAAAoBAAAPAAAAAAAAAAEAIAAAADgAAABkcnMvZG93bnJldi54bWxQSwECFAAUAAAACACHTuJA&#10;A27UN0cCAABaBAAADgAAAAAAAAABACAAAAA6AQAAZHJzL2Uyb0RvYy54bWxQSwUGAAAAAAYABgBZ&#10;AQAA8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p>
    <w:p>
      <w:pPr>
        <w:spacing w:line="640" w:lineRule="exact"/>
        <w:jc w:val="center"/>
        <w:rPr>
          <w:rFonts w:ascii="方正大标宋简体" w:eastAsia="方正大标宋简体"/>
          <w:spacing w:val="40"/>
          <w:sz w:val="44"/>
          <w:szCs w:val="44"/>
        </w:rPr>
      </w:pPr>
      <w:r>
        <w:rPr>
          <w:rFonts w:hint="eastAsia" w:ascii="方正大标宋简体" w:hAnsi="黑体" w:eastAsia="方正大标宋简体" w:cs="黑体"/>
          <w:spacing w:val="40"/>
          <w:sz w:val="44"/>
          <w:szCs w:val="44"/>
        </w:rPr>
        <w:t>政府工作报告</w:t>
      </w:r>
    </w:p>
    <w:p>
      <w:pPr>
        <w:spacing w:line="600" w:lineRule="exact"/>
        <w:jc w:val="center"/>
        <w:rPr>
          <w:rFonts w:ascii="楷体" w:hAnsi="楷体" w:eastAsia="楷体" w:cs="楷体"/>
          <w:b/>
          <w:spacing w:val="-16"/>
          <w:sz w:val="32"/>
          <w:szCs w:val="32"/>
        </w:rPr>
      </w:pPr>
      <w:r>
        <w:rPr>
          <w:rFonts w:hint="eastAsia" w:ascii="楷体" w:hAnsi="楷体" w:eastAsia="楷体" w:cs="楷体"/>
          <w:b/>
          <w:spacing w:val="-16"/>
          <w:sz w:val="32"/>
          <w:szCs w:val="32"/>
        </w:rPr>
        <w:t>——</w:t>
      </w:r>
      <w:r>
        <w:rPr>
          <w:rFonts w:hint="eastAsia" w:ascii="楷体_GB2312" w:hAnsi="楷体" w:eastAsia="楷体_GB2312" w:cs="楷体"/>
          <w:b/>
          <w:spacing w:val="-16"/>
          <w:sz w:val="32"/>
          <w:szCs w:val="32"/>
        </w:rPr>
        <w:t>2022年3月18日在双牌县第十三届人民代表大会第二次会议上</w:t>
      </w:r>
    </w:p>
    <w:p>
      <w:pPr>
        <w:spacing w:line="600" w:lineRule="exact"/>
        <w:jc w:val="center"/>
        <w:rPr>
          <w:rFonts w:ascii="楷体_GB2312" w:hAnsi="楷体" w:eastAsia="楷体_GB2312" w:cs="楷体"/>
          <w:b/>
          <w:sz w:val="32"/>
          <w:szCs w:val="32"/>
        </w:rPr>
      </w:pPr>
      <w:r>
        <w:rPr>
          <w:rFonts w:hint="eastAsia" w:ascii="楷体_GB2312" w:hAnsi="楷体" w:eastAsia="楷体_GB2312" w:cs="楷体"/>
          <w:b/>
          <w:sz w:val="32"/>
          <w:szCs w:val="32"/>
        </w:rPr>
        <w:t>县 长  蔡富强</w:t>
      </w:r>
    </w:p>
    <w:p/>
    <w:p>
      <w:pPr>
        <w:autoSpaceDE w:val="0"/>
        <w:autoSpaceDN w:val="0"/>
        <w:spacing w:line="590" w:lineRule="exact"/>
        <w:rPr>
          <w:rFonts w:ascii="仿宋_GB2312" w:hAnsi="仿宋" w:eastAsia="仿宋_GB2312" w:cs="仿宋"/>
          <w:sz w:val="32"/>
          <w:szCs w:val="32"/>
        </w:rPr>
        <w:sectPr>
          <w:footerReference r:id="rId4" w:type="default"/>
          <w:pgSz w:w="11906" w:h="16838"/>
          <w:pgMar w:top="1701" w:right="1701" w:bottom="1474" w:left="1701" w:header="851" w:footer="992" w:gutter="0"/>
          <w:pgNumType w:start="1"/>
          <w:cols w:space="720" w:num="1"/>
          <w:docGrid w:type="lines" w:linePitch="312" w:charSpace="0"/>
        </w:sectPr>
      </w:pPr>
    </w:p>
    <w:p>
      <w:pPr>
        <w:autoSpaceDE w:val="0"/>
        <w:autoSpaceDN w:val="0"/>
        <w:spacing w:line="590" w:lineRule="exact"/>
        <w:rPr>
          <w:rFonts w:ascii="仿宋_GB2312" w:hAnsi="仿宋" w:eastAsia="仿宋_GB2312" w:cs="仿宋"/>
          <w:sz w:val="32"/>
          <w:szCs w:val="32"/>
        </w:rPr>
      </w:pPr>
      <w:r>
        <w:rPr>
          <w:rFonts w:hint="eastAsia" w:ascii="仿宋_GB2312" w:hAnsi="仿宋" w:eastAsia="仿宋_GB2312" w:cs="仿宋"/>
          <w:sz w:val="32"/>
          <w:szCs w:val="32"/>
        </w:rPr>
        <w:t>各位代表：</w:t>
      </w:r>
    </w:p>
    <w:p>
      <w:pPr>
        <w:autoSpaceDE w:val="0"/>
        <w:autoSpaceDN w:val="0"/>
        <w:spacing w:line="59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现在，我代表县人民政府，向大会作政府工作报告，请予审议，并请各位政协委员和列席会议的同志提出意见。</w:t>
      </w:r>
    </w:p>
    <w:p>
      <w:pPr>
        <w:autoSpaceDE w:val="0"/>
        <w:autoSpaceDN w:val="0"/>
        <w:spacing w:line="590" w:lineRule="exact"/>
        <w:ind w:firstLine="640" w:firstLineChars="200"/>
        <w:rPr>
          <w:rFonts w:ascii="仿宋" w:hAnsi="仿宋" w:eastAsia="仿宋" w:cs="仿宋"/>
          <w:sz w:val="32"/>
          <w:szCs w:val="32"/>
        </w:rPr>
      </w:pPr>
      <w:r>
        <w:rPr>
          <w:rFonts w:hint="eastAsia" w:ascii="黑体" w:hAnsi="黑体" w:eastAsia="黑体" w:cs="黑体"/>
          <w:sz w:val="32"/>
          <w:szCs w:val="32"/>
        </w:rPr>
        <w:t>一、2021年工作回顾</w:t>
      </w:r>
    </w:p>
    <w:p>
      <w:pPr>
        <w:autoSpaceDE w:val="0"/>
        <w:autoSpaceDN w:val="0"/>
        <w:spacing w:line="59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2021年，是双牌发展史上极不平凡的一年，我们共同庆祝中国共产党百年华诞，有效应对纷繁复杂局面的严峻挑战，以坚强意志和决心打好新冠肺炎疫情防控阻击战。我们坚持以习近平新时代中国特色社会主义思想为指导，坚决贯彻落实中央和省、市决策部署，全面落实“三高四新”战略定位和使命任务，对接融入“三区两城”“一核两轴三圈”区域经济格局，在县委的坚强领导下，团结拼搏，真抓实干，圆满完成了年初确定的主要目标任务，谱写了双牌高质量发展新的篇章。</w:t>
      </w:r>
    </w:p>
    <w:p>
      <w:pPr>
        <w:autoSpaceDE w:val="0"/>
        <w:autoSpaceDN w:val="0"/>
        <w:spacing w:line="590"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1.致力稳运行、促发展、增实力，全面小康成色更足。</w:t>
      </w:r>
      <w:r>
        <w:rPr>
          <w:rFonts w:hint="eastAsia" w:ascii="仿宋_GB2312" w:hAnsi="仿宋" w:eastAsia="仿宋_GB2312" w:cs="仿宋"/>
          <w:sz w:val="32"/>
          <w:szCs w:val="32"/>
        </w:rPr>
        <w:t>2021年，全县完成地区生产总值84.48亿元、增长7.9%，规模工业增加值增长9.2%，固定资产投资增长5.9%，社会消费品零售总额完成30.56亿元、增长15.5%，城乡居民人均可支配收入达到31273元、11735元，分别增长7.4%、9.8%，财政收入完成5.4亿元、增长16.8%，其中税收占比达到82.03%。2021年全县人均GDP为53948元，排名全市第二。我县顺利跻身国家电子商务进农村综合示范县、省生态文明建设示范县，平安创建、安全生产和消防两项工作在省委经济工作会议上受到表彰，固定资产投资、信访“三无”创建、文化和旅游等3项工作获省政府真抓实干表扬激励，获奖个数为历年来最多。</w:t>
      </w:r>
    </w:p>
    <w:p>
      <w:pPr>
        <w:autoSpaceDE w:val="0"/>
        <w:autoSpaceDN w:val="0"/>
        <w:spacing w:line="590" w:lineRule="exact"/>
        <w:ind w:firstLine="630" w:firstLineChars="300"/>
        <w:rPr>
          <w:rFonts w:ascii="仿宋_GB2312" w:hAnsi="仿宋" w:eastAsia="仿宋_GB2312" w:cs="仿宋"/>
          <w:sz w:val="32"/>
          <w:szCs w:val="32"/>
        </w:rPr>
      </w:pPr>
      <w:r>
        <w:pict>
          <v:shape id="_x0000_s2096" o:spid="_x0000_s2096" o:spt="202" type="#_x0000_t202" style="position:absolute;left:0pt;margin-left:-3.8pt;margin-top:-329.5pt;height:31.6pt;width:448.65pt;z-index:251634688;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Dnl2FrVAAAACQEAAA8AAAAA&#10;AAAAAQAgAAAAOAAAAGRycy9kb3ducmV2LnhtbFBLAQIUABQAAAAIAIdO4kBMMme0OgIAAE8EAAAO&#10;AAAAAAAAAAEAIAAAADoBAABkcnMvZTJvRG9jLnhtbFBLBQYAAAAABgAGAFkBAADmBQ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2.致力调结构、抓转型、提质量，产业升级效益更好。</w:t>
      </w:r>
      <w:r>
        <w:rPr>
          <w:rFonts w:hint="eastAsia" w:ascii="仿宋_GB2312" w:hAnsi="仿宋" w:eastAsia="仿宋_GB2312" w:cs="仿宋"/>
          <w:b/>
          <w:sz w:val="32"/>
          <w:szCs w:val="32"/>
        </w:rPr>
        <w:t>生态旅游能级跃升。</w:t>
      </w:r>
      <w:r>
        <w:rPr>
          <w:rFonts w:hint="eastAsia" w:ascii="仿宋_GB2312" w:hAnsi="仿宋" w:eastAsia="仿宋_GB2312" w:cs="仿宋"/>
          <w:sz w:val="32"/>
          <w:szCs w:val="32"/>
        </w:rPr>
        <w:t>以阳明山为龙头，桐子坳、花千谷、国际慢城、云台山为支点的五大景区齐头并进，花千谷创国家4A景区进展顺利，云台山成功创建国家3A景区，潇水永水观光带网红刷屏，成功举办全省（春季）乡村文化旅游节暨第十三届阳明山“和”文化节。2021年共接待游客295.92万人次，实现旅游综合收入26.86亿元，同比分别增长28.28%、34.10%。</w:t>
      </w:r>
      <w:r>
        <w:rPr>
          <w:rFonts w:hint="eastAsia" w:ascii="仿宋_GB2312" w:hAnsi="仿宋" w:eastAsia="仿宋_GB2312" w:cs="仿宋"/>
          <w:b/>
          <w:sz w:val="32"/>
          <w:szCs w:val="32"/>
        </w:rPr>
        <w:t>新型工业量质齐升。</w:t>
      </w:r>
      <w:r>
        <w:rPr>
          <w:rFonts w:hint="eastAsia" w:ascii="仿宋_GB2312" w:hAnsi="仿宋" w:eastAsia="仿宋_GB2312" w:cs="仿宋"/>
          <w:sz w:val="32"/>
          <w:szCs w:val="32"/>
        </w:rPr>
        <w:t>园区新增投资5.2亿元，新建标准厂房9.1万平方米，亩均产值达到217万元，顺利跻身全省“双创”示范基地。昊利二期、</w:t>
      </w:r>
      <w:r>
        <w:rPr>
          <w:rFonts w:hint="eastAsia" w:ascii="仿宋_GB2312" w:hAnsi="仿宋" w:eastAsia="仿宋" w:cs="仿宋"/>
          <w:sz w:val="32"/>
          <w:szCs w:val="32"/>
        </w:rPr>
        <w:t>昇</w:t>
      </w:r>
      <w:r>
        <w:rPr>
          <w:rFonts w:hint="eastAsia" w:ascii="仿宋_GB2312" w:hAnsi="仿宋" w:eastAsia="仿宋_GB2312" w:cs="仿宋"/>
          <w:sz w:val="32"/>
          <w:szCs w:val="32"/>
        </w:rPr>
        <w:t>宇科技建成投产，倪家洞风电场并网发电，麻江五星岭风电场加快推进，总投资120亿元的天子山抽水蓄能发电项目列入“十四五”国家能源规划。新增入统规模工业企业7家，新认定高新技术企业6家，制造业增加值占GDP比重达到30.9%、位居全市第一。</w:t>
      </w:r>
      <w:r>
        <w:rPr>
          <w:rFonts w:hint="eastAsia" w:ascii="仿宋_GB2312" w:hAnsi="仿宋" w:eastAsia="仿宋_GB2312" w:cs="仿宋"/>
          <w:b/>
          <w:sz w:val="32"/>
          <w:szCs w:val="32"/>
        </w:rPr>
        <w:t>现代农业供需发力。</w:t>
      </w:r>
      <w:r>
        <w:rPr>
          <w:rFonts w:hint="eastAsia" w:ascii="仿宋_GB2312" w:hAnsi="仿宋" w:eastAsia="仿宋_GB2312" w:cs="仿宋"/>
          <w:sz w:val="32"/>
          <w:szCs w:val="32"/>
        </w:rPr>
        <w:t>全面完成粮食、生猪生产任务，确保了粮食和重要副食品供应安全。新建粤港澳“菜篮子”备案基地3家，创建市级以上龙头企业22家，完成“二品一标”认证8个，双牌虎爪姜获评国家地理标志证明商标，县域公用品牌“双牌味道”即将上市。</w:t>
      </w:r>
    </w:p>
    <w:p>
      <w:pPr>
        <w:autoSpaceDE w:val="0"/>
        <w:autoSpaceDN w:val="0"/>
        <w:spacing w:line="590" w:lineRule="exact"/>
        <w:ind w:firstLine="630" w:firstLineChars="300"/>
        <w:rPr>
          <w:rFonts w:ascii="仿宋_GB2312" w:hAnsi="仿宋" w:eastAsia="仿宋_GB2312" w:cs="仿宋"/>
          <w:sz w:val="32"/>
          <w:szCs w:val="32"/>
        </w:rPr>
      </w:pPr>
      <w:r>
        <w:pict>
          <v:shape id="_x0000_s2095" o:spid="_x0000_s2095" o:spt="202" type="#_x0000_t202" style="position:absolute;left:0pt;margin-left:-3.8pt;margin-top:-93.5pt;height:30.85pt;width:449.4pt;z-index:251635712;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IRpngD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3.致力补短板、强治理、塑品质，城乡面貌颜值更高。</w:t>
      </w:r>
      <w:r>
        <w:rPr>
          <w:rFonts w:hint="eastAsia" w:ascii="仿宋_GB2312" w:hAnsi="仿宋" w:eastAsia="仿宋_GB2312" w:cs="仿宋"/>
          <w:b/>
          <w:sz w:val="32"/>
          <w:szCs w:val="32"/>
        </w:rPr>
        <w:t>基础更完善。</w:t>
      </w:r>
      <w:r>
        <w:rPr>
          <w:rFonts w:hint="eastAsia" w:ascii="仿宋_GB2312" w:hAnsi="仿宋" w:eastAsia="仿宋_GB2312" w:cs="仿宋"/>
          <w:sz w:val="32"/>
          <w:szCs w:val="32"/>
        </w:rPr>
        <w:t>潇水二桥开工建设，平霞路完成提质改造，老城区断头路全部拉通。改造农村公路28.8公里，建设安防工程44公里。完成水利投资4300万元，启动贤水河流域治理，除险加固病险水库4座，创建农村样板水厂3座。完成10千伏及以下所有农村电网改造，4G信号和光纤网络均实现行政村全覆盖，县城范围内重点场所完成5G网络覆盖。</w:t>
      </w:r>
      <w:r>
        <w:rPr>
          <w:rFonts w:hint="eastAsia" w:ascii="仿宋_GB2312" w:hAnsi="仿宋" w:eastAsia="仿宋_GB2312" w:cs="仿宋"/>
          <w:b/>
          <w:sz w:val="32"/>
          <w:szCs w:val="32"/>
        </w:rPr>
        <w:t>县城更精致。</w:t>
      </w:r>
      <w:r>
        <w:rPr>
          <w:rFonts w:hint="eastAsia" w:ascii="仿宋_GB2312" w:hAnsi="仿宋" w:eastAsia="仿宋_GB2312" w:cs="仿宋"/>
          <w:sz w:val="32"/>
          <w:szCs w:val="32"/>
        </w:rPr>
        <w:t>城北棚户区“改扩翻”、人防地面指挥中心基本完工，天龙国际、日月星河湾、江山郡等项目稳步推进，大沙地开发、霞灯棚户区等项目启动建设。43个老旧小区完成改造，潇水河左右岸雨污分流专项整治积极推进，新增城区车位1586个。完成潇水、永水沿线建筑景观亮化和老旧墙面文创改造，推行主要街道立体绿化，打造风车特色景观带，最美花园县城成效初显。</w:t>
      </w:r>
      <w:r>
        <w:rPr>
          <w:rFonts w:hint="eastAsia" w:ascii="仿宋_GB2312" w:hAnsi="仿宋" w:eastAsia="仿宋_GB2312" w:cs="仿宋"/>
          <w:b/>
          <w:sz w:val="32"/>
          <w:szCs w:val="32"/>
        </w:rPr>
        <w:t>乡村更秀美。</w:t>
      </w:r>
      <w:r>
        <w:rPr>
          <w:rFonts w:hint="eastAsia" w:ascii="仿宋_GB2312" w:hAnsi="仿宋" w:eastAsia="仿宋_GB2312" w:cs="仿宋"/>
          <w:sz w:val="32"/>
          <w:szCs w:val="32"/>
        </w:rPr>
        <w:t>乡村振兴投入衔接资金7240余万元，持续改善农村生产生活设施。全面开展畜禽养殖污染防治和生活污水处理，完成9个乡镇污水处理设施建设，城乡垃圾转运体系不断完善。改建新建农村户厕1350户，拆除农村空心房11.7万平方米，92个村庄达到绿色村庄标准，美丽乡村展现新风貌。</w:t>
      </w:r>
    </w:p>
    <w:p>
      <w:pPr>
        <w:autoSpaceDE w:val="0"/>
        <w:autoSpaceDN w:val="0"/>
        <w:spacing w:line="590"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4.致力保生态、治污染、防风险，绿色双牌底色更亮。</w:t>
      </w:r>
      <w:r>
        <w:rPr>
          <w:rFonts w:hint="eastAsia" w:ascii="仿宋_GB2312" w:hAnsi="仿宋" w:eastAsia="仿宋_GB2312" w:cs="仿宋"/>
          <w:b/>
          <w:sz w:val="32"/>
          <w:szCs w:val="32"/>
        </w:rPr>
        <w:t>生态文明阔步前行。</w:t>
      </w:r>
      <w:r>
        <w:rPr>
          <w:rFonts w:hint="eastAsia" w:ascii="仿宋_GB2312" w:hAnsi="仿宋" w:eastAsia="仿宋_GB2312" w:cs="仿宋"/>
          <w:sz w:val="32"/>
          <w:szCs w:val="32"/>
        </w:rPr>
        <w:t>完成造林1.6万亩、森林抚育9.5万亩，森林覆盖率达到76.84%。污染防治成效显著，全县环境空气质量改善位居全省前列，水功能区水质达标率100%。开展建设用地土壤污染管控、修复，安全利用受污染耕地2000亩。全面办结中央第六生态环境保护督察组交办件。</w:t>
      </w:r>
      <w:r>
        <w:rPr>
          <w:rFonts w:hint="eastAsia" w:ascii="仿宋_GB2312" w:hAnsi="仿宋" w:eastAsia="仿宋_GB2312" w:cs="仿宋"/>
          <w:b/>
          <w:sz w:val="32"/>
          <w:szCs w:val="32"/>
        </w:rPr>
        <w:t>安全底线更加牢固。</w:t>
      </w:r>
      <w:r>
        <w:rPr>
          <w:rFonts w:hint="eastAsia" w:ascii="仿宋_GB2312" w:hAnsi="仿宋" w:eastAsia="仿宋_GB2312" w:cs="仿宋"/>
          <w:sz w:val="32"/>
          <w:szCs w:val="32"/>
        </w:rPr>
        <w:t>守牢隐性债务不新增底线，超额完成政府性债务化债任务。落实疫情常态化防控措施，筑牢疫情防控屏障。持续推进安全生产专项整治三年行动攻坚，安全生产形势保持稳定。</w:t>
      </w:r>
      <w:r>
        <w:rPr>
          <w:rFonts w:hint="eastAsia" w:ascii="仿宋_GB2312" w:hAnsi="仿宋" w:eastAsia="仿宋_GB2312" w:cs="仿宋"/>
          <w:b/>
          <w:sz w:val="32"/>
          <w:szCs w:val="32"/>
        </w:rPr>
        <w:t>社会大局安定和谐。</w:t>
      </w:r>
      <w:r>
        <w:rPr>
          <w:rFonts w:hint="eastAsia" w:ascii="仿宋_GB2312" w:hAnsi="仿宋" w:eastAsia="仿宋_GB2312" w:cs="仿宋"/>
          <w:sz w:val="32"/>
          <w:szCs w:val="32"/>
        </w:rPr>
        <w:t>深入推进平安双牌建设，常态化推进扫黑除恶专项斗争，强力打击电诈违法犯罪，坚决开展新时代禁毒人民战争, 加快推进市域社会治理现代化，“五警”建设、政法“五老”调解、快反“135”农村片区警务站建设等工作全市领先。</w:t>
      </w:r>
    </w:p>
    <w:p>
      <w:pPr>
        <w:autoSpaceDE w:val="0"/>
        <w:autoSpaceDN w:val="0"/>
        <w:spacing w:line="590" w:lineRule="exact"/>
        <w:ind w:firstLine="630" w:firstLineChars="300"/>
        <w:rPr>
          <w:rFonts w:ascii="仿宋_GB2312" w:hAnsi="仿宋" w:eastAsia="仿宋_GB2312" w:cs="仿宋"/>
          <w:sz w:val="32"/>
          <w:szCs w:val="32"/>
        </w:rPr>
      </w:pPr>
      <w:r>
        <w:pict>
          <v:shape id="_x0000_s2094" o:spid="_x0000_s2094" o:spt="202" type="#_x0000_t202" style="position:absolute;left:0pt;margin-left:-5.3pt;margin-top:-632.65pt;height:32.95pt;width:454.65pt;z-index:251636736;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lmJn3D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5.致力抓改革、扩开放、优环境，加快发展动能更强。</w:t>
      </w:r>
      <w:r>
        <w:rPr>
          <w:rFonts w:hint="eastAsia" w:ascii="仿宋_GB2312" w:hAnsi="仿宋" w:eastAsia="仿宋_GB2312" w:cs="仿宋"/>
          <w:b/>
          <w:sz w:val="32"/>
          <w:szCs w:val="32"/>
        </w:rPr>
        <w:t>改革创新增活力。</w:t>
      </w:r>
      <w:r>
        <w:rPr>
          <w:rFonts w:hint="eastAsia" w:ascii="仿宋_GB2312" w:hAnsi="仿宋" w:eastAsia="仿宋_GB2312" w:cs="仿宋"/>
          <w:sz w:val="32"/>
          <w:szCs w:val="32"/>
        </w:rPr>
        <w:t>“放管服”改革持续深化，“三集中三到位”加快推进，创新推出企业服务“VIP一卡通”，“好差评”群众满意度达100%，政务服务经验全省推介。农村各项改革稳步实施，供销综合改革加快推进。平台公司改革取得实效，村镇银行实现试运行。</w:t>
      </w:r>
      <w:r>
        <w:rPr>
          <w:rFonts w:hint="eastAsia" w:ascii="仿宋_GB2312" w:hAnsi="仿宋" w:eastAsia="仿宋_GB2312" w:cs="仿宋"/>
          <w:b/>
          <w:sz w:val="32"/>
          <w:szCs w:val="32"/>
        </w:rPr>
        <w:t>开放引进纳百川。</w:t>
      </w:r>
      <w:r>
        <w:rPr>
          <w:rFonts w:hint="eastAsia" w:ascii="仿宋_GB2312" w:hAnsi="仿宋" w:eastAsia="仿宋_GB2312" w:cs="仿宋"/>
          <w:sz w:val="32"/>
          <w:szCs w:val="32"/>
        </w:rPr>
        <w:t>围绕“一主一特”产业，积极向南向海向外发展，加快招大引强步伐，全年共签约项目26个，签约总投资22亿元以上，其中“三类500强”企业2家，签约企业数量、金额分别增长48.2%、66.7%。</w:t>
      </w:r>
      <w:r>
        <w:rPr>
          <w:rFonts w:hint="eastAsia" w:ascii="仿宋_GB2312" w:hAnsi="仿宋" w:eastAsia="仿宋_GB2312" w:cs="仿宋"/>
          <w:b/>
          <w:sz w:val="32"/>
          <w:szCs w:val="32"/>
        </w:rPr>
        <w:t>优化环境强主体。</w:t>
      </w:r>
      <w:r>
        <w:rPr>
          <w:rFonts w:hint="eastAsia" w:ascii="仿宋_GB2312" w:hAnsi="仿宋" w:eastAsia="仿宋_GB2312" w:cs="仿宋"/>
          <w:sz w:val="32"/>
          <w:szCs w:val="32"/>
        </w:rPr>
        <w:t>压缩行政审批、企业开办时间，全面推行“证照分离”，企业登记全程电子化。设立产业发展基金1亿元，为各类市场主体减免退税1.2亿元。全年新增市场主体20813个，增长率位居全市前列。新增湖南股交所挂牌企业2家，直接融资实现破“零”。</w:t>
      </w:r>
    </w:p>
    <w:p>
      <w:pPr>
        <w:autoSpaceDE w:val="0"/>
        <w:autoSpaceDN w:val="0"/>
        <w:spacing w:line="614" w:lineRule="exact"/>
        <w:ind w:firstLine="630" w:firstLineChars="300"/>
        <w:rPr>
          <w:rFonts w:ascii="仿宋_GB2312" w:hAnsi="仿宋" w:eastAsia="仿宋_GB2312" w:cs="仿宋"/>
          <w:spacing w:val="6"/>
          <w:sz w:val="32"/>
          <w:szCs w:val="32"/>
        </w:rPr>
      </w:pPr>
      <w:r>
        <w:pict>
          <v:shape id="_x0000_s2093" o:spid="_x0000_s2093" o:spt="202" type="#_x0000_t202" style="position:absolute;left:0pt;margin-left:-3.8pt;margin-top:-69.15pt;height:33.1pt;width:453.15pt;z-index:251637760;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7d3fHz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6.致力办实事、惠民生、增福祉，社会大局底盘更稳。</w:t>
      </w:r>
      <w:r>
        <w:rPr>
          <w:rFonts w:hint="eastAsia" w:ascii="仿宋_GB2312" w:hAnsi="仿宋" w:eastAsia="仿宋_GB2312" w:cs="仿宋"/>
          <w:b/>
          <w:sz w:val="32"/>
          <w:szCs w:val="32"/>
        </w:rPr>
        <w:t>就业保持稳定。</w:t>
      </w:r>
      <w:r>
        <w:rPr>
          <w:rFonts w:hint="eastAsia" w:ascii="仿宋_GB2312" w:hAnsi="仿宋" w:eastAsia="仿宋_GB2312" w:cs="仿宋"/>
          <w:sz w:val="32"/>
          <w:szCs w:val="32"/>
        </w:rPr>
        <w:t>落实就业创业政策，发放小额创业担保贷款6673万元，全年新增城镇就业3712人，新增农村劳动力转移就业1710人，城镇登记失业率保持在4.5%以内。</w:t>
      </w:r>
      <w:r>
        <w:rPr>
          <w:rFonts w:hint="eastAsia" w:ascii="仿宋_GB2312" w:hAnsi="仿宋" w:eastAsia="仿宋_GB2312" w:cs="仿宋"/>
          <w:b/>
          <w:sz w:val="32"/>
          <w:szCs w:val="32"/>
        </w:rPr>
        <w:t>教育优先发展。</w:t>
      </w:r>
      <w:r>
        <w:rPr>
          <w:rFonts w:hint="eastAsia" w:ascii="仿宋_GB2312" w:hAnsi="仿宋" w:eastAsia="仿宋_GB2312" w:cs="仿宋"/>
          <w:sz w:val="32"/>
          <w:szCs w:val="32"/>
        </w:rPr>
        <w:t>开办紫京学校，提质改造县职业技术学校、5所乡村学校和3个标准化教学点，新增学位980个，“大班额”全面消除。</w:t>
      </w:r>
      <w:r>
        <w:rPr>
          <w:rFonts w:hint="eastAsia" w:ascii="仿宋_GB2312" w:hAnsi="仿宋" w:eastAsia="仿宋_GB2312" w:cs="仿宋"/>
          <w:b/>
          <w:sz w:val="32"/>
          <w:szCs w:val="32"/>
        </w:rPr>
        <w:t>卫健事业进步。</w:t>
      </w:r>
      <w:r>
        <w:rPr>
          <w:rFonts w:hint="eastAsia" w:ascii="仿宋_GB2312" w:hAnsi="仿宋" w:eastAsia="仿宋_GB2312" w:cs="仿宋"/>
          <w:sz w:val="32"/>
          <w:szCs w:val="32"/>
        </w:rPr>
        <w:t>县人民医院医技楼、县疾控中心业务用房建设推进顺利，建成数字化预防接种门诊16个，农村适龄妇女、孕产妇两项筛查超额完成任务，紧密型医共体建设成效明显。</w:t>
      </w:r>
      <w:r>
        <w:rPr>
          <w:rFonts w:hint="eastAsia" w:ascii="仿宋_GB2312" w:hAnsi="仿宋" w:eastAsia="仿宋_GB2312" w:cs="仿宋"/>
          <w:b/>
          <w:sz w:val="32"/>
          <w:szCs w:val="32"/>
        </w:rPr>
        <w:t>文体蓬勃发展。</w:t>
      </w:r>
      <w:r>
        <w:rPr>
          <w:rFonts w:hint="eastAsia" w:ascii="仿宋_GB2312" w:hAnsi="仿宋" w:eastAsia="仿宋_GB2312" w:cs="仿宋"/>
          <w:sz w:val="32"/>
          <w:szCs w:val="32"/>
        </w:rPr>
        <w:t>国家公共文化服务体系示范区创建成果不断巩固，群众性文化体育活动如火如荼。</w:t>
      </w:r>
      <w:r>
        <w:rPr>
          <w:rFonts w:hint="eastAsia" w:ascii="仿宋_GB2312" w:hAnsi="仿宋" w:eastAsia="仿宋_GB2312" w:cs="仿宋"/>
          <w:b/>
          <w:sz w:val="32"/>
          <w:szCs w:val="32"/>
        </w:rPr>
        <w:t>社保更加完善。</w:t>
      </w:r>
      <w:r>
        <w:rPr>
          <w:rFonts w:hint="eastAsia" w:ascii="仿宋_GB2312" w:hAnsi="仿宋" w:eastAsia="仿宋_GB2312" w:cs="仿宋"/>
          <w:sz w:val="32"/>
          <w:szCs w:val="32"/>
        </w:rPr>
        <w:t>社会保险持续扩面，各项待遇有效落实。劳动维权扎实开展，追回欠薪300余万元。脱贫人口收入持续增长，“3+1”保障进一步稳固，脱贫攻坚成果有效巩固拓展。新开工棚户区改造518套，改造农村危房121户。</w:t>
      </w:r>
      <w:r>
        <w:rPr>
          <w:rFonts w:hint="eastAsia" w:ascii="仿宋_GB2312" w:hAnsi="仿宋" w:eastAsia="仿宋_GB2312" w:cs="仿宋"/>
          <w:spacing w:val="6"/>
          <w:sz w:val="32"/>
          <w:szCs w:val="32"/>
        </w:rPr>
        <w:t>城乡低保、残疾人“两项补贴”、农村特困供养水平全面提标，临时救助、社会福利、“三留守”关爱工作有效提升，我县入选全国养老服务联合体建设标准化试点县。</w:t>
      </w:r>
    </w:p>
    <w:p>
      <w:pPr>
        <w:autoSpaceDE w:val="0"/>
        <w:autoSpaceDN w:val="0"/>
        <w:spacing w:line="614"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始终把政治建设摆在首位，扎实开展党史学习教育，教育引导政府及其工作部门学党史、悟思想、办实事、开新局。加快推进法治政府建设，认真执行县人大及其常委会依法作出的决定决议，依法接受县人大及其常委会的法律监督和工作监督，自觉接受县政协民主监督，办理县人大议案、代表建议33件和政协提案45件。主动接受社会和舆论监督，强化审计、统计监督。深入推进政府系统党风廉政建设，坚决整治形式主义、官僚主义，政府公信力和执行力不断提升。</w:t>
      </w:r>
    </w:p>
    <w:p>
      <w:pPr>
        <w:autoSpaceDE w:val="0"/>
        <w:autoSpaceDN w:val="0"/>
        <w:spacing w:line="614" w:lineRule="exact"/>
        <w:ind w:firstLine="630" w:firstLineChars="300"/>
        <w:rPr>
          <w:rFonts w:ascii="仿宋_GB2312" w:hAnsi="仿宋" w:eastAsia="仿宋_GB2312" w:cs="仿宋"/>
          <w:sz w:val="32"/>
          <w:szCs w:val="32"/>
        </w:rPr>
      </w:pPr>
      <w:r>
        <w:pict>
          <v:shape id="_x0000_s2092" o:spid="_x0000_s2092" o:spt="202" type="#_x0000_t202" style="position:absolute;left:0pt;margin-left:-7.45pt;margin-top:-315.95pt;height:34.5pt;width:453.8pt;z-index:251638784;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0pn6D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全力支持国防和军队建设，国防动员、民兵预备役、退役军人事务、人防建设工作持续加强。民族宗教、外事、侨务、对台、科协、保密、档案、地方志、住房公积金、机关事务等工作取得新成效。工会、共青团、妇女儿童、残疾人、红十字会、关工委、老龄、慈善等事业取得新进步。</w:t>
      </w:r>
    </w:p>
    <w:p>
      <w:pPr>
        <w:autoSpaceDE w:val="0"/>
        <w:autoSpaceDN w:val="0"/>
        <w:spacing w:line="614"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这些成绩的取得，是习近平新时代中国特色社会主义思想科学指引的结果，是县委坚强领导的结果，是县人大、县政协监督支持的结果，是全县上下团结一心、顽强拼搏的结果。在此，我代表县人民政府，向全县人民致以崇高的敬意！向所有关心、支持和参与双牌发展建设的同志们、朋友们表示衷心的感谢！</w:t>
      </w:r>
    </w:p>
    <w:p>
      <w:pPr>
        <w:autoSpaceDE w:val="0"/>
        <w:autoSpaceDN w:val="0"/>
        <w:spacing w:line="614"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在肯定成绩的同时，我们也清醒地看到发展中存在的困难和挑战，主要表现在：制造业比重偏低，产业实力不强；科技创新能力偏弱，实体经济韧劲不足；财政收支矛盾突出，统筹防风险、保稳定、促发展压力较大；民生事业发展存在短板，与群众期待还有一定差距；政府系统执行力建设还有待加强，等等。对这些困难和问题，我们将高度重视、积极应对、决不回避，采取有效措施，科学加以解决。</w:t>
      </w:r>
    </w:p>
    <w:p>
      <w:pPr>
        <w:autoSpaceDE w:val="0"/>
        <w:autoSpaceDN w:val="0"/>
        <w:spacing w:line="566" w:lineRule="exact"/>
        <w:ind w:firstLine="735" w:firstLineChars="350"/>
        <w:rPr>
          <w:rFonts w:ascii="仿宋" w:hAnsi="仿宋" w:eastAsia="仿宋" w:cs="仿宋"/>
          <w:sz w:val="32"/>
          <w:szCs w:val="32"/>
        </w:rPr>
      </w:pPr>
      <w:r>
        <w:pict>
          <v:shape id="_x0000_s2091" o:spid="_x0000_s2091" o:spt="202" type="#_x0000_t202" style="position:absolute;left:0pt;margin-left:-7.45pt;margin-top:-46.4pt;height:33pt;width:456.05pt;z-index:251639808;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7gTfkz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黑体" w:hAnsi="黑体" w:eastAsia="黑体" w:cs="黑体"/>
          <w:sz w:val="32"/>
          <w:szCs w:val="32"/>
        </w:rPr>
        <w:t>二、2022年工作安排</w:t>
      </w:r>
    </w:p>
    <w:p>
      <w:pPr>
        <w:autoSpaceDE w:val="0"/>
        <w:autoSpaceDN w:val="0"/>
        <w:spacing w:line="566"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思路决定出路，态度决定高度，格局决定结局。在加快建设现代化新双牌的伟大征程中，首先要打破思维定势，解除思想禁锢，以锐意创新的勇气、敢为人先的锐气、蓬勃向上的朝气，奋进新时代，展现新作为，实现新发展。</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要摒弃“人穷志短”思想。</w:t>
      </w:r>
      <w:r>
        <w:rPr>
          <w:rFonts w:hint="eastAsia" w:ascii="仿宋_GB2312" w:hAnsi="仿宋" w:eastAsia="仿宋_GB2312" w:cs="仿宋"/>
          <w:sz w:val="32"/>
          <w:szCs w:val="32"/>
        </w:rPr>
        <w:t>在惯性思维中，认为双牌县小难有大作为，精气神不足，自信心不够，决心斗志不强。在实际工作中，要辩证看待问题，我县人口少、但地域不小，体量小、但均量不小，能量小、但后劲不小。自信方能自强，随着新发展阶段的到来，尤其是碳达峰、碳中和等战略实施，短板和弱项将转化成优势和利好，双牌未来发展前景可期。</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要摒弃“坐井观天”思想。</w:t>
      </w:r>
      <w:r>
        <w:rPr>
          <w:rFonts w:hint="eastAsia" w:ascii="仿宋_GB2312" w:hAnsi="仿宋" w:eastAsia="仿宋_GB2312" w:cs="仿宋"/>
          <w:sz w:val="32"/>
          <w:szCs w:val="32"/>
        </w:rPr>
        <w:t>主要表现为自我感觉良好、自我意识膨胀，有成绩沾沾自喜，有问题避而不谈，看不到山外有山、人外有人。要登高望远，跳出双牌看双牌，提高战略思维能力，用战略眼光看问题、想问题，科学研判，统筹谋划，精准施策，推动经济社会全面发展。</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要摒弃“一蹴而就”思想。</w:t>
      </w:r>
      <w:r>
        <w:rPr>
          <w:rFonts w:hint="eastAsia" w:ascii="仿宋_GB2312" w:hAnsi="仿宋" w:eastAsia="仿宋_GB2312" w:cs="仿宋"/>
          <w:sz w:val="32"/>
          <w:szCs w:val="32"/>
        </w:rPr>
        <w:t>主要表现为心浮气躁、急功近利，只想巧取、不想实干，盼着走捷径、忽视打基础，违背了客观规律。干好双牌的事，必须要树雄心、有信心、下决心，以“功成不必在我”的胸襟，谋全局、打基础、利长远，保持定力、持续发力、绵绵用力，功到自然成。</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要摒弃“小富即安”思想。</w:t>
      </w:r>
      <w:r>
        <w:rPr>
          <w:rFonts w:hint="eastAsia" w:ascii="仿宋_GB2312" w:hAnsi="仿宋" w:eastAsia="仿宋_GB2312" w:cs="仿宋"/>
          <w:sz w:val="32"/>
          <w:szCs w:val="32"/>
        </w:rPr>
        <w:t>主要表现为轻易满足、不求上进，满足于出力，不追求出彩。要强化干在实处、走在前列的担当精神，力行“跳起来摘桃子”的拼搏精神，发扬“越是艰险越向前”的斗争精神，奋发有为，奋勇争先，干出精彩，干出辉煌，书写无愧于双牌发展的壮丽史诗。</w:t>
      </w:r>
    </w:p>
    <w:p>
      <w:pPr>
        <w:autoSpaceDE w:val="0"/>
        <w:autoSpaceDN w:val="0"/>
        <w:spacing w:line="566" w:lineRule="exact"/>
        <w:ind w:firstLine="630" w:firstLineChars="300"/>
        <w:rPr>
          <w:rFonts w:ascii="仿宋_GB2312" w:hAnsi="仿宋" w:eastAsia="仿宋_GB2312" w:cs="仿宋"/>
          <w:sz w:val="32"/>
          <w:szCs w:val="32"/>
        </w:rPr>
      </w:pPr>
      <w:r>
        <w:pict>
          <v:shape id="_x0000_s2090" o:spid="_x0000_s2090" o:spt="202" type="#_x0000_t202" style="position:absolute;left:0pt;margin-left:-12.7pt;margin-top:-129.8pt;height:32.2pt;width:463.55pt;z-index:251640832;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55dha1QAAAAkBAAAPAAAA&#10;AAAAAAEAIAAAADgAAABkcnMvZG93bnJldi54bWxQSwECFAAUAAAACACHTuJA+JNnZDsCAABPBAAA&#10;DgAAAAAAAAABACAAAAA6AQAAZHJzL2Uyb0RvYy54bWxQSwUGAAAAAAYABgBZAQAA5wU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2022年是党的二十大召开之年，是实施“十四五”规划的关键之年，也是落实县第十一次党代会的开局之年。我们将弘扬伟大建党精神，紧跟时代步伐，抢抓发展机遇，勇于负责，勇于担当，勇毅前行。</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科学把握新判断。</w:t>
      </w:r>
      <w:r>
        <w:rPr>
          <w:rFonts w:hint="eastAsia" w:ascii="仿宋_GB2312" w:hAnsi="仿宋" w:eastAsia="仿宋_GB2312" w:cs="仿宋"/>
          <w:sz w:val="32"/>
          <w:szCs w:val="32"/>
        </w:rPr>
        <w:t>中央经济工作会议作出了“我国经济面临需求紧缩、供给冲击以及预期转弱三重压力”的新判断。当前，世纪疫情仍在持续，百年变局加速演进，经济发展面临的新挑战将更具复杂性和全面性。我们必须要清醒地认识形势，辩证地看待挑战，科学把握新判断，今年全球经济有望保持恢复性增长，我国经济长期稳定向好的基本面没有改变，全省经济持续恢复发展态势延续。我们要因势而谋、顺势而为，坚定信心、稳健前行，推动全县经济社会高质量发展，以一域之光为全局添彩。</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科学把握新基调。</w:t>
      </w:r>
      <w:r>
        <w:rPr>
          <w:rFonts w:hint="eastAsia" w:ascii="仿宋_GB2312" w:hAnsi="仿宋" w:eastAsia="仿宋_GB2312" w:cs="仿宋"/>
          <w:sz w:val="32"/>
          <w:szCs w:val="32"/>
        </w:rPr>
        <w:t>中央经济工作会议提出，今年经济工作要稳字当头、稳中求进，继续实施积极的财政政策和稳健的货币政策。这既是应对经济下行压力、保持大局稳定的需要，也是推动高质量发展的需要。省委、省政府提出了用好新增地方政府专项债、科技型中小企业研发经费加计扣除、制造业增值税留抵退税等政策。我们要学会在中央和省委决策部署中明方向、定政策、争项目，围绕“稳”字固根基，围绕“进”字做文章，稳中求进，稳中向好，稳中提质。</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科学把握新机遇。</w:t>
      </w:r>
      <w:r>
        <w:rPr>
          <w:rFonts w:hint="eastAsia" w:ascii="仿宋_GB2312" w:hAnsi="仿宋" w:eastAsia="仿宋_GB2312" w:cs="仿宋"/>
          <w:sz w:val="32"/>
          <w:szCs w:val="32"/>
        </w:rPr>
        <w:t>中央经济工作会议明确了七大政策，提出要适度超前开展基础设施投资。省委、省政府提出了全面落实“三高四新”战略定位和使命任务的总体要求，市委、市政府加快建设“三区两城”、着力构建“一核两轴三圈”区域经济格局，为我县加快发展带来了诸多利好。我们要紧盯重大产业发展，紧盯重点项目建设，紧盯各类要素保障，全力办好发展经济这个最大实事。</w:t>
      </w:r>
    </w:p>
    <w:p>
      <w:pPr>
        <w:autoSpaceDE w:val="0"/>
        <w:autoSpaceDN w:val="0"/>
        <w:spacing w:line="566" w:lineRule="exact"/>
        <w:ind w:firstLine="630" w:firstLineChars="300"/>
        <w:rPr>
          <w:rFonts w:ascii="仿宋_GB2312" w:hAnsi="仿宋" w:eastAsia="仿宋_GB2312" w:cs="仿宋"/>
          <w:b/>
          <w:sz w:val="32"/>
          <w:szCs w:val="32"/>
        </w:rPr>
      </w:pPr>
      <w:r>
        <w:pict>
          <v:shape id="_x0000_s2089" o:spid="_x0000_s2089" o:spt="202" type="#_x0000_t202" style="position:absolute;left:0pt;margin-left:-7.45pt;margin-top:-301.85pt;height:33.75pt;width:459.05pt;z-index:251641856;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J1QLhE8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J1QLhE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今年政府工作的</w:t>
      </w:r>
      <w:r>
        <w:rPr>
          <w:rFonts w:hint="eastAsia" w:ascii="楷体_GB2312" w:hAnsi="楷体" w:eastAsia="楷体_GB2312" w:cs="楷体"/>
          <w:b/>
          <w:sz w:val="32"/>
          <w:szCs w:val="32"/>
        </w:rPr>
        <w:t>总体要求</w:t>
      </w:r>
      <w:r>
        <w:rPr>
          <w:rFonts w:hint="eastAsia" w:ascii="仿宋_GB2312" w:hAnsi="仿宋" w:eastAsia="仿宋_GB2312" w:cs="仿宋"/>
          <w:sz w:val="32"/>
          <w:szCs w:val="32"/>
        </w:rPr>
        <w:t>是：</w:t>
      </w:r>
      <w:r>
        <w:rPr>
          <w:rFonts w:hint="eastAsia" w:ascii="仿宋_GB2312" w:hAnsi="仿宋" w:eastAsia="仿宋_GB2312" w:cs="仿宋"/>
          <w:b/>
          <w:sz w:val="32"/>
          <w:szCs w:val="32"/>
        </w:rPr>
        <w:t>以习近平新时代中国特色社会主义思想为指导，深入贯彻党的十九大、十九届历次全会和习近平总书记对湖南重要讲话重要指示批示精神，全面落实中央、省、市和县委决策部署，坚持稳中求进工作总基调，完整、准确、全面贯彻新发展理念，全面落实“三高四新”战略定位和使命任务，对接融入“三区两城”和“一核两轴三圈”，扎实推进“六大行动”，打造一双王牌，做足两篇文章，建设最精最美双牌，为在全省版图中增加永州分量贡献双牌力量。</w:t>
      </w:r>
    </w:p>
    <w:p>
      <w:pPr>
        <w:autoSpaceDE w:val="0"/>
        <w:autoSpaceDN w:val="0"/>
        <w:spacing w:line="566"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今年政府工作的</w:t>
      </w:r>
      <w:r>
        <w:rPr>
          <w:rFonts w:hint="eastAsia" w:ascii="楷体_GB2312" w:hAnsi="楷体" w:eastAsia="楷体_GB2312" w:cs="楷体"/>
          <w:b/>
          <w:sz w:val="32"/>
          <w:szCs w:val="32"/>
        </w:rPr>
        <w:t>主要预期目标</w:t>
      </w:r>
      <w:r>
        <w:rPr>
          <w:rFonts w:hint="eastAsia" w:ascii="仿宋_GB2312" w:hAnsi="仿宋" w:eastAsia="仿宋_GB2312" w:cs="仿宋"/>
          <w:sz w:val="32"/>
          <w:szCs w:val="32"/>
        </w:rPr>
        <w:t>是：地区生产总值增长8%以上，规模工业增加值增长9.5%以上，固定资产投资增长9%以上，社会消费品零售总额增长10%，地方财政收入增长7%，外贸进出口总额增长25%。城镇调查失业率控制在5.5%以内，城镇居民人均可支配收入增长8%，农村居民人均可支配收入增长9%。生态环境质量持续改善。</w:t>
      </w:r>
    </w:p>
    <w:p>
      <w:pPr>
        <w:autoSpaceDE w:val="0"/>
        <w:autoSpaceDN w:val="0"/>
        <w:spacing w:line="566" w:lineRule="exact"/>
        <w:ind w:firstLine="642" w:firstLineChars="200"/>
        <w:rPr>
          <w:rFonts w:ascii="楷体_GB2312" w:hAnsi="楷体" w:eastAsia="楷体_GB2312" w:cs="楷体"/>
          <w:b/>
          <w:sz w:val="32"/>
          <w:szCs w:val="32"/>
        </w:rPr>
      </w:pPr>
      <w:r>
        <w:rPr>
          <w:rFonts w:hint="eastAsia" w:ascii="楷体_GB2312" w:hAnsi="楷体" w:eastAsia="楷体_GB2312" w:cs="楷体"/>
          <w:b/>
          <w:sz w:val="32"/>
          <w:szCs w:val="32"/>
        </w:rPr>
        <w:t>1.打造文化旅游康养王牌，夯实富民强县坚实基础。</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塑造旅游品牌。</w:t>
      </w:r>
      <w:r>
        <w:rPr>
          <w:rFonts w:hint="eastAsia" w:ascii="仿宋_GB2312" w:hAnsi="仿宋" w:eastAsia="仿宋_GB2312" w:cs="仿宋"/>
          <w:sz w:val="32"/>
          <w:szCs w:val="32"/>
        </w:rPr>
        <w:t>加快推进全域旅游发展，做好全县旅游发展规划、省级旅游度假区规划编制工作，修编阳明山自然保护区规划，为全县文生旅融合发展提供有力支撑。全面落实“1147”旅游发展思路，县城核心板块要启动旅游集散中心、森林康养温泉度假区等项目。发挥阳明山景区龙头带动作用，推进阳明溪谷康养酒店、精品民宿建设，加快推进游客集散中心、旅游循环公路、3A级旅游厕所等建设，努力创建省级旅游度假区。协调推进四大支点建设，打造桐子坳花海景观，推动花千谷4A景区创建，构建国际慢城“一江两岸六区”景区框架，力争创牌成功，发展云台山特色民宿产业。坚持以文塑旅、以旅彰文，深入挖掘“和”文化、象文化、永文化、红色文化等文化内涵，继续办好阳明山“和”文化旅游节等系列活动，支持坦田村创建3A景区，盘家村争创省级乡村旅游重点村，打造探花园等一批星级乡村旅游区（点），提升全域旅游整体发展水平。</w:t>
      </w:r>
    </w:p>
    <w:p>
      <w:pPr>
        <w:autoSpaceDE w:val="0"/>
        <w:autoSpaceDN w:val="0"/>
        <w:spacing w:line="566" w:lineRule="exact"/>
        <w:ind w:firstLine="630" w:firstLineChars="300"/>
        <w:rPr>
          <w:rFonts w:ascii="仿宋_GB2312" w:hAnsi="仿宋" w:eastAsia="仿宋_GB2312" w:cs="仿宋"/>
          <w:sz w:val="32"/>
          <w:szCs w:val="32"/>
        </w:rPr>
      </w:pPr>
      <w:r>
        <w:pict>
          <v:shape id="_x0000_s2088" o:spid="_x0000_s2088" o:spt="202" type="#_x0000_t202" style="position:absolute;left:0pt;margin-left:-8.2pt;margin-top:-642.2pt;height:31.5pt;width:456.8pt;z-index:251642880;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MthKkU8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MthKkU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b/>
          <w:sz w:val="32"/>
          <w:szCs w:val="32"/>
        </w:rPr>
        <w:t>扩大旅游投资。</w:t>
      </w:r>
      <w:r>
        <w:rPr>
          <w:rFonts w:hint="eastAsia" w:ascii="仿宋_GB2312" w:hAnsi="仿宋" w:eastAsia="仿宋_GB2312" w:cs="仿宋"/>
          <w:sz w:val="32"/>
          <w:szCs w:val="32"/>
        </w:rPr>
        <w:t>发挥财政资金引导作用，积极争取中央、省专项资金，统筹整合各级财政补助资金。继续做实县农旅发公司，构建全域旅游运营管理平台，引导全县旅游开发进入市场化运作模式。加强营销策划，加大招商力度，鼓励支持社会资本和民间资金参与旅游开发建设，力争完成各类投资5亿元以上，为旅游产业发展和项目建设注入源头活水。推动各类要素向文化旅游康养产业集聚，统筹推进乡村旅游基础提升工程，抓好</w:t>
      </w:r>
      <w:r>
        <w:rPr>
          <w:rFonts w:hint="eastAsia" w:ascii="仿宋_GB2312" w:hAnsi="宋体" w:eastAsia="仿宋_GB2312"/>
          <w:sz w:val="32"/>
          <w:szCs w:val="32"/>
        </w:rPr>
        <w:t>通景公路、</w:t>
      </w:r>
      <w:r>
        <w:rPr>
          <w:rFonts w:hint="eastAsia" w:ascii="仿宋_GB2312" w:hAnsi="仿宋" w:eastAsia="仿宋_GB2312" w:cs="仿宋"/>
          <w:sz w:val="32"/>
          <w:szCs w:val="32"/>
        </w:rPr>
        <w:t>农村公路养护、安防工程等项目</w:t>
      </w:r>
      <w:r>
        <w:rPr>
          <w:rFonts w:hint="eastAsia" w:ascii="仿宋_GB2312" w:hAnsi="宋体" w:eastAsia="仿宋_GB2312"/>
          <w:sz w:val="32"/>
          <w:szCs w:val="32"/>
        </w:rPr>
        <w:t>建设</w:t>
      </w:r>
      <w:r>
        <w:rPr>
          <w:rFonts w:hint="eastAsia" w:ascii="仿宋_GB2312" w:hAnsi="仿宋" w:eastAsia="仿宋_GB2312" w:cs="仿宋"/>
          <w:sz w:val="32"/>
          <w:szCs w:val="32"/>
        </w:rPr>
        <w:t>，加快农村水系综合整治、城市防洪圈闭合工程、小二型水库除险加固、桴江河流域治理等水利项目建设进度，科学推进抽水蓄能、风电、光伏、电化学蓄能等新能源项目建设，培育投资新热点，打造旅游新看点。</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拓展旅游消费。</w:t>
      </w:r>
      <w:r>
        <w:rPr>
          <w:rFonts w:hint="eastAsia" w:ascii="仿宋_GB2312" w:hAnsi="仿宋" w:eastAsia="仿宋_GB2312" w:cs="仿宋"/>
          <w:sz w:val="32"/>
          <w:szCs w:val="32"/>
        </w:rPr>
        <w:t>推进旅游“七来”行动，加快旅游公共服务体系“五个一”建设，完</w:t>
      </w:r>
      <w:r>
        <w:pict>
          <v:shape id="_x0000_s2087" o:spid="_x0000_s2087" o:spt="202" type="#_x0000_t202" style="position:absolute;left:0pt;margin-left:-8.2pt;margin-top:-40.4pt;height:41.2pt;width:458.3pt;z-index:251643904;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DEyJrk9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AxMia5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善智慧旅游平台功能，真正实现一票通达、一卡通游。持续打响阳明山“和”文化旅游节等节会品牌，创新推出阳明山星空帐篷节、云台山云雾节、象棋大赛等文旅活动，鼓励支持乡镇开展节庆活动，做到月月有活动、季季有节庆，推动旅游“热”起来、文化“火”起来、商业“旺”起来。加快引进旅游商品、文创产品研发企业，组织开展名菜、名厨、名店评选活动，精心推出古树茶、竹木工艺品、银杏系列保健养生等产品，全力打响剁椒鱼、酒糟肉、阳明腐乳、牙山羊肉等美食品牌，谋划建设双牌味道一条街、文创产品一条街。立足文化生态旅游康养定位，精心打造房地产品牌，吸引更多消费群体，全面激发房地产市场活力。加快构建县乡村三级物流便捷配送体系，推广电商新模式，推动电商与全域旅游深度融合。大力实施“引客入双”工程，拓展粤港澳大湾区等重点客源地市场，培育品牌经济、假日经济、夜市经济和休闲经济等配套消费，扩大宠物经济、竹木家居、餐饮住宿等消费需求，提高游客“刷卡”频次，吸引更多“过夜”游客。</w:t>
      </w:r>
    </w:p>
    <w:p>
      <w:pPr>
        <w:autoSpaceDE w:val="0"/>
        <w:autoSpaceDN w:val="0"/>
        <w:spacing w:line="566" w:lineRule="exact"/>
        <w:ind w:firstLine="640" w:firstLineChars="200"/>
        <w:rPr>
          <w:rFonts w:ascii="仿宋_GB2312" w:hAnsi="仿宋_GB2312" w:eastAsia="仿宋_GB2312" w:cs="仿宋_GB2312"/>
          <w:sz w:val="32"/>
          <w:szCs w:val="32"/>
        </w:rPr>
      </w:pPr>
      <w:r>
        <w:rPr>
          <w:rFonts w:hint="eastAsia" w:ascii="仿宋_GB2312" w:hAnsi="仿宋" w:eastAsia="仿宋_GB2312" w:cs="仿宋"/>
          <w:sz w:val="32"/>
          <w:szCs w:val="32"/>
        </w:rPr>
        <w:t>抓好和推进十项重点工作：</w:t>
      </w:r>
      <w:r>
        <w:rPr>
          <w:rFonts w:hint="eastAsia" w:ascii="仿宋_GB2312" w:hAnsi="仿宋_GB2312" w:eastAsia="仿宋_GB2312" w:cs="仿宋_GB2312"/>
          <w:sz w:val="32"/>
          <w:szCs w:val="32"/>
        </w:rPr>
        <w:t>（1）成立文化生态旅游产业协会，出台相关激励政策；（2）推进阳明山特色民宿、二级客运站和游客中心建设，加快创建省级旅游度假区；（3）办好“和”文化节及系列节庆活动；（4）推进花千谷4A景区创建，泷泊国际慢城成功创牌；（5）建设4C自驾车营地；（6）启动红万山烈士纪念园建设。（7）启动桴江河流域治理工程，优化桐子坳景区生态环境；（8）开展名菜、名店、名厨评选活动；（9）推进3A景区、“五星农庄”创建工作；（10）启动塔山婆婆殿景区康养基地建设。</w:t>
      </w:r>
    </w:p>
    <w:p>
      <w:pPr>
        <w:autoSpaceDE w:val="0"/>
        <w:autoSpaceDN w:val="0"/>
        <w:spacing w:line="566" w:lineRule="exact"/>
        <w:ind w:firstLine="630" w:firstLineChars="300"/>
        <w:rPr>
          <w:rFonts w:ascii="楷体_GB2312" w:hAnsi="楷体" w:eastAsia="楷体_GB2312" w:cs="楷体"/>
          <w:b/>
          <w:sz w:val="32"/>
          <w:szCs w:val="32"/>
        </w:rPr>
      </w:pPr>
      <w:r>
        <w:pict>
          <v:shape id="_x0000_s2086" o:spid="_x0000_s2086" o:spt="202" type="#_x0000_t202" style="position:absolute;left:0pt;margin-left:-7.45pt;margin-top:-132.8pt;height:35.25pt;width:461.3pt;z-index:251644928;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BnAyLt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2.打造竹木产业集聚王牌，筑牢工业强县硬核支撑。</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推进产业集聚发展。</w:t>
      </w:r>
      <w:r>
        <w:rPr>
          <w:rFonts w:hint="eastAsia" w:ascii="仿宋_GB2312" w:eastAsia="仿宋_GB2312"/>
          <w:sz w:val="32"/>
          <w:szCs w:val="32"/>
        </w:rPr>
        <w:t>以双牌竹产业科技园为载体，以阳明竹咏、叁一科技等企业为龙头，新引进上下游产业链配套企业4家以上，重点发展竹建材、竹用品、竹工艺品、竹提取物等产品，创新发展竹集成材、竹木复合等高附加值产品，建设竹木产品一条街，</w:t>
      </w:r>
      <w:r>
        <w:rPr>
          <w:rFonts w:hint="eastAsia" w:ascii="仿宋_GB2312" w:hAnsi="仿宋_GB2312" w:eastAsia="仿宋_GB2312" w:cs="仿宋_GB2312"/>
          <w:sz w:val="32"/>
          <w:szCs w:val="32"/>
        </w:rPr>
        <w:t>打造湘南科技免漆生态板加工业基地，推进竹木产业精深加工集聚区。培育</w:t>
      </w:r>
      <w:r>
        <w:rPr>
          <w:rFonts w:hint="eastAsia" w:ascii="仿宋_GB2312" w:hAnsi="仿宋" w:eastAsia="仿宋_GB2312" w:cs="仿宋"/>
          <w:sz w:val="32"/>
          <w:szCs w:val="32"/>
        </w:rPr>
        <w:t>鼎新科技等“链主”企业，积极引进猫砂、宠物家居等配套企业，力争建成面向大湾区的宠物用品基地，与竹木产业相辅相成、相得益彰、相互促进。合理</w:t>
      </w:r>
      <w:r>
        <w:rPr>
          <w:rFonts w:hint="eastAsia" w:ascii="仿宋_GB2312" w:eastAsia="仿宋_GB2312"/>
          <w:sz w:val="32"/>
          <w:szCs w:val="32"/>
        </w:rPr>
        <w:t>利用开发区闲置土地，规划建设竹木产品初加工集聚区，引导零散竹木加工企业优化整合、集中抱团发展，解除企业的后顾之忧。抓好何家洞、阳明山等粗加工点建设，有效管控竹木原材料流通，开辟基地到园区直供渠道。</w:t>
      </w:r>
    </w:p>
    <w:p>
      <w:pPr>
        <w:autoSpaceDE w:val="0"/>
        <w:autoSpaceDN w:val="0"/>
        <w:spacing w:line="566" w:lineRule="exact"/>
        <w:ind w:firstLine="642" w:firstLineChars="200"/>
        <w:rPr>
          <w:rFonts w:ascii="仿宋_GB2312" w:eastAsia="仿宋_GB2312"/>
          <w:sz w:val="32"/>
          <w:szCs w:val="32"/>
        </w:rPr>
      </w:pPr>
      <w:r>
        <w:rPr>
          <w:rFonts w:hint="eastAsia" w:ascii="仿宋_GB2312" w:hAnsi="仿宋" w:eastAsia="仿宋_GB2312" w:cs="仿宋"/>
          <w:b/>
          <w:sz w:val="32"/>
          <w:szCs w:val="32"/>
        </w:rPr>
        <w:t>加强资源开发利用。</w:t>
      </w:r>
      <w:r>
        <w:rPr>
          <w:rFonts w:hint="eastAsia" w:ascii="仿宋_GB2312" w:eastAsia="仿宋_GB2312"/>
          <w:sz w:val="32"/>
          <w:szCs w:val="32"/>
        </w:rPr>
        <w:t>建设竹林生态保护、生态景观竹林、高效毛竹林、特色笋用竹等竹林资源培育区，营造阔叶林、针阔混交林，培育珍贵树种资源，提升竹木资源质量，稳固竹木产业根基。利用丰富森林资源和林下空间，积极推进林畜、林禽、林菌、林药等林下经济发展，打造双牌虎爪姜、高山野生茶、中药材种植基地，推进双牌虎爪姜全产业链、瑶族古方引子茶等项目建设，支持尚道国际、金蕊生物、德普瑞、华茂生物等企业做大做强，加快生物制药向制剂、医药中间体、保健品、化妆品等领域延伸，打造大健康产业集群。引导乡镇成立竹木产业合作社，推动</w:t>
      </w:r>
      <w:r>
        <w:rPr>
          <w:rFonts w:ascii="仿宋_GB2312" w:eastAsia="仿宋_GB2312"/>
          <w:sz w:val="32"/>
          <w:szCs w:val="32"/>
        </w:rPr>
        <w:t>企业与农民合作社、小农户结成产业联合体，</w:t>
      </w:r>
      <w:r>
        <w:rPr>
          <w:rFonts w:hint="eastAsia" w:ascii="仿宋_GB2312" w:eastAsia="仿宋_GB2312"/>
          <w:sz w:val="32"/>
          <w:szCs w:val="32"/>
        </w:rPr>
        <w:t>促进竹木产业加销一体发展。加强农业产业化龙头企业</w:t>
      </w:r>
      <w:r>
        <w:rPr>
          <w:rFonts w:ascii="仿宋_GB2312" w:eastAsia="仿宋_GB2312"/>
          <w:sz w:val="32"/>
          <w:szCs w:val="32"/>
        </w:rPr>
        <w:t>培育</w:t>
      </w:r>
      <w:r>
        <w:rPr>
          <w:rFonts w:hint="eastAsia" w:ascii="仿宋_GB2312" w:eastAsia="仿宋_GB2312"/>
          <w:sz w:val="32"/>
          <w:szCs w:val="32"/>
        </w:rPr>
        <w:t>，争取成立</w:t>
      </w:r>
      <w:r>
        <w:rPr>
          <w:rFonts w:ascii="仿宋_GB2312" w:eastAsia="仿宋_GB2312"/>
          <w:sz w:val="32"/>
          <w:szCs w:val="32"/>
        </w:rPr>
        <w:t>省级联合体</w:t>
      </w:r>
      <w:r>
        <w:rPr>
          <w:rFonts w:hint="eastAsia" w:ascii="仿宋_GB2312" w:eastAsia="仿宋_GB2312"/>
          <w:sz w:val="32"/>
          <w:szCs w:val="32"/>
        </w:rPr>
        <w:t>1</w:t>
      </w:r>
      <w:r>
        <w:rPr>
          <w:rFonts w:ascii="仿宋_GB2312" w:eastAsia="仿宋_GB2312"/>
          <w:sz w:val="32"/>
          <w:szCs w:val="32"/>
        </w:rPr>
        <w:t>家</w:t>
      </w:r>
      <w:r>
        <w:rPr>
          <w:rFonts w:hint="eastAsia" w:ascii="仿宋_GB2312" w:eastAsia="仿宋_GB2312"/>
          <w:sz w:val="32"/>
          <w:szCs w:val="32"/>
        </w:rPr>
        <w:t>，</w:t>
      </w:r>
      <w:r>
        <w:rPr>
          <w:rFonts w:ascii="仿宋_GB2312" w:eastAsia="仿宋_GB2312"/>
          <w:sz w:val="32"/>
          <w:szCs w:val="32"/>
        </w:rPr>
        <w:t>新认定省级龙头企业</w:t>
      </w:r>
      <w:r>
        <w:rPr>
          <w:rFonts w:hint="eastAsia" w:ascii="仿宋_GB2312" w:eastAsia="仿宋_GB2312"/>
          <w:sz w:val="32"/>
          <w:szCs w:val="32"/>
        </w:rPr>
        <w:t>1</w:t>
      </w:r>
      <w:r>
        <w:rPr>
          <w:rFonts w:ascii="仿宋_GB2312" w:eastAsia="仿宋_GB2312"/>
          <w:sz w:val="32"/>
          <w:szCs w:val="32"/>
        </w:rPr>
        <w:t>家</w:t>
      </w:r>
      <w:r>
        <w:rPr>
          <w:rFonts w:hint="eastAsia" w:ascii="仿宋_GB2312" w:eastAsia="仿宋_GB2312"/>
          <w:sz w:val="32"/>
          <w:szCs w:val="32"/>
        </w:rPr>
        <w:t>以上，建设省级农业产业特色园1个。</w:t>
      </w:r>
    </w:p>
    <w:p>
      <w:pPr>
        <w:autoSpaceDE w:val="0"/>
        <w:autoSpaceDN w:val="0"/>
        <w:spacing w:line="566" w:lineRule="exact"/>
        <w:ind w:firstLine="630" w:firstLineChars="300"/>
        <w:rPr>
          <w:rFonts w:ascii="仿宋_GB2312" w:hAnsi="仿宋" w:eastAsia="仿宋_GB2312" w:cs="仿宋"/>
          <w:sz w:val="32"/>
          <w:szCs w:val="32"/>
        </w:rPr>
      </w:pPr>
      <w:r>
        <w:pict>
          <v:shape id="_x0000_s2085" o:spid="_x0000_s2085" o:spt="202" type="#_x0000_t202" style="position:absolute;left:0pt;margin-left:-10.45pt;margin-top:-247.5pt;height:33pt;width:457.55pt;z-index:251645952;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ISTT5o9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CEk0+a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仿宋_GB2312" w:hAnsi="仿宋" w:eastAsia="仿宋_GB2312" w:cs="仿宋"/>
          <w:b/>
          <w:sz w:val="32"/>
          <w:szCs w:val="32"/>
        </w:rPr>
        <w:t>做实园区基础支撑。</w:t>
      </w:r>
      <w:r>
        <w:rPr>
          <w:rFonts w:hint="eastAsia" w:ascii="仿宋_GB2312" w:eastAsia="仿宋_GB2312"/>
          <w:sz w:val="32"/>
          <w:szCs w:val="32"/>
        </w:rPr>
        <w:t>以“五好”园区创建为主抓手，不断夯实竹木产业发展平台。</w:t>
      </w:r>
      <w:r>
        <w:rPr>
          <w:rFonts w:hint="eastAsia" w:ascii="仿宋_GB2312" w:hAnsi="仿宋" w:eastAsia="仿宋_GB2312" w:cs="仿宋"/>
          <w:sz w:val="32"/>
          <w:szCs w:val="32"/>
        </w:rPr>
        <w:t>科学布局园区空间和产业，依法有序推进调区扩区工作，构建“一园三区”基本框架。开展园区土地清理整顿，盘活土地资源，提升亩均效益。加快发展数字产业，推进数字经济与“一主一特”实体经济深度融合，打造智能竹木产品集聚区。开展与顺丰等头部企业的洽谈合作，加紧建设现代物流产业园，开通产品商品流通“顺丰车”。加强与中南林科大、湖南农大等院士团队深度合作，探索发展“院士经济”。用好竹木产业发展扶持基金，加大企业培育力度，打造行业领军企业。鼓励园区企业加大科研投入，加强技术中心、研发中心建设，提高企业科技创新能力，带动竹木产业科学持续发展。</w:t>
      </w:r>
    </w:p>
    <w:p>
      <w:pPr>
        <w:autoSpaceDE w:val="0"/>
        <w:autoSpaceDN w:val="0"/>
        <w:spacing w:line="566"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抓好和推进十项重点工作：（1）成立竹木产业协会，出台支持竹木产业发展相关政策；（2）建设竹木产品初级加工、精深加工集聚区；（3）</w:t>
      </w:r>
      <w:r>
        <w:rPr>
          <w:rFonts w:hint="eastAsia" w:ascii="仿宋_GB2312" w:eastAsia="仿宋_GB2312"/>
          <w:sz w:val="32"/>
          <w:szCs w:val="32"/>
        </w:rPr>
        <w:t>培育竹林资源21.8万亩；</w:t>
      </w:r>
      <w:r>
        <w:rPr>
          <w:rFonts w:hint="eastAsia" w:ascii="仿宋_GB2312" w:hAnsi="仿宋" w:eastAsia="仿宋_GB2312" w:cs="仿宋"/>
          <w:sz w:val="32"/>
          <w:szCs w:val="32"/>
        </w:rPr>
        <w:t>（4）加快药用樟脑（香料香精）产品创新项目建设；（5）建设乳化炸药“互联网+安全”智能升级科技创新项目；（6）完成土地储备1000亩以上，新建标准厂房10万平方米；（7）启动和推进竹木产业科技园（生物医药）二期建设；（8）完善产业开发区基础设施建设；（9）建设标准化现代物流产业园；（10）建设宠物产业集聚区。</w:t>
      </w:r>
    </w:p>
    <w:p>
      <w:pPr>
        <w:autoSpaceDE w:val="0"/>
        <w:autoSpaceDN w:val="0"/>
        <w:spacing w:line="566" w:lineRule="exact"/>
        <w:ind w:firstLine="630" w:firstLineChars="300"/>
        <w:rPr>
          <w:rFonts w:ascii="楷体_GB2312" w:hAnsi="楷体" w:eastAsia="楷体_GB2312" w:cs="楷体"/>
          <w:b/>
          <w:sz w:val="32"/>
          <w:szCs w:val="32"/>
        </w:rPr>
      </w:pPr>
      <w:r>
        <w:pict>
          <v:shape id="_x0000_s2084" o:spid="_x0000_s2084" o:spt="202" type="#_x0000_t202" style="position:absolute;left:0pt;margin-left:-9.7pt;margin-top:-46.4pt;height:41.2pt;width:459.8pt;z-index:251646976;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NKiS848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NKiS84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3.做足精字文章，增强加快发展内生动力。</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抓改革促“精进”。</w:t>
      </w:r>
      <w:r>
        <w:rPr>
          <w:rFonts w:hint="eastAsia" w:ascii="仿宋_GB2312" w:hAnsi="仿宋" w:eastAsia="仿宋_GB2312" w:cs="仿宋"/>
          <w:sz w:val="32"/>
          <w:szCs w:val="32"/>
        </w:rPr>
        <w:t>深入推进国企改革三年行动，完成平台公司转型升级，提升运行能力和市场竞争力。实施财源建设工程，深化预算管理一体化改革,着力优化财政资源配置,增强财政“三保”能力和发展活力。完善政府性融资担保体系，深化农业信贷担保体系改革，争取市潇湘担保公司在我县设立分部，支持村镇银行发展壮大，为全县各类市场主体提供更多融资担保服务。继续深化供销社改革，发展生产、供销、信用三位一体综合合作。稳妥推进农村综合改革，抓好农村土地确权登记颁证、农村宅基地改革，激活农村用地市场。深化农村集体产权制度改革，逐步建立农村集体资产监管服务体系，探索新型农村集体经济发展新路径。</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扩开放促“精深”。</w:t>
      </w:r>
      <w:r>
        <w:rPr>
          <w:rFonts w:hint="eastAsia" w:ascii="仿宋_GB2312" w:hAnsi="仿宋" w:eastAsia="仿宋_GB2312" w:cs="仿宋"/>
          <w:sz w:val="32"/>
          <w:szCs w:val="32"/>
        </w:rPr>
        <w:t>狠抓跑项争资，瞄准国家政策动向、产业方向、资金投向，积极对接争取，盯紧盯住盯牢，确保一批大项目、好项目进入国家和省计划笼子。狠抓招商引资，紧扣“一主一特”产业发展，锁定大湾区、“长三角”，紧盯“三类500强”、头部企业和上市公司，大力开展市场化专业招商。创新招商方式，实行大数据招商和精准招商相结合，提升招商的精准度和实效性。建立健全招商引资考核激励机制，鼓励全民、激励全员、动员全域，凝聚全县上下大招商、招大商的广泛共识和强大合力。力争全年进出口总额增长10%以上，内联引资增长15%以上，直接利用外资增长10%以上。</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优环境促“精微”。</w:t>
      </w:r>
      <w:r>
        <w:rPr>
          <w:rFonts w:hint="eastAsia" w:ascii="仿宋_GB2312" w:hAnsi="仿宋" w:eastAsia="仿宋_GB2312" w:cs="仿宋"/>
          <w:sz w:val="32"/>
          <w:szCs w:val="32"/>
        </w:rPr>
        <w:t>视营商环境如生命。深入推进“放管服”改革，健全完善“一件事一次办”清单，推动更多事项“一网通办”，让“身在双牌办事不难”成为常态。纵深拓展“证照分离”改革全覆盖，充分利用“互联网+监督”平台，完善营商环境评价和市场监管机制，做到对企业有求必应、无事不扰。推进政府践诺守信攻坚和企业“纾困增效”专项行动，全面落实减税降费等优惠政策，为企业解决更多“急难愁盼”问题，扶持更多市场主体做大做强。依法保护民营企业和民营企业家权益，大力弘扬企业家精神，着力营造亲商、扶商、安商、富商良好环境，加快实现“双牌双赢”。</w:t>
      </w:r>
    </w:p>
    <w:p>
      <w:pPr>
        <w:autoSpaceDE w:val="0"/>
        <w:autoSpaceDN w:val="0"/>
        <w:spacing w:line="566" w:lineRule="exact"/>
        <w:ind w:firstLine="735" w:firstLineChars="350"/>
        <w:rPr>
          <w:rFonts w:ascii="仿宋_GB2312" w:eastAsia="仿宋_GB2312"/>
        </w:rPr>
      </w:pPr>
      <w:r>
        <w:pict>
          <v:shape id="_x0000_s2083" o:spid="_x0000_s2083" o:spt="202" type="#_x0000_t202" style="position:absolute;left:0pt;margin-left:-12.7pt;margin-top:-527.5pt;height:32.2pt;width:461.3pt;z-index:251648000;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Ao8Ucy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抓好和推进十项重点工作：（1）各类融资担保在保余额1亿元以上；（2）深化农村集体产权制度改革，发展壮大村级集体经济；（3）</w:t>
      </w:r>
      <w:r>
        <w:rPr>
          <w:rFonts w:hint="eastAsia" w:ascii="仿宋_GB2312" w:eastAsia="仿宋_GB2312"/>
          <w:sz w:val="32"/>
          <w:szCs w:val="32"/>
        </w:rPr>
        <w:t>招引项目30个以上、签约总金额30亿元以上，其中招引三类500强项目1个以上；</w:t>
      </w:r>
      <w:r>
        <w:rPr>
          <w:rFonts w:hint="eastAsia" w:ascii="仿宋_GB2312" w:hAnsi="仿宋" w:eastAsia="仿宋_GB2312" w:cs="仿宋"/>
          <w:sz w:val="32"/>
          <w:szCs w:val="32"/>
        </w:rPr>
        <w:t>（4）</w:t>
      </w:r>
      <w:r>
        <w:rPr>
          <w:rFonts w:hint="eastAsia" w:ascii="仿宋_GB2312" w:hAnsi="仿宋" w:eastAsia="仿宋_GB2312"/>
          <w:sz w:val="32"/>
          <w:szCs w:val="32"/>
        </w:rPr>
        <w:t>外贸进出口总额达到7.54亿元；</w:t>
      </w:r>
      <w:r>
        <w:rPr>
          <w:rFonts w:hint="eastAsia" w:ascii="仿宋_GB2312" w:hAnsi="仿宋" w:eastAsia="仿宋_GB2312" w:cs="仿宋"/>
          <w:sz w:val="32"/>
          <w:szCs w:val="32"/>
        </w:rPr>
        <w:t>（5）</w:t>
      </w:r>
      <w:r>
        <w:rPr>
          <w:rFonts w:hint="eastAsia" w:ascii="仿宋_GB2312" w:hAnsi="仿宋" w:eastAsia="仿宋_GB2312"/>
          <w:sz w:val="32"/>
          <w:szCs w:val="32"/>
        </w:rPr>
        <w:t>内联引资实际到位资金达到26亿元，利用外资实际到位资金110万美元；（6）出台全县优化营商环境奖惩办法；</w:t>
      </w:r>
      <w:r>
        <w:rPr>
          <w:rFonts w:hint="eastAsia" w:ascii="仿宋_GB2312" w:hAnsi="仿宋" w:eastAsia="仿宋_GB2312" w:cs="仿宋"/>
          <w:sz w:val="32"/>
          <w:szCs w:val="32"/>
        </w:rPr>
        <w:t>（7）</w:t>
      </w:r>
      <w:r>
        <w:rPr>
          <w:rFonts w:hint="eastAsia" w:ascii="仿宋_GB2312" w:hAnsi="仿宋" w:eastAsia="仿宋_GB2312" w:cs="仿宋_GB2312"/>
          <w:sz w:val="32"/>
          <w:szCs w:val="32"/>
        </w:rPr>
        <w:t>企业开办全程电子化率100%；</w:t>
      </w:r>
      <w:r>
        <w:rPr>
          <w:rFonts w:hint="eastAsia" w:ascii="仿宋_GB2312" w:hAnsi="仿宋" w:eastAsia="仿宋_GB2312" w:cs="仿宋"/>
          <w:sz w:val="32"/>
          <w:szCs w:val="32"/>
        </w:rPr>
        <w:t>（8）</w:t>
      </w:r>
      <w:r>
        <w:rPr>
          <w:rFonts w:hint="eastAsia" w:ascii="仿宋_GB2312" w:hAnsi="仿宋" w:eastAsia="仿宋_GB2312"/>
          <w:sz w:val="32"/>
          <w:szCs w:val="32"/>
        </w:rPr>
        <w:t>推行“交房即交证”“拿地即开工”改革；</w:t>
      </w:r>
      <w:r>
        <w:rPr>
          <w:rFonts w:hint="eastAsia" w:ascii="仿宋_GB2312" w:hAnsi="仿宋" w:eastAsia="仿宋_GB2312" w:cs="仿宋"/>
          <w:sz w:val="32"/>
          <w:szCs w:val="32"/>
        </w:rPr>
        <w:t>（9）完成年度新</w:t>
      </w:r>
      <w:r>
        <w:rPr>
          <w:rFonts w:hint="eastAsia" w:ascii="仿宋_GB2312" w:hAnsi="仿宋" w:eastAsia="仿宋_GB2312"/>
          <w:sz w:val="32"/>
          <w:szCs w:val="32"/>
        </w:rPr>
        <w:t>增减税降费和缓税任务；</w:t>
      </w:r>
      <w:r>
        <w:rPr>
          <w:rFonts w:hint="eastAsia" w:ascii="仿宋_GB2312" w:hAnsi="仿宋" w:eastAsia="仿宋_GB2312" w:cs="仿宋"/>
          <w:sz w:val="32"/>
          <w:szCs w:val="32"/>
        </w:rPr>
        <w:t>（10）</w:t>
      </w:r>
      <w:r>
        <w:rPr>
          <w:rFonts w:hint="eastAsia" w:ascii="仿宋_GB2312" w:hAnsi="仿宋" w:eastAsia="仿宋_GB2312"/>
          <w:sz w:val="32"/>
          <w:szCs w:val="32"/>
        </w:rPr>
        <w:t>新增股改挂牌企业1家，省上市后备企业1家，市上市后备企业2家。</w:t>
      </w:r>
    </w:p>
    <w:p>
      <w:pPr>
        <w:autoSpaceDE w:val="0"/>
        <w:autoSpaceDN w:val="0"/>
        <w:spacing w:line="566" w:lineRule="exact"/>
        <w:ind w:firstLine="642" w:firstLineChars="200"/>
        <w:rPr>
          <w:rFonts w:ascii="楷体_GB2312" w:hAnsi="楷体" w:eastAsia="楷体_GB2312" w:cs="楷体"/>
          <w:b/>
          <w:sz w:val="32"/>
          <w:szCs w:val="32"/>
        </w:rPr>
      </w:pPr>
      <w:r>
        <w:rPr>
          <w:rFonts w:hint="eastAsia" w:ascii="楷体_GB2312" w:hAnsi="楷体" w:eastAsia="楷体_GB2312" w:cs="楷体"/>
          <w:b/>
          <w:sz w:val="32"/>
          <w:szCs w:val="32"/>
        </w:rPr>
        <w:t>4.做足美字文章，打造宜居宜业美丽家园。</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建设精品双牌，厚植“风光美”。</w:t>
      </w:r>
      <w:r>
        <w:rPr>
          <w:rFonts w:hint="eastAsia" w:ascii="楷体_GB2312" w:hAnsi="仿宋" w:eastAsia="楷体_GB2312" w:cs="仿宋"/>
          <w:sz w:val="32"/>
          <w:szCs w:val="32"/>
        </w:rPr>
        <w:t>城市更新“增气质”。</w:t>
      </w:r>
      <w:r>
        <w:rPr>
          <w:rFonts w:hint="eastAsia" w:ascii="仿宋_GB2312" w:hAnsi="仿宋" w:eastAsia="仿宋_GB2312" w:cs="仿宋"/>
          <w:sz w:val="32"/>
          <w:szCs w:val="32"/>
        </w:rPr>
        <w:t>持续推进国土空间规划，积极做好专项规划。按照“北优南疏、东扩西控”发展方向，“品”字形建设，“弓”字形推进，加快建设“一城三区”。加快旧城区提质步伐，完善城市路网，建设地下排水排污管网</w:t>
      </w:r>
      <w:r>
        <w:pict>
          <v:shape id="_x0000_s2082" o:spid="_x0000_s2082" o:spt="202" type="#_x0000_t202" style="position:absolute;left:0pt;margin-left:-9.7pt;margin-top:-45.65pt;height:30.75pt;width:462.05pt;z-index:251649024;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H7AQ2Y9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B+wENm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4.2公里，改造老旧小区20个。今年重点推进紫金中路、平阳路等主要节点、主要街道立体绿化改造，规划引导临街单位商铺、小区住户栽花种草，打造“一街一景，四季有花”最美花园县城。加快河东新区开发，推进河东管网、温泉度假区、大沙地综合开发、霞灯片区棚改房等重点项目建设，打造集旅游休闲文化、渔人文化、山水文化、慢节奏文化于一体的滨水新城。加快建设城北新区，推动绿色建筑，完善基础配套，打造产城融合、三生协同的工业新城。</w:t>
      </w:r>
      <w:r>
        <w:rPr>
          <w:rFonts w:hint="eastAsia" w:ascii="楷体_GB2312" w:hAnsi="仿宋" w:eastAsia="楷体_GB2312" w:cs="仿宋"/>
          <w:sz w:val="32"/>
          <w:szCs w:val="32"/>
        </w:rPr>
        <w:t>美丽乡村“提颜值”。</w:t>
      </w:r>
      <w:r>
        <w:rPr>
          <w:rFonts w:hint="eastAsia" w:ascii="仿宋_GB2312" w:hAnsi="仿宋" w:eastAsia="仿宋_GB2312" w:cs="仿宋"/>
          <w:sz w:val="32"/>
          <w:szCs w:val="32"/>
        </w:rPr>
        <w:t>按照“多规合一”要求，完成71个村庄规划编制。大力开展农村人居环境整治，完成农村改厕940户，农村卫生厕所普及率达到95%以上。建设农村生活垃圾分类减量试点示范乡镇1个、示范村4个，“两次四分”行政村覆盖率30%以上，实现长效保洁“一约四制”行政村全覆盖。新建2个乡镇污水处理厂，农村生活污水治理率同比提高5%以上。全县村庄绿化覆盖率达到50%以上。加快实施“一廊一带一片”示范创建工程，连线成片梯次推进美丽乡村建设。</w:t>
      </w:r>
    </w:p>
    <w:p>
      <w:pPr>
        <w:autoSpaceDE w:val="0"/>
        <w:autoSpaceDN w:val="0"/>
        <w:spacing w:line="566" w:lineRule="exact"/>
        <w:ind w:firstLine="642" w:firstLineChars="200"/>
        <w:rPr>
          <w:rFonts w:ascii="仿宋_GB2312" w:hAnsi="仿宋" w:eastAsia="仿宋_GB2312" w:cs="仿宋"/>
          <w:sz w:val="32"/>
          <w:szCs w:val="32"/>
        </w:rPr>
      </w:pPr>
      <w:r>
        <w:rPr>
          <w:rFonts w:hint="eastAsia" w:ascii="仿宋_GB2312" w:hAnsi="仿宋" w:eastAsia="仿宋_GB2312" w:cs="仿宋"/>
          <w:b/>
          <w:sz w:val="32"/>
          <w:szCs w:val="32"/>
        </w:rPr>
        <w:t>建设魅力双牌，塑造“人文美”。</w:t>
      </w:r>
      <w:r>
        <w:rPr>
          <w:rFonts w:hint="eastAsia" w:ascii="仿宋_GB2312" w:hAnsi="仿宋" w:eastAsia="仿宋_GB2312" w:cs="仿宋"/>
          <w:sz w:val="32"/>
          <w:szCs w:val="32"/>
        </w:rPr>
        <w:t>以国家卫生城市、全国文明城市创建为抓手，持续开展城区秩序、“五线”、“十乱”、小区物业管理等专项整治行动，加强“数字城管”平台建设，加速推进城市治理现代化。开展文明劝导和文明养成教育，全面提升市民文明素养。坚持以社会主义核心价值观为引领，开展社会组织服务试点和“双带双促”活动，强化村民自治组织、自治能力建设。引导修订完善《村规民约》，推进“治陋习、树新风”专项行动，每个行政村年内革除1-2项陈规陋习，通过移风易俗提升乡风文明。深入开展各类评比活动，县级及以上文明村、文明乡镇分别达到60%和80%以上。坚持统筹发展与安全，持续抓好常态化疫情防控，巩固来之不易的疫情防控成果。做好涉众型金融领域风险防范，确保不发生区域性系统性金融风险。深入推进安全生产专项整治三年行动，抓好防灾减灾救灾、消防安全、森林防火和交通顽瘴痼疾整治等重点工作。常态化推进扫黑除恶斗争，突出抓好信访维稳、电信诈骗、非法集资和黄赌毒打击治理，坚决防范和打击各类违法犯罪，加快建设平安双牌。</w:t>
      </w:r>
    </w:p>
    <w:p>
      <w:pPr>
        <w:autoSpaceDE w:val="0"/>
        <w:autoSpaceDN w:val="0"/>
        <w:spacing w:line="566" w:lineRule="exact"/>
        <w:ind w:firstLine="630" w:firstLineChars="300"/>
        <w:rPr>
          <w:rFonts w:ascii="仿宋_GB2312" w:hAnsi="仿宋" w:eastAsia="仿宋_GB2312" w:cs="仿宋"/>
          <w:sz w:val="32"/>
          <w:szCs w:val="32"/>
        </w:rPr>
      </w:pPr>
      <w:r>
        <w:pict>
          <v:shape id="_x0000_s2081" o:spid="_x0000_s2081" o:spt="202" type="#_x0000_t202" style="position:absolute;left:0pt;margin-left:-8.95pt;margin-top:-584.1pt;height:32.25pt;width:463.55pt;z-index:251650048;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O7QnNw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b/>
          <w:sz w:val="32"/>
          <w:szCs w:val="32"/>
        </w:rPr>
        <w:t>建设幸福双牌，共享“生活美”。</w:t>
      </w:r>
      <w:r>
        <w:rPr>
          <w:rFonts w:hint="eastAsia" w:ascii="楷体_GB2312" w:hAnsi="楷体" w:eastAsia="楷体_GB2312" w:cs="楷体"/>
          <w:sz w:val="32"/>
          <w:szCs w:val="32"/>
        </w:rPr>
        <w:t>推进就业创业，</w:t>
      </w:r>
      <w:r>
        <w:rPr>
          <w:rFonts w:hint="eastAsia" w:ascii="仿宋_GB2312" w:hAnsi="仿宋" w:eastAsia="仿宋_GB2312" w:cs="仿宋"/>
          <w:sz w:val="32"/>
          <w:szCs w:val="32"/>
        </w:rPr>
        <w:t>落实就业创业政策措施，开展稳岗和技能培训，抓好高校毕业生、下岗失业人员、农民工、退役军人等重点群体就业，城镇登记失业率控制在4%以内。全力整治拖欠农民工工资问题，保障劳动者合法权益。</w:t>
      </w:r>
      <w:r>
        <w:rPr>
          <w:rFonts w:hint="eastAsia" w:ascii="楷体_GB2312" w:hAnsi="楷体" w:eastAsia="楷体_GB2312" w:cs="楷体"/>
          <w:sz w:val="32"/>
          <w:szCs w:val="32"/>
        </w:rPr>
        <w:t>优先发展教育，</w:t>
      </w:r>
      <w:r>
        <w:rPr>
          <w:rFonts w:hint="eastAsia" w:ascii="仿宋_GB2312" w:hAnsi="仿宋" w:eastAsia="仿宋_GB2312" w:cs="仿宋"/>
          <w:sz w:val="32"/>
          <w:szCs w:val="32"/>
        </w:rPr>
        <w:t>推进教育优质均衡发展，加强学前教育、职业教育学位建设，改善基础薄弱学校办学条件。坚持产教融合、校企合作，提升职业教育质量水平。全面实施新时代德育评价体系，完善立德树人体制机制。积极推进“名校、名师、名室”工程，健全教育教学评价激励机制，严格落实“双减”政策，弘扬崇教风尚，提振发展信心，再创教育辉煌。</w:t>
      </w:r>
      <w:r>
        <w:rPr>
          <w:rFonts w:hint="eastAsia" w:ascii="楷体_GB2312" w:hAnsi="楷体" w:eastAsia="楷体_GB2312" w:cs="楷体"/>
          <w:sz w:val="32"/>
          <w:szCs w:val="32"/>
        </w:rPr>
        <w:t>建设健康双牌，</w:t>
      </w:r>
      <w:r>
        <w:rPr>
          <w:rFonts w:hint="eastAsia" w:ascii="仿宋_GB2312" w:hAnsi="仿宋" w:eastAsia="仿宋_GB2312" w:cs="仿宋"/>
          <w:sz w:val="32"/>
          <w:szCs w:val="32"/>
        </w:rPr>
        <w:t>加快完善疾病预防控制体系，提高应对突发公共卫生事件能力；积极推进医保DIP支付方式改革，深化以紧密型医共体、国家药物制度等为重点的医药卫生体制改革，建好县人民医院医技楼、县疾控中心业务用房，邀请省市专家到县人</w:t>
      </w:r>
      <w:r>
        <w:pict>
          <v:shape id="_x0000_s2080" o:spid="_x0000_s2080" o:spt="202" type="#_x0000_t202" style="position:absolute;left:0pt;margin-left:-10.45pt;margin-top:-50.9pt;height:32.2pt;width:466.55pt;z-index:251651072;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C44ZiI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民医院和县中医院坐诊，积极推行“引名医建名科”，提升基层防病治病能力，为群众提供更好的医疗服务。</w:t>
      </w:r>
      <w:r>
        <w:rPr>
          <w:rFonts w:hint="eastAsia" w:ascii="楷体_GB2312" w:hAnsi="楷体" w:eastAsia="楷体_GB2312" w:cs="楷体"/>
          <w:sz w:val="32"/>
          <w:szCs w:val="32"/>
        </w:rPr>
        <w:t>发展文体事业，</w:t>
      </w:r>
      <w:r>
        <w:rPr>
          <w:rFonts w:hint="eastAsia" w:ascii="仿宋_GB2312" w:hAnsi="仿宋" w:eastAsia="仿宋_GB2312" w:cs="仿宋"/>
          <w:sz w:val="32"/>
          <w:szCs w:val="32"/>
        </w:rPr>
        <w:t>巩固国家公共文化服务体系示范区创建成果，广泛开展群众性文化活动和全民健身活动，启动体育公园前期工作。</w:t>
      </w:r>
      <w:r>
        <w:rPr>
          <w:rFonts w:hint="eastAsia" w:ascii="楷体_GB2312" w:hAnsi="楷体" w:eastAsia="楷体_GB2312" w:cs="楷体"/>
          <w:sz w:val="32"/>
          <w:szCs w:val="32"/>
        </w:rPr>
        <w:t>加强社会保障，</w:t>
      </w:r>
      <w:r>
        <w:rPr>
          <w:rFonts w:hint="eastAsia" w:ascii="仿宋_GB2312" w:hAnsi="楷体" w:eastAsia="仿宋_GB2312" w:cs="楷体"/>
          <w:sz w:val="32"/>
          <w:szCs w:val="32"/>
        </w:rPr>
        <w:t>进一步巩固拓展脱贫</w:t>
      </w:r>
      <w:r>
        <w:rPr>
          <w:rFonts w:hint="eastAsia" w:ascii="仿宋_GB2312" w:hAnsi="宋体" w:eastAsia="仿宋_GB2312" w:cs="宋体"/>
          <w:sz w:val="32"/>
          <w:szCs w:val="32"/>
        </w:rPr>
        <w:t>攻坚成果，全面及时调整优化和落实帮扶措施，有效衔接推进乡村振兴</w:t>
      </w:r>
      <w:r>
        <w:rPr>
          <w:rFonts w:hint="eastAsia" w:ascii="仿宋_GB2312" w:hAnsi="仿宋" w:eastAsia="仿宋_GB2312" w:cs="仿宋"/>
          <w:sz w:val="32"/>
          <w:szCs w:val="32"/>
        </w:rPr>
        <w:t>。深入实施全民参保计划，严格管控社保基金风险。提升“一老一小”工作成效，大力发展健康养老事业，推进养老服务联合体建设标准化试点，建好全县老年养护中心，加强对未成年人、妇女和农村留守老人的关爱保护。发展社会福利、慈善事业，提标城乡低保、特困人员供养和残疾人“两项”补贴，完善社会救助制度，加强民生兜底保障和遇困群众救助，努力做到应保尽保、应助尽助。让生活处处洋溢着阳光，幸福时刻挂在群众的脸上。</w:t>
      </w:r>
    </w:p>
    <w:p>
      <w:pPr>
        <w:autoSpaceDE w:val="0"/>
        <w:autoSpaceDN w:val="0"/>
        <w:spacing w:line="566"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抓好和推进十项重点工作：</w:t>
      </w:r>
      <w:r>
        <w:rPr>
          <w:rFonts w:hint="eastAsia" w:ascii="仿宋_GB2312" w:hAnsi="仿宋_GB2312" w:eastAsia="仿宋_GB2312" w:cs="仿宋_GB2312"/>
          <w:sz w:val="32"/>
          <w:szCs w:val="32"/>
        </w:rPr>
        <w:t>（1）加快最美花园县城建设；（2）改造城镇老旧小区20个；（3）实现乡镇污水处理设施全覆盖；（4）</w:t>
      </w:r>
      <w:r>
        <w:rPr>
          <w:rFonts w:hint="eastAsia" w:ascii="仿宋_GB2312" w:hAnsi="仿宋" w:eastAsia="仿宋_GB2312" w:cs="仿宋"/>
          <w:sz w:val="32"/>
          <w:szCs w:val="32"/>
        </w:rPr>
        <w:t>整治提升30个村庄，美化改造1000个庭院风貌；</w:t>
      </w:r>
      <w:r>
        <w:rPr>
          <w:rFonts w:hint="eastAsia" w:ascii="仿宋_GB2312" w:hAnsi="仿宋_GB2312" w:eastAsia="仿宋_GB2312" w:cs="仿宋_GB2312"/>
          <w:sz w:val="32"/>
          <w:szCs w:val="32"/>
        </w:rPr>
        <w:t>（5）推进县人民医院医技楼项目建设；（6）新增城镇就业3200人以上；（7）新增城区公办幼儿园学位</w:t>
      </w:r>
      <w:r>
        <w:rPr>
          <w:rFonts w:hint="eastAsia" w:ascii="仿宋_GB2312" w:hAnsi="仿宋" w:eastAsia="仿宋_GB2312"/>
          <w:kern w:val="0"/>
          <w:sz w:val="30"/>
          <w:szCs w:val="30"/>
          <w:lang w:val="zh-TW" w:eastAsia="zh-TW"/>
        </w:rPr>
        <w:t>360</w:t>
      </w:r>
      <w:r>
        <w:rPr>
          <w:rFonts w:hint="eastAsia" w:ascii="仿宋_GB2312" w:hAnsi="仿宋_GB2312" w:eastAsia="仿宋_GB2312" w:cs="仿宋_GB2312"/>
          <w:sz w:val="32"/>
          <w:szCs w:val="32"/>
        </w:rPr>
        <w:t>个，</w:t>
      </w:r>
      <w:r>
        <w:rPr>
          <w:rFonts w:hint="eastAsia" w:ascii="仿宋_GB2312" w:hAnsi="仿宋" w:eastAsia="仿宋_GB2312"/>
          <w:kern w:val="0"/>
          <w:sz w:val="32"/>
          <w:szCs w:val="32"/>
        </w:rPr>
        <w:t>职业教育学位600个</w:t>
      </w:r>
      <w:r>
        <w:rPr>
          <w:rFonts w:hint="eastAsia" w:ascii="仿宋_GB2312" w:hAnsi="仿宋_GB2312" w:eastAsia="仿宋_GB2312" w:cs="仿宋_GB2312"/>
          <w:sz w:val="32"/>
          <w:szCs w:val="32"/>
        </w:rPr>
        <w:t>；（8）完成农村适龄妇女“两癌”免费检查和孕产妇免费产前筛查任务；（9）完成65岁以上老年人免费健康体检17016人；</w:t>
      </w:r>
      <w:r>
        <w:rPr>
          <w:rFonts w:hint="eastAsia" w:ascii="仿宋_GB2312" w:hAnsi="仿宋" w:eastAsia="仿宋_GB2312"/>
          <w:kern w:val="0"/>
          <w:sz w:val="32"/>
          <w:szCs w:val="32"/>
        </w:rPr>
        <w:t>（10）</w:t>
      </w:r>
      <w:r>
        <w:rPr>
          <w:rFonts w:hint="eastAsia" w:ascii="仿宋_GB2312" w:hAnsi="仿宋" w:eastAsia="仿宋_GB2312"/>
          <w:kern w:val="0"/>
          <w:sz w:val="32"/>
          <w:szCs w:val="32"/>
          <w:lang w:val="zh-TW" w:eastAsia="zh-TW"/>
        </w:rPr>
        <w:t>提质改造4所标准化乡镇寄宿制学校</w:t>
      </w:r>
      <w:r>
        <w:rPr>
          <w:rFonts w:hint="eastAsia" w:ascii="仿宋_GB2312" w:hAnsi="仿宋" w:eastAsia="仿宋_GB2312"/>
          <w:kern w:val="0"/>
          <w:sz w:val="32"/>
          <w:szCs w:val="32"/>
          <w:lang w:val="zh-TW"/>
        </w:rPr>
        <w:t>。</w:t>
      </w:r>
    </w:p>
    <w:p>
      <w:pPr>
        <w:autoSpaceDE w:val="0"/>
        <w:autoSpaceDN w:val="0"/>
        <w:spacing w:line="566" w:lineRule="exact"/>
        <w:ind w:firstLine="642" w:firstLineChars="200"/>
        <w:rPr>
          <w:rFonts w:hint="eastAsia" w:ascii="楷体_GB2312" w:hAnsi="楷体" w:eastAsia="楷体_GB2312" w:cs="楷体"/>
          <w:b/>
          <w:sz w:val="32"/>
          <w:szCs w:val="32"/>
        </w:rPr>
      </w:pPr>
      <w:r>
        <w:rPr>
          <w:rFonts w:hint="eastAsia" w:ascii="楷体_GB2312" w:hAnsi="楷体" w:eastAsia="楷体_GB2312" w:cs="楷体"/>
          <w:b/>
          <w:sz w:val="32"/>
          <w:szCs w:val="32"/>
        </w:rPr>
        <w:t>5.坚持统筹协调，汇聚打造一双王牌做足两篇文章强大合力。</w:t>
      </w:r>
    </w:p>
    <w:p>
      <w:pPr>
        <w:autoSpaceDE w:val="0"/>
        <w:autoSpaceDN w:val="0"/>
        <w:spacing w:line="566" w:lineRule="exact"/>
        <w:ind w:firstLine="642" w:firstLineChars="200"/>
        <w:rPr>
          <w:rFonts w:ascii="仿宋_GB2312" w:hAnsi="宋体" w:eastAsia="仿宋_GB2312"/>
          <w:sz w:val="32"/>
          <w:szCs w:val="32"/>
        </w:rPr>
      </w:pPr>
      <w:r>
        <w:rPr>
          <w:rFonts w:hint="eastAsia" w:ascii="仿宋_GB2312" w:hAnsi="宋体" w:eastAsia="仿宋_GB2312"/>
          <w:b/>
          <w:sz w:val="32"/>
          <w:szCs w:val="32"/>
        </w:rPr>
        <w:t>串联交通路网。</w:t>
      </w:r>
      <w:r>
        <w:rPr>
          <w:rFonts w:hint="eastAsia" w:ascii="仿宋_GB2312" w:hAnsi="宋体" w:eastAsia="仿宋_GB2312"/>
          <w:sz w:val="32"/>
          <w:szCs w:val="32"/>
        </w:rPr>
        <w:t>充分发挥交通基础设施的战略性、先导性作用，积极构建现代化综合交通运输体系。加快零道高速建设进度，配合做好广清永高铁建设前期工作。全力做好双红快车道、打理公路提质改造项目争取工作，逐步实现与二广高速、零道高速的畅通联结，着力打造两纵两横“井”字形骨干路网，形成内联外通、紧密衔接的县域交通格局，不断提升县城的辐射力、吸引力和带动力，加快向南向海向外发展步伐。有序推进潇水二桥建设，</w:t>
      </w:r>
      <w:r>
        <w:rPr>
          <w:rFonts w:hint="eastAsia" w:ascii="仿宋_GB2312" w:hAnsi="仿宋" w:eastAsia="仿宋_GB2312" w:cs="仿宋"/>
          <w:sz w:val="32"/>
          <w:szCs w:val="32"/>
        </w:rPr>
        <w:t>完成全药冲大桥维修加固，积极推进“四好农村路”建设，做好</w:t>
      </w:r>
      <w:r>
        <w:rPr>
          <w:rFonts w:hint="eastAsia" w:ascii="仿宋_GB2312" w:hAnsi="宋体" w:eastAsia="仿宋_GB2312"/>
          <w:sz w:val="32"/>
          <w:szCs w:val="32"/>
        </w:rPr>
        <w:t>大坝综合客运码头建设前期工作，改善群众交通出行条件。</w:t>
      </w:r>
    </w:p>
    <w:p>
      <w:pPr>
        <w:autoSpaceDE w:val="0"/>
        <w:autoSpaceDN w:val="0"/>
        <w:spacing w:line="566" w:lineRule="exact"/>
        <w:ind w:firstLine="630" w:firstLineChars="300"/>
        <w:rPr>
          <w:rFonts w:ascii="仿宋_GB2312" w:hAnsi="黑体" w:eastAsia="仿宋_GB2312" w:cs="黑体"/>
          <w:spacing w:val="-6"/>
          <w:sz w:val="32"/>
          <w:szCs w:val="32"/>
        </w:rPr>
      </w:pPr>
      <w:r>
        <w:pict>
          <v:shape id="_x0000_s2079" o:spid="_x0000_s2079" o:spt="202" type="#_x0000_t202" style="position:absolute;left:0pt;margin-left:-11.2pt;margin-top:-584.1pt;height:32.25pt;width:462.8pt;z-index:251652096;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DMR7pM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仿宋_GB2312" w:hAnsi="宋体" w:eastAsia="仿宋_GB2312"/>
          <w:b/>
          <w:sz w:val="32"/>
          <w:szCs w:val="32"/>
        </w:rPr>
        <w:t>建设特色集镇。</w:t>
      </w:r>
      <w:r>
        <w:rPr>
          <w:rFonts w:hint="eastAsia" w:ascii="仿宋_GB2312" w:hAnsi="宋体" w:eastAsia="仿宋_GB2312"/>
          <w:sz w:val="32"/>
          <w:szCs w:val="32"/>
        </w:rPr>
        <w:t>坚持规划引领，科学编制乡镇国土空间规划，统筹推进全县小城镇建设。积极发挥和调动县乡两级作用，抓实五里牌全国重点镇建设，持续推进“靓镇”工程，提质城镇风貌改造，加快建设县城“北大门”；推动茶林金色、红色“双色”文化建设，加快建设银杏特色小镇；加紧江村有庳古国、象棋之乡等项目建设，打造山圩水市特色商贸小镇；抓好理家坪集镇道路改道和特色果蔬基地发展，建设“南大门”示范性生态小城镇；上梧江要充分挖掘民间文化艺术，全力打造瑶族特色风情小镇；泷泊镇要发挥首善优势，当好现代化新双牌建设排头兵；推进阳明山民国风情小镇、何家洞边贸小镇、打鼓坪休闲度假乡镇建设，抓好麻江、五星岭、塘底等特色农旅乡镇建设，五星岭、打鼓坪、泷泊等国有林场要抓好林</w:t>
      </w:r>
      <w:r>
        <w:rPr>
          <w:rFonts w:hint="eastAsia" w:ascii="仿宋_GB2312" w:hAnsi="宋体" w:eastAsia="仿宋_GB2312"/>
          <w:spacing w:val="-6"/>
          <w:sz w:val="32"/>
          <w:szCs w:val="32"/>
        </w:rPr>
        <w:t>业碳汇工作，以星星之火汇成燎原之势，加快建设最精最美双牌。</w:t>
      </w:r>
    </w:p>
    <w:p>
      <w:pPr>
        <w:autoSpaceDE w:val="0"/>
        <w:autoSpaceDN w:val="0"/>
        <w:spacing w:line="566" w:lineRule="exact"/>
        <w:ind w:firstLine="642" w:firstLineChars="200"/>
        <w:rPr>
          <w:rFonts w:hint="eastAsia" w:ascii="仿宋_GB2312" w:eastAsia="仿宋_GB2312"/>
          <w:sz w:val="32"/>
          <w:szCs w:val="32"/>
        </w:rPr>
      </w:pPr>
      <w:r>
        <w:rPr>
          <w:rFonts w:hint="eastAsia" w:ascii="仿宋_GB2312" w:hAnsi="宋体" w:eastAsia="仿宋_GB2312"/>
          <w:b/>
          <w:sz w:val="32"/>
          <w:szCs w:val="32"/>
        </w:rPr>
        <w:t>推进绿色发展。</w:t>
      </w:r>
      <w:r>
        <w:rPr>
          <w:rFonts w:hint="eastAsia" w:ascii="仿宋_GB2312" w:hAnsi="仿宋" w:eastAsia="仿宋_GB2312" w:cs="仿宋"/>
          <w:sz w:val="32"/>
          <w:szCs w:val="32"/>
        </w:rPr>
        <w:t>坚定不移走生态优先、绿色发展之路，全面落实“河长制”“林长制”“田长制”。深入打好污染防治攻坚战，扎实解决环境突出问题。坚持山水林田湖草沙一体保护、系统治理，开展国土绿化行动，加强生物多样性保护，全面推进自然保护区、天然林和湿地生态体系建设，守护好双牌的美丽青山和幸福蓝天。落实“长牙齿”的耕地保护硬措施，坚决遏制耕地“非农化”，防止“非粮化”，切实完成省、市下达的耕地保护目标任务，稳定全年粮食播种面积和产量，牢牢守住粮食生产安全底线。抓好蔬菜种植基地建设，打造粤港澳“菜篮子”备案蔬菜生产基地。全面完成省、市下达营造林和欧投项目建设任务</w:t>
      </w:r>
      <w:r>
        <w:rPr>
          <w:rFonts w:hint="eastAsia" w:ascii="仿宋_GB2312" w:hAnsi="仿宋_GB2312" w:eastAsia="仿宋_GB2312" w:cs="仿宋_GB2312"/>
          <w:sz w:val="32"/>
          <w:szCs w:val="32"/>
        </w:rPr>
        <w:t>。</w:t>
      </w:r>
      <w:r>
        <w:rPr>
          <w:rFonts w:hint="eastAsia" w:ascii="仿宋_GB2312" w:eastAsia="仿宋_GB2312"/>
          <w:sz w:val="32"/>
          <w:szCs w:val="32"/>
        </w:rPr>
        <w:t>加强碳汇储备能力建设，力争率先进入全省碳排放权交易平台。</w:t>
      </w:r>
    </w:p>
    <w:p>
      <w:pPr>
        <w:autoSpaceDE w:val="0"/>
        <w:autoSpaceDN w:val="0"/>
        <w:spacing w:line="566" w:lineRule="exact"/>
        <w:ind w:firstLine="630" w:firstLineChars="300"/>
        <w:rPr>
          <w:rFonts w:ascii="仿宋_GB2312" w:hAnsi="仿宋_GB2312" w:eastAsia="仿宋_GB2312" w:cs="仿宋_GB2312"/>
          <w:sz w:val="32"/>
          <w:szCs w:val="32"/>
        </w:rPr>
      </w:pPr>
      <w:r>
        <w:pict>
          <v:shape id="_x0000_s2078" o:spid="_x0000_s2078" o:spt="202" type="#_x0000_t202" style="position:absolute;left:0pt;margin-left:-13.45pt;margin-top:-668.25pt;height:33.75pt;width:459.8pt;z-index:251653120;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Jp2vhg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 w:eastAsia="仿宋_GB2312" w:cs="仿宋"/>
          <w:sz w:val="32"/>
          <w:szCs w:val="32"/>
        </w:rPr>
        <w:t>抓好和推进十项重点</w:t>
      </w:r>
      <w:r>
        <w:rPr>
          <w:rFonts w:hint="eastAsia" w:ascii="仿宋_GB2312" w:hAnsi="仿宋_GB2312" w:eastAsia="仿宋_GB2312" w:cs="仿宋_GB2312"/>
          <w:sz w:val="32"/>
          <w:szCs w:val="32"/>
        </w:rPr>
        <w:t>工作：（1）抓紧潇水二桥建设；（2）加快农村公路提质改造和安防工程建设；（3）全面推进特色小城镇建设；（4）完成全年恢复耕地阶段性任务702亩；（5）粮食播种面积稳定在21.81万亩以上，粮食产量7万吨以上；（6）推进污水处理厂尾水人工湿地水质净化工程；（7）加快畜禽粪污资源化综合利用整县推进项目建设，抓好农村人居环境整治项目；（8）抓紧零道高速公路征地拆迁和建设；（9）建设粤港澳“菜篮子”备案蔬菜基地3家以上；（10）培育建设碳汇林40万亩。</w:t>
      </w:r>
    </w:p>
    <w:p>
      <w:pPr>
        <w:autoSpaceDE w:val="0"/>
        <w:autoSpaceDN w:val="0"/>
        <w:spacing w:line="566" w:lineRule="exact"/>
        <w:ind w:firstLine="640" w:firstLineChars="200"/>
        <w:rPr>
          <w:rFonts w:ascii="仿宋" w:hAnsi="仿宋" w:eastAsia="仿宋" w:cs="仿宋"/>
          <w:sz w:val="32"/>
          <w:szCs w:val="32"/>
        </w:rPr>
      </w:pPr>
      <w:r>
        <w:rPr>
          <w:rFonts w:hint="eastAsia" w:ascii="黑体" w:hAnsi="黑体" w:eastAsia="黑体" w:cs="黑体"/>
          <w:sz w:val="32"/>
          <w:szCs w:val="32"/>
        </w:rPr>
        <w:t>三、加强政府自身建设</w:t>
      </w:r>
    </w:p>
    <w:p>
      <w:pPr>
        <w:autoSpaceDE w:val="0"/>
        <w:autoSpaceDN w:val="0"/>
        <w:spacing w:line="566"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坚持以政治建设为统领，坚定捍卫“两个确立”，坚决做到“两个维护”，胸怀“两个大局”，心系“国之大者”，全面加强政府系统党的建设，不断增强“政治三力”，努力建设人民满意政府。</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建设为民政府。</w:t>
      </w:r>
      <w:r>
        <w:rPr>
          <w:rFonts w:hint="eastAsia" w:ascii="仿宋_GB2312" w:hAnsi="仿宋" w:eastAsia="仿宋_GB2312" w:cs="仿宋"/>
          <w:sz w:val="32"/>
          <w:szCs w:val="32"/>
        </w:rPr>
        <w:t>坚持以人民为中心的发展思想，牢记宗旨意识，把实现好、维护好、发展好群众的根本利益作为政府工作的出发点和落脚点，把群众拥护不拥护、赞成不赞成、高兴不高兴、答应不答应作为根本追求，用心用情用力解决好就业、就学、就医等“急难愁盼”问题，让全县人民有更多、更直接、更实在的获得感、幸福感、安全感。</w:t>
      </w:r>
    </w:p>
    <w:p>
      <w:pPr>
        <w:autoSpaceDE w:val="0"/>
        <w:autoSpaceDN w:val="0"/>
        <w:spacing w:line="566" w:lineRule="exact"/>
        <w:ind w:firstLine="630" w:firstLineChars="300"/>
        <w:rPr>
          <w:rFonts w:ascii="仿宋_GB2312" w:hAnsi="仿宋" w:eastAsia="仿宋_GB2312" w:cs="仿宋"/>
          <w:sz w:val="32"/>
          <w:szCs w:val="32"/>
        </w:rPr>
      </w:pPr>
      <w:r>
        <w:pict>
          <v:shape id="_x0000_s2077" o:spid="_x0000_s2077" o:spt="202" type="#_x0000_t202" style="position:absolute;left:0pt;margin-left:-9.7pt;margin-top:-357.7pt;height:30.75pt;width:465.8pt;z-index:251654144;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OeXYWtUAAAAJAQAADwAA&#10;AAAAAAABACAAAAA4AAAAZHJzL2Rvd25yZXYueG1sUEsBAhQAFAAAAAgAh07iQGAlsuQ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建设务实政府。</w:t>
      </w:r>
      <w:r>
        <w:rPr>
          <w:rFonts w:hint="eastAsia" w:ascii="仿宋_GB2312" w:hAnsi="仿宋" w:eastAsia="仿宋_GB2312" w:cs="仿宋"/>
          <w:sz w:val="32"/>
          <w:szCs w:val="32"/>
        </w:rPr>
        <w:t>坚持一切从实际出发，做决策、干工作、上项目符合双牌实际、符合客观规律、符合发展需要，坚决反对形式主义、官僚主义。牢记初心使命，强化责任担当，不图虚名，不务虚功，常思长远之策，多兴务实之举，多办惠民之事，大力发扬“三盯”精神，始终保持“三干”作风，以真抓实干推动各项工作大步前进。</w:t>
      </w:r>
    </w:p>
    <w:p>
      <w:pPr>
        <w:autoSpaceDE w:val="0"/>
        <w:autoSpaceDN w:val="0"/>
        <w:spacing w:line="566" w:lineRule="exact"/>
        <w:ind w:firstLine="642" w:firstLineChars="200"/>
        <w:rPr>
          <w:rFonts w:ascii="仿宋_GB2312" w:hAnsi="仿宋" w:eastAsia="仿宋_GB2312" w:cs="仿宋"/>
          <w:sz w:val="32"/>
          <w:szCs w:val="32"/>
        </w:rPr>
      </w:pPr>
      <w:r>
        <w:rPr>
          <w:rFonts w:hint="eastAsia" w:ascii="楷体_GB2312" w:hAnsi="楷体" w:eastAsia="楷体_GB2312" w:cs="楷体"/>
          <w:b/>
          <w:sz w:val="32"/>
          <w:szCs w:val="32"/>
        </w:rPr>
        <w:t>建设高效政府。</w:t>
      </w:r>
      <w:r>
        <w:rPr>
          <w:rFonts w:hint="eastAsia" w:ascii="仿宋_GB2312" w:hAnsi="仿宋" w:eastAsia="仿宋_GB2312" w:cs="仿宋"/>
          <w:sz w:val="32"/>
          <w:szCs w:val="32"/>
        </w:rPr>
        <w:t>视高效为政府工作的生命线，发扬敢闯敢试、敢为人先的精神,全力稳大局、破困局、开新局。要加快转变政府职能，推进协同办公和无纸化办公，公文办理原则上控制在3个工作日内。继续推广“四办”模式，简化办事流程，全面压缩办结时限。以实干为导向，以实绩论英雄，加强监督检查，强化工作执行，全面提升政府公信力。</w:t>
      </w:r>
    </w:p>
    <w:p>
      <w:pPr>
        <w:autoSpaceDE w:val="0"/>
        <w:autoSpaceDN w:val="0"/>
        <w:spacing w:line="566" w:lineRule="exact"/>
        <w:ind w:firstLine="642" w:firstLineChars="200"/>
        <w:rPr>
          <w:rFonts w:ascii="楷体_GB2312" w:hAnsi="楷体" w:eastAsia="楷体_GB2312" w:cs="楷体"/>
          <w:b/>
          <w:sz w:val="32"/>
          <w:szCs w:val="32"/>
        </w:rPr>
      </w:pPr>
      <w:r>
        <w:rPr>
          <w:rFonts w:hint="eastAsia" w:ascii="楷体_GB2312" w:hAnsi="楷体" w:eastAsia="楷体_GB2312" w:cs="楷体"/>
          <w:b/>
          <w:sz w:val="32"/>
          <w:szCs w:val="32"/>
        </w:rPr>
        <w:t>建设法治政府。</w:t>
      </w:r>
      <w:r>
        <w:rPr>
          <w:rFonts w:hint="eastAsia" w:ascii="仿宋_GB2312" w:hAnsi="仿宋" w:eastAsia="仿宋_GB2312" w:cs="仿宋"/>
          <w:sz w:val="32"/>
          <w:szCs w:val="32"/>
        </w:rPr>
        <w:t>加快推进法治政府建设，全面实行政府权责清单制度，健全重大行政决策机制。发挥政府法律顾问作用。严格规范公正文明执法。全面实施“八五”普法规划，增强全民法治观念。依法接受县人大及其常委会的法律监督、工作监督，自觉接受县政协的民主监督，主动接受社会和舆论监督，强化审计、统计监督，确保政府始终做到依法行政。</w:t>
      </w:r>
    </w:p>
    <w:p>
      <w:pPr>
        <w:autoSpaceDE w:val="0"/>
        <w:autoSpaceDN w:val="0"/>
        <w:spacing w:line="566" w:lineRule="exact"/>
        <w:ind w:firstLine="630" w:firstLineChars="300"/>
        <w:rPr>
          <w:rFonts w:ascii="仿宋_GB2312" w:hAnsi="仿宋" w:eastAsia="仿宋_GB2312" w:cs="仿宋"/>
          <w:sz w:val="32"/>
          <w:szCs w:val="32"/>
        </w:rPr>
      </w:pPr>
      <w:r>
        <w:pict>
          <v:shape id="_x0000_s2076" o:spid="_x0000_s2076" o:spt="202" type="#_x0000_t202" style="position:absolute;left:0pt;margin-left:-12.4pt;margin-top:-49.4pt;height:32.25pt;width:461pt;z-index:251655168;mso-width-relative:page;mso-height-relative:page;" stroked="f" coordsize="21600,21600" o:gfxdata="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nl2FrVAAAACQEAAA8A&#10;AAAAAAAAAQAgAAAAOAAAAGRycy9kb3ducmV2LnhtbFBLAQIUABQAAAAIAIdO4kA2FLawPQIAAFEE&#10;AAAOAAAAAAAAAAEAIAAAADoBAABkcnMvZTJvRG9jLnhtbFBLBQYAAAAABgAGAFkBAADpBQ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 w:eastAsia="楷体_GB2312" w:cs="楷体"/>
          <w:b/>
          <w:sz w:val="32"/>
          <w:szCs w:val="32"/>
        </w:rPr>
        <w:t>建设清廉政府。</w:t>
      </w:r>
      <w:r>
        <w:rPr>
          <w:rFonts w:hint="eastAsia" w:ascii="仿宋_GB2312" w:hAnsi="仿宋" w:eastAsia="仿宋_GB2312" w:cs="仿宋"/>
          <w:sz w:val="32"/>
          <w:szCs w:val="32"/>
        </w:rPr>
        <w:t>坚持不懈推进全面从严治党，深入开展政府系统党风廉政建设和反腐败斗争。锲而不舍落实中央八项规定及其实施细则精神，驰而不息纠治四风。扎紧扎牢制度笼子，加强重点领域和关键环节立体监督，坚决整治群众身边的不正之风和腐败问题，努力营造干部清正、政府清廉、政治清明的良好政治生态。</w:t>
      </w:r>
    </w:p>
    <w:p>
      <w:pPr>
        <w:autoSpaceDE w:val="0"/>
        <w:autoSpaceDN w:val="0"/>
        <w:spacing w:line="566" w:lineRule="exact"/>
        <w:ind w:firstLine="640" w:firstLineChars="200"/>
      </w:pPr>
      <w:r>
        <w:rPr>
          <w:rFonts w:hint="eastAsia" w:ascii="仿宋_GB2312" w:hAnsi="仿宋" w:eastAsia="仿宋_GB2312" w:cs="仿宋"/>
          <w:sz w:val="32"/>
          <w:szCs w:val="32"/>
        </w:rPr>
        <w:t>各位代表，道虽迩，不行不至；事虽小，不为不成。让我们更加紧密地团结在以习近平同志为核心的党中央周围，在县委的坚强领导下，永葆“闯”的精神、“创”的劲头、“干”的作风，紧扣打造一双王牌，做足两篇文章，努力建设最精最美双牌，为推动全县经济社会高质量发展做出更大贡献，以忠诚、成绩、平安向党的二十大献礼！</w:t>
      </w:r>
    </w:p>
    <w:p>
      <w:pPr>
        <w:spacing w:line="540" w:lineRule="exact"/>
        <w:jc w:val="center"/>
        <w:rPr>
          <w:rFonts w:ascii="黑体" w:hAnsi="黑体" w:eastAsia="黑体"/>
          <w:sz w:val="36"/>
          <w:szCs w:val="36"/>
        </w:rPr>
        <w:sectPr>
          <w:type w:val="continuous"/>
          <w:pgSz w:w="11906" w:h="16838"/>
          <w:pgMar w:top="1588" w:right="1588" w:bottom="1474" w:left="1588" w:header="851" w:footer="992" w:gutter="0"/>
          <w:pgNumType w:start="1"/>
          <w:cols w:equalWidth="0" w:num="2">
            <w:col w:w="4152" w:space="425"/>
            <w:col w:w="4152"/>
          </w:cols>
          <w:docGrid w:type="lines" w:linePitch="312" w:charSpace="0"/>
        </w:sectPr>
      </w:pPr>
    </w:p>
    <w:p>
      <w:pPr>
        <w:pStyle w:val="2"/>
        <w:ind w:firstLine="210"/>
      </w:pPr>
    </w:p>
    <w:p>
      <w:pPr>
        <w:pStyle w:val="2"/>
        <w:spacing w:after="0" w:line="540" w:lineRule="exact"/>
        <w:ind w:firstLine="360"/>
        <w:rPr>
          <w:rFonts w:ascii="黑体" w:hAnsi="黑体" w:eastAsia="黑体"/>
          <w:sz w:val="36"/>
          <w:szCs w:val="36"/>
        </w:rPr>
      </w:pPr>
    </w:p>
    <w:p>
      <w:pPr>
        <w:rPr>
          <w:rFonts w:ascii="黑体" w:hAnsi="黑体" w:eastAsia="黑体"/>
          <w:sz w:val="36"/>
          <w:szCs w:val="36"/>
        </w:rPr>
      </w:pPr>
    </w:p>
    <w:p>
      <w:pPr>
        <w:pStyle w:val="2"/>
        <w:ind w:firstLine="210"/>
      </w:pPr>
    </w:p>
    <w:p/>
    <w:p>
      <w:pPr>
        <w:pStyle w:val="2"/>
        <w:ind w:firstLine="210"/>
      </w:pPr>
    </w:p>
    <w:p/>
    <w:p>
      <w:pPr>
        <w:pStyle w:val="2"/>
        <w:ind w:firstLine="210"/>
      </w:pPr>
    </w:p>
    <w:p/>
    <w:p>
      <w:pPr>
        <w:pStyle w:val="2"/>
        <w:ind w:firstLine="210"/>
      </w:pPr>
    </w:p>
    <w:p>
      <w:pPr>
        <w:rPr>
          <w:rFonts w:hint="eastAsia"/>
        </w:rPr>
      </w:pPr>
    </w:p>
    <w:p>
      <w:pPr>
        <w:pStyle w:val="2"/>
        <w:ind w:firstLine="210"/>
        <w:rPr>
          <w:rFonts w:hint="eastAsia"/>
        </w:rPr>
      </w:pPr>
    </w:p>
    <w:p/>
    <w:p>
      <w:pPr>
        <w:pStyle w:val="2"/>
        <w:ind w:firstLine="210"/>
      </w:pPr>
    </w:p>
    <w:p/>
    <w:p>
      <w:pPr>
        <w:spacing w:line="100" w:lineRule="exact"/>
      </w:pPr>
    </w:p>
    <w:p>
      <w:pPr>
        <w:spacing w:line="500" w:lineRule="exact"/>
        <w:jc w:val="center"/>
        <w:rPr>
          <w:rFonts w:ascii="黑体" w:hAnsi="黑体" w:eastAsia="黑体"/>
          <w:sz w:val="36"/>
          <w:szCs w:val="36"/>
        </w:rPr>
      </w:pPr>
    </w:p>
    <w:p>
      <w:pPr>
        <w:spacing w:line="500" w:lineRule="exact"/>
        <w:jc w:val="center"/>
        <w:rPr>
          <w:rFonts w:hint="eastAsia" w:ascii="方正大标宋_GBK" w:hAnsi="黑体" w:eastAsia="方正大标宋_GBK"/>
          <w:sz w:val="40"/>
          <w:szCs w:val="40"/>
        </w:rPr>
      </w:pPr>
      <w:r>
        <w:rPr>
          <w:rFonts w:hint="eastAsia" w:ascii="方正大标宋_GBK" w:eastAsia="方正大标宋_GBK"/>
          <w:sz w:val="40"/>
          <w:szCs w:val="40"/>
        </w:rPr>
        <w:pict>
          <v:shape id="_x0000_s2075" o:spid="_x0000_s2075" o:spt="202" type="#_x0000_t202" style="position:absolute;left:0pt;margin-left:-12.8pt;margin-top:-40.85pt;height:31.2pt;width:457.5pt;z-index:251656192;mso-width-relative:page;mso-height-relative:page;" stroked="f" coordsize="21600,21600" o:gfxdata="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FIcyWtQAAAAHAQAADwAA&#10;AAAAAAABACAAAAA4AAAAZHJzL2Rvd25yZXYueG1sUEsBAhQAFAAAAAgAh07iQNWE28c9AgAAUQQA&#10;AA4AAAAAAAAAAQAgAAAAOQ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方正大标宋_GBK" w:hAnsi="黑体" w:eastAsia="方正大标宋_GBK"/>
          <w:sz w:val="40"/>
          <w:szCs w:val="40"/>
        </w:rPr>
        <w:t>名 词 解 释</w:t>
      </w:r>
    </w:p>
    <w:p>
      <w:pPr>
        <w:spacing w:line="400" w:lineRule="exact"/>
        <w:rPr>
          <w:rFonts w:ascii="仿宋_GB2312" w:eastAsia="仿宋_GB2312"/>
          <w:sz w:val="32"/>
          <w:szCs w:val="32"/>
        </w:rPr>
      </w:pPr>
      <w:r>
        <w:rPr>
          <w:rFonts w:hint="eastAsia" w:ascii="仿宋_GB2312" w:eastAsia="仿宋_GB2312"/>
          <w:sz w:val="32"/>
          <w:szCs w:val="32"/>
        </w:rPr>
        <w:t xml:space="preserve"> </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1.“三高四新”：</w:t>
      </w:r>
      <w:r>
        <w:rPr>
          <w:rFonts w:hint="eastAsia" w:ascii="仿宋_GB2312" w:hAnsi="宋体" w:eastAsia="仿宋_GB2312"/>
          <w:sz w:val="28"/>
          <w:szCs w:val="28"/>
        </w:rPr>
        <w:t>指着力打造国家重要先进制造业高地、具有核心竞争力的科技创新高地、内陆地区改革开放的高地；在推动高质量发展上闯出新路子，在构建新发展格局中展现新作为，在推动中部地区崛起和长江经济带发展中彰显新担当，奋力谱写新时代坚持和发展中国特色社会主义的湖南新篇章。</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2.“三区两城”：</w:t>
      </w:r>
      <w:r>
        <w:rPr>
          <w:rFonts w:hint="eastAsia" w:ascii="仿宋_GB2312" w:hAnsi="宋体" w:eastAsia="仿宋_GB2312"/>
          <w:sz w:val="28"/>
          <w:szCs w:val="28"/>
        </w:rPr>
        <w:t>粤港澳大湾区引领区、湘南湘西承接产业转移示范区、对接东盟开放合作先行区、国家区域性综合交通枢纽城市、文化生态旅游名城。</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3.“一核两轴三圈”区域经济格局：</w:t>
      </w:r>
      <w:r>
        <w:rPr>
          <w:rFonts w:hint="eastAsia" w:ascii="仿宋_GB2312" w:hAnsi="宋体" w:eastAsia="仿宋_GB2312"/>
          <w:sz w:val="28"/>
          <w:szCs w:val="28"/>
        </w:rPr>
        <w:t>“一核”即以零陵、冷水滩中心城区为核心。“两轴”即北部打造以先进制造和高新技术产业为主的经济发展轴，南部打造以高加工度工业和新兴工业为主的经济发展轴。“三圈”即推进中心城区与祁阳、东安、双牌快速通道联接，一体化发展，打造30分钟“同城圈”；推进中心城区与县及县域之间的快速通道建设，提升中心城区与县及县域之间经济协作、产业协同发展水平，推动公共服务设施配套共享，打造60分钟“协同圈”；利用高铁、航空快速通道，主动融入粤港澳大湾区、长江经济带、成渝地区双城经济圈、东盟自由贸易区，形成90分钟“融入圈”。</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4.信访“三无”：</w:t>
      </w:r>
      <w:r>
        <w:rPr>
          <w:rFonts w:hint="eastAsia" w:ascii="仿宋_GB2312" w:hAnsi="宋体" w:eastAsia="仿宋_GB2312"/>
          <w:sz w:val="28"/>
          <w:szCs w:val="28"/>
        </w:rPr>
        <w:t>指无进京越级上访、无大规模集体上访、无因信访问题引发的极端恶性事件。</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 xml:space="preserve">5.“双创”示范基地: </w:t>
      </w:r>
      <w:r>
        <w:rPr>
          <w:rFonts w:hint="eastAsia" w:ascii="仿宋_GB2312" w:hAnsi="宋体" w:eastAsia="仿宋_GB2312"/>
          <w:sz w:val="28"/>
          <w:szCs w:val="28"/>
        </w:rPr>
        <w:t>大众创业万众创新示范基地。</w:t>
      </w:r>
    </w:p>
    <w:p>
      <w:pPr>
        <w:autoSpaceDE w:val="0"/>
        <w:autoSpaceDN w:val="0"/>
        <w:spacing w:line="440" w:lineRule="exact"/>
        <w:ind w:firstLine="562" w:firstLineChars="200"/>
        <w:rPr>
          <w:rFonts w:hint="eastAsia" w:ascii="仿宋_GB2312" w:hAnsi="宋体" w:eastAsia="仿宋_GB2312"/>
          <w:b/>
          <w:sz w:val="28"/>
          <w:szCs w:val="28"/>
        </w:rPr>
      </w:pPr>
      <w:r>
        <w:rPr>
          <w:rFonts w:hint="eastAsia" w:ascii="仿宋_GB2312" w:hAnsi="宋体" w:eastAsia="仿宋_GB2312"/>
          <w:b/>
          <w:sz w:val="28"/>
          <w:szCs w:val="28"/>
        </w:rPr>
        <w:t>6.二品一标：</w:t>
      </w:r>
      <w:r>
        <w:rPr>
          <w:rFonts w:hint="eastAsia" w:ascii="仿宋_GB2312" w:hAnsi="宋体" w:eastAsia="仿宋_GB2312"/>
          <w:sz w:val="28"/>
          <w:szCs w:val="28"/>
        </w:rPr>
        <w:t>绿色食品、有机农产品和农产品地理标志。</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7.“五警”：</w:t>
      </w:r>
      <w:r>
        <w:rPr>
          <w:rFonts w:hint="eastAsia" w:ascii="仿宋_GB2312" w:hAnsi="宋体" w:eastAsia="仿宋_GB2312"/>
          <w:sz w:val="28"/>
          <w:szCs w:val="28"/>
        </w:rPr>
        <w:t>政治</w:t>
      </w:r>
      <w:r>
        <w:rPr>
          <w:rFonts w:hint="eastAsia" w:ascii="仿宋_GB2312" w:hAnsi="宋体" w:eastAsia="仿宋_GB2312"/>
          <w:spacing w:val="-8"/>
          <w:sz w:val="28"/>
          <w:szCs w:val="28"/>
        </w:rPr>
        <w:t>建警、从严治警、街面见警、群众议警、从优待警。</w:t>
      </w:r>
    </w:p>
    <w:p>
      <w:pPr>
        <w:autoSpaceDE w:val="0"/>
        <w:autoSpaceDN w:val="0"/>
        <w:spacing w:line="440" w:lineRule="exact"/>
        <w:ind w:firstLine="562" w:firstLineChars="200"/>
        <w:rPr>
          <w:rFonts w:hint="eastAsia" w:ascii="仿宋_GB2312" w:hAnsi="宋体" w:eastAsia="仿宋_GB2312"/>
          <w:spacing w:val="-6"/>
          <w:sz w:val="28"/>
          <w:szCs w:val="28"/>
        </w:rPr>
      </w:pPr>
      <w:r>
        <w:rPr>
          <w:rFonts w:hint="eastAsia" w:ascii="仿宋_GB2312" w:hAnsi="宋体" w:eastAsia="仿宋_GB2312"/>
          <w:b/>
          <w:sz w:val="28"/>
          <w:szCs w:val="28"/>
        </w:rPr>
        <w:t>8.政法</w:t>
      </w:r>
      <w:r>
        <w:rPr>
          <w:rFonts w:hint="eastAsia" w:ascii="仿宋_GB2312" w:hAnsi="宋体" w:eastAsia="仿宋_GB2312"/>
          <w:b/>
          <w:spacing w:val="-6"/>
          <w:sz w:val="28"/>
          <w:szCs w:val="28"/>
        </w:rPr>
        <w:t>“五老”：</w:t>
      </w:r>
      <w:r>
        <w:rPr>
          <w:rFonts w:hint="eastAsia" w:ascii="仿宋_GB2312" w:hAnsi="宋体" w:eastAsia="仿宋_GB2312"/>
          <w:spacing w:val="-6"/>
          <w:sz w:val="28"/>
          <w:szCs w:val="28"/>
        </w:rPr>
        <w:t>老警官、老检察官、老法官、老司法行政人员、老律师。</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9.快反“135”：</w:t>
      </w:r>
      <w:r>
        <w:rPr>
          <w:rFonts w:hint="eastAsia" w:ascii="仿宋_GB2312" w:hAnsi="宋体" w:eastAsia="仿宋_GB2312"/>
          <w:sz w:val="28"/>
          <w:szCs w:val="28"/>
        </w:rPr>
        <w:t>做优一个“三纵三横、纵向到底、横向到边”的警务快反体系，做强情报基础、指挥体系、遂行体系三个层面，创新落实人防、物防、技防、智防、制防“五大防控”措施。</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10.“六大行动”：</w:t>
      </w:r>
      <w:r>
        <w:rPr>
          <w:rFonts w:hint="eastAsia" w:ascii="仿宋_GB2312" w:hAnsi="宋体" w:eastAsia="仿宋_GB2312"/>
          <w:sz w:val="28"/>
          <w:szCs w:val="28"/>
        </w:rPr>
        <w:t>旅游开发行动、工业增效行动、城镇提质行动、乡村振兴行动、民生改善行动、环境优化行动。</w:t>
      </w:r>
    </w:p>
    <w:p>
      <w:pPr>
        <w:autoSpaceDE w:val="0"/>
        <w:autoSpaceDN w:val="0"/>
        <w:spacing w:line="440" w:lineRule="exact"/>
        <w:ind w:firstLine="560" w:firstLineChars="200"/>
        <w:rPr>
          <w:rFonts w:hint="eastAsia" w:ascii="仿宋_GB2312" w:hAnsi="宋体" w:eastAsia="仿宋_GB2312"/>
          <w:sz w:val="28"/>
          <w:szCs w:val="28"/>
        </w:rPr>
      </w:pPr>
      <w:r>
        <w:rPr>
          <w:rFonts w:hint="eastAsia" w:ascii="仿宋_GB2312" w:eastAsia="仿宋_GB2312"/>
          <w:sz w:val="28"/>
          <w:szCs w:val="28"/>
        </w:rPr>
        <w:pict>
          <v:shape id="_x0000_s2074" o:spid="_x0000_s2074" o:spt="202" type="#_x0000_t202" style="position:absolute;left:0pt;margin-left:-11.3pt;margin-top:-50.15pt;height:28.5pt;width:465.5pt;z-index:251657216;mso-width-relative:page;mso-height-relative:page;" stroked="f" coordsize="21600,21600" o:gfxdata="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CeZP8NUAAAAJAQAADwAA&#10;AAAAAAABACAAAAA4AAAAZHJzL2Rvd25yZXYueG1sUEsBAhQAFAAAAAgAh07iQIO135M8AgAAUQQA&#10;AA4AAAAAAAAAAQAgAAAAOgEAAGRycy9lMm9Eb2MueG1sUEsFBgAAAAAGAAYAWQEAAOgFAAAAAA==&#10;">
            <v:path/>
            <v:fill focussize="0,0"/>
            <v:stroke on="f" weight="0.5pt" joinstyle="miter"/>
            <v:imagedata o:title=""/>
            <o:lock v:ext="edit"/>
            <v:textbox>
              <w:txbxContent>
                <w:p>
                  <w:pPr>
                    <w:rPr>
                      <w:u w:val="single"/>
                    </w:rPr>
                  </w:pPr>
                  <w:r>
                    <w:rPr>
                      <w:u w:val="single"/>
                    </w:rPr>
                    <w:t xml:space="preserve">重要政务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宋体" w:eastAsia="仿宋_GB2312"/>
          <w:b/>
          <w:sz w:val="28"/>
          <w:szCs w:val="28"/>
        </w:rPr>
        <w:t>11.“1147”旅游发展思路：</w:t>
      </w:r>
      <w:r>
        <w:rPr>
          <w:rFonts w:hint="eastAsia" w:ascii="仿宋_GB2312" w:hAnsi="宋体" w:eastAsia="仿宋_GB2312"/>
          <w:sz w:val="28"/>
          <w:szCs w:val="28"/>
        </w:rPr>
        <w:t>突出县城板块这一个核心、阳明山景区这一个龙头，抓好桐子坳、花千谷、国际慢城、云台山四个支点，辅以七个乡镇打造省星级乡村旅游区（点），带动全域旅游发展。</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12.“七来”：</w:t>
      </w:r>
      <w:r>
        <w:rPr>
          <w:rFonts w:hint="eastAsia" w:ascii="仿宋_GB2312" w:hAnsi="宋体" w:eastAsia="仿宋_GB2312"/>
          <w:sz w:val="28"/>
          <w:szCs w:val="28"/>
        </w:rPr>
        <w:t>游客进得来、旅客住下来、文物保下来、文艺演起来、政策惠起来、品牌响起来、景区联起来。</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13.旅游公共服务体系“五个一”建设：</w:t>
      </w:r>
      <w:r>
        <w:rPr>
          <w:rFonts w:hint="eastAsia" w:ascii="仿宋_GB2312" w:hAnsi="宋体" w:eastAsia="仿宋_GB2312"/>
          <w:sz w:val="28"/>
          <w:szCs w:val="28"/>
        </w:rPr>
        <w:t>一部手机游双牌、一套资料宣双牌、一条线路游双牌、一张门票串双牌、一个抖音推双牌。</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14.“五好”园区：</w:t>
      </w:r>
      <w:r>
        <w:rPr>
          <w:rFonts w:hint="eastAsia" w:ascii="仿宋_GB2312" w:hAnsi="宋体" w:eastAsia="仿宋_GB2312"/>
          <w:sz w:val="28"/>
          <w:szCs w:val="28"/>
        </w:rPr>
        <w:t>规划定位好、创新平台好、产业项目好、体制机制好、发展形象好。</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15.“一件事一次办”：</w:t>
      </w:r>
      <w:r>
        <w:rPr>
          <w:rFonts w:hint="eastAsia" w:ascii="仿宋_GB2312" w:hAnsi="宋体" w:eastAsia="仿宋_GB2312"/>
          <w:sz w:val="28"/>
          <w:szCs w:val="28"/>
        </w:rPr>
        <w:t>“一件事”是指企业、群众需办理的一个事项，既可以是单独的“一件事情”，也可以是需到多个部门办理或多件相关的“事”“一揽子事”，经过梳理整合、流程再造后，变成企业、群众眼中或窗口统一办理的“一件事”；“一次办”是指一次告知、一次表单、一次联办、一次办好，线上一次登录、一网通办，线下只进一扇门、最多跑一次。</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16.“两次四分”：</w:t>
      </w:r>
      <w:r>
        <w:rPr>
          <w:rFonts w:hint="eastAsia" w:ascii="仿宋_GB2312" w:hAnsi="宋体" w:eastAsia="仿宋_GB2312"/>
          <w:sz w:val="28"/>
          <w:szCs w:val="28"/>
        </w:rPr>
        <w:t>农户把垃圾按“会烂”和“不会烂”进行分类，将“不会烂”的垃圾再按照“好卖”“不好卖”的标准进行二次分类。</w:t>
      </w:r>
    </w:p>
    <w:p>
      <w:pPr>
        <w:autoSpaceDE w:val="0"/>
        <w:autoSpaceDN w:val="0"/>
        <w:spacing w:line="440" w:lineRule="exact"/>
        <w:ind w:firstLine="562" w:firstLineChars="200"/>
        <w:rPr>
          <w:rFonts w:hint="eastAsia" w:ascii="仿宋_GB2312" w:hAnsi="宋体" w:eastAsia="仿宋_GB2312"/>
          <w:spacing w:val="-6"/>
          <w:sz w:val="28"/>
          <w:szCs w:val="28"/>
        </w:rPr>
      </w:pPr>
      <w:r>
        <w:rPr>
          <w:rFonts w:hint="eastAsia" w:ascii="仿宋_GB2312" w:hAnsi="宋体" w:eastAsia="仿宋_GB2312"/>
          <w:b/>
          <w:sz w:val="28"/>
          <w:szCs w:val="28"/>
        </w:rPr>
        <w:t>17.“一约四制”：</w:t>
      </w:r>
      <w:r>
        <w:rPr>
          <w:rFonts w:hint="eastAsia" w:ascii="仿宋_GB2312" w:hAnsi="宋体" w:eastAsia="仿宋_GB2312"/>
          <w:sz w:val="28"/>
          <w:szCs w:val="28"/>
        </w:rPr>
        <w:t>“一约”即村规民约；“四制”即门前三包制</w:t>
      </w:r>
      <w:r>
        <w:rPr>
          <w:rFonts w:hint="eastAsia" w:ascii="仿宋_GB2312" w:hAnsi="宋体" w:eastAsia="仿宋_GB2312"/>
          <w:spacing w:val="-6"/>
          <w:sz w:val="28"/>
          <w:szCs w:val="28"/>
        </w:rPr>
        <w:t>度、公共区域保洁制度、卫生户（文明户）评比制度和农村卫生缴费制度。</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18.“一廊一带一片”：</w:t>
      </w:r>
      <w:r>
        <w:rPr>
          <w:rFonts w:hint="eastAsia" w:ascii="仿宋_GB2312" w:hAnsi="宋体" w:eastAsia="仿宋_GB2312"/>
          <w:sz w:val="28"/>
          <w:szCs w:val="28"/>
        </w:rPr>
        <w:t>抓好永连公路沿线“一廊”、207国道沿线“一带”、国际慢城和永岚现代农业产业园“片区”所在村庄的人居环境整治。</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19.</w:t>
      </w:r>
      <w:r>
        <w:rPr>
          <w:rFonts w:hint="eastAsia" w:ascii="仿宋_GB2312" w:hAnsi="宋体" w:eastAsia="仿宋_GB2312"/>
          <w:b/>
          <w:spacing w:val="-6"/>
          <w:sz w:val="28"/>
          <w:szCs w:val="28"/>
        </w:rPr>
        <w:t>“五线”：</w:t>
      </w:r>
      <w:r>
        <w:rPr>
          <w:rFonts w:hint="eastAsia" w:ascii="仿宋_GB2312" w:hAnsi="宋体" w:eastAsia="仿宋_GB2312"/>
          <w:spacing w:val="-6"/>
          <w:sz w:val="28"/>
          <w:szCs w:val="28"/>
        </w:rPr>
        <w:t>电线、电信、联通、移动通信线和闭路电视线。</w:t>
      </w:r>
    </w:p>
    <w:p>
      <w:pPr>
        <w:autoSpaceDE w:val="0"/>
        <w:autoSpaceDN w:val="0"/>
        <w:spacing w:line="440" w:lineRule="exact"/>
        <w:ind w:firstLine="562" w:firstLineChars="200"/>
        <w:rPr>
          <w:rFonts w:hint="eastAsia" w:ascii="仿宋_GB2312" w:hAnsi="宋体" w:eastAsia="仿宋_GB2312"/>
          <w:spacing w:val="-10"/>
          <w:sz w:val="28"/>
          <w:szCs w:val="28"/>
        </w:rPr>
      </w:pPr>
      <w:r>
        <w:rPr>
          <w:rFonts w:hint="eastAsia" w:ascii="仿宋_GB2312" w:hAnsi="宋体" w:eastAsia="仿宋_GB2312"/>
          <w:b/>
          <w:sz w:val="28"/>
          <w:szCs w:val="28"/>
        </w:rPr>
        <w:t>20.“十乱”：</w:t>
      </w:r>
      <w:r>
        <w:rPr>
          <w:rFonts w:hint="eastAsia" w:ascii="仿宋_GB2312" w:hAnsi="宋体" w:eastAsia="仿宋_GB2312"/>
          <w:spacing w:val="-10"/>
          <w:sz w:val="28"/>
          <w:szCs w:val="28"/>
        </w:rPr>
        <w:t>乱贴乱画、乱泼乱倒、乱拉乱挂、乱搭乱建、乱停乱放。</w:t>
      </w:r>
    </w:p>
    <w:p>
      <w:pPr>
        <w:autoSpaceDE w:val="0"/>
        <w:autoSpaceDN w:val="0"/>
        <w:spacing w:line="440" w:lineRule="exact"/>
        <w:ind w:firstLine="562" w:firstLineChars="200"/>
        <w:rPr>
          <w:rFonts w:hint="eastAsia" w:ascii="仿宋_GB2312" w:hAnsi="宋体" w:eastAsia="仿宋_GB2312"/>
          <w:sz w:val="28"/>
          <w:szCs w:val="28"/>
        </w:rPr>
      </w:pPr>
      <w:r>
        <w:rPr>
          <w:rFonts w:hint="eastAsia" w:ascii="仿宋_GB2312" w:hAnsi="宋体" w:eastAsia="仿宋_GB2312"/>
          <w:b/>
          <w:sz w:val="28"/>
          <w:szCs w:val="28"/>
        </w:rPr>
        <w:t>21.DIP医保支付方式改革：</w:t>
      </w:r>
      <w:r>
        <w:rPr>
          <w:rFonts w:hint="eastAsia" w:ascii="仿宋_GB2312" w:hAnsi="宋体" w:eastAsia="仿宋_GB2312"/>
          <w:sz w:val="28"/>
          <w:szCs w:val="28"/>
        </w:rPr>
        <w:t>按病种分值付费，利用大数据将疾病按照“疾病诊断+治疗方式”组合作为付费单位，医保部门根据每年应支付的医保基金总额确定每个病种的付费标准。</w:t>
      </w:r>
    </w:p>
    <w:p>
      <w:pPr>
        <w:pStyle w:val="2"/>
        <w:ind w:firstLine="280"/>
        <w:rPr>
          <w:rFonts w:hint="eastAsia" w:ascii="仿宋_GB2312" w:eastAsia="仿宋_GB2312"/>
          <w:sz w:val="28"/>
          <w:szCs w:val="28"/>
        </w:rPr>
      </w:pPr>
    </w:p>
    <w:p>
      <w:pPr>
        <w:pStyle w:val="2"/>
        <w:ind w:firstLine="280"/>
        <w:rPr>
          <w:rFonts w:hint="eastAsia" w:ascii="仿宋_GB2312" w:eastAsia="仿宋_GB2312" w:cs="Times New Roman"/>
          <w:sz w:val="28"/>
          <w:szCs w:val="28"/>
        </w:rPr>
      </w:pPr>
    </w:p>
    <w:p>
      <w:pPr>
        <w:rPr>
          <w:rFonts w:cs="Times New Roman"/>
        </w:rPr>
      </w:pPr>
    </w:p>
    <w:p>
      <w:pPr>
        <w:pStyle w:val="2"/>
        <w:spacing w:after="0" w:line="400" w:lineRule="exact"/>
        <w:ind w:firstLine="210"/>
        <w:jc w:val="center"/>
        <w:rPr>
          <w:rFonts w:hint="eastAsia" w:ascii="方正大标宋_GBK" w:hAnsi="黑体" w:eastAsia="方正大标宋_GBK"/>
          <w:sz w:val="40"/>
          <w:szCs w:val="40"/>
        </w:rPr>
      </w:pPr>
      <w:r>
        <w:pict>
          <v:shape id="_x0000_s2073" o:spid="_x0000_s2073" o:spt="202" type="#_x0000_t202" style="position:absolute;left:0pt;margin-left:-11.3pt;margin-top:-46.4pt;height:32.25pt;width:464.75pt;z-index:251658240;mso-width-relative:page;mso-height-relative:page;" stroked="f" coordsize="21600,21600" o:gfxdata="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d7APS1gAAAAoBAAAPAAAA&#10;AAAAAAEAIAAAADgAAABkcnMvZG93bnJldi54bWxQSwECFAAUAAAACACHTuJAGmzC3j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县人民政府文件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p>
    <w:p>
      <w:pPr>
        <w:pStyle w:val="2"/>
        <w:spacing w:after="0" w:line="600" w:lineRule="exact"/>
        <w:ind w:firstLine="400"/>
        <w:jc w:val="center"/>
        <w:rPr>
          <w:rFonts w:ascii="方正大标宋_GBK" w:hAnsi="黑体" w:eastAsia="方正大标宋_GBK"/>
          <w:sz w:val="40"/>
          <w:szCs w:val="40"/>
        </w:rPr>
      </w:pPr>
      <w:r>
        <w:rPr>
          <w:rFonts w:hint="eastAsia" w:ascii="方正大标宋_GBK" w:hAnsi="黑体" w:eastAsia="方正大标宋_GBK"/>
          <w:sz w:val="40"/>
          <w:szCs w:val="40"/>
        </w:rPr>
        <w:t>双牌县人民政府</w:t>
      </w:r>
    </w:p>
    <w:p>
      <w:pPr>
        <w:spacing w:line="600" w:lineRule="exact"/>
        <w:jc w:val="center"/>
        <w:rPr>
          <w:rFonts w:ascii="方正大标宋_GBK" w:hAnsi="黑体" w:eastAsia="方正大标宋_GBK"/>
          <w:sz w:val="40"/>
          <w:szCs w:val="40"/>
        </w:rPr>
      </w:pPr>
      <w:r>
        <w:rPr>
          <w:rFonts w:hint="eastAsia" w:ascii="方正大标宋_GBK" w:hAnsi="黑体" w:eastAsia="方正大标宋_GBK"/>
          <w:sz w:val="40"/>
          <w:szCs w:val="40"/>
        </w:rPr>
        <w:t>关于公布双牌县第一批历史建筑保护单位的</w:t>
      </w:r>
    </w:p>
    <w:p>
      <w:pPr>
        <w:spacing w:line="600" w:lineRule="exact"/>
        <w:jc w:val="center"/>
        <w:rPr>
          <w:rFonts w:ascii="方正大标宋_GBK" w:hAnsi="黑体" w:eastAsia="方正大标宋_GBK"/>
          <w:sz w:val="40"/>
          <w:szCs w:val="40"/>
        </w:rPr>
      </w:pPr>
      <w:r>
        <w:rPr>
          <w:rFonts w:hint="eastAsia" w:ascii="方正大标宋_GBK" w:hAnsi="黑体" w:eastAsia="方正大标宋_GBK"/>
          <w:sz w:val="40"/>
          <w:szCs w:val="40"/>
        </w:rPr>
        <w:t>通       知</w:t>
      </w:r>
    </w:p>
    <w:p>
      <w:pPr>
        <w:pStyle w:val="2"/>
        <w:ind w:firstLine="320"/>
        <w:jc w:val="center"/>
      </w:pPr>
      <w:r>
        <w:rPr>
          <w:rFonts w:hint="eastAsia" w:ascii="仿宋_GB2312" w:eastAsia="仿宋_GB2312"/>
          <w:sz w:val="32"/>
          <w:szCs w:val="32"/>
        </w:rPr>
        <w:t>双政发〔</w:t>
      </w:r>
      <w:r>
        <w:rPr>
          <w:rFonts w:ascii="仿宋_GB2312" w:eastAsia="仿宋_GB2312"/>
          <w:sz w:val="32"/>
          <w:szCs w:val="32"/>
        </w:rPr>
        <w:t>20</w:t>
      </w:r>
      <w:r>
        <w:rPr>
          <w:rFonts w:hint="eastAsia" w:ascii="仿宋_GB2312" w:eastAsia="仿宋_GB2312"/>
          <w:sz w:val="32"/>
          <w:szCs w:val="32"/>
        </w:rPr>
        <w:t>22〕1号</w:t>
      </w:r>
    </w:p>
    <w:p>
      <w:pPr>
        <w:pStyle w:val="2"/>
        <w:ind w:firstLine="210"/>
      </w:pPr>
    </w:p>
    <w:p>
      <w:pPr>
        <w:spacing w:line="600" w:lineRule="exact"/>
        <w:rPr>
          <w:rFonts w:ascii="仿宋_GB2312" w:eastAsia="仿宋_GB2312"/>
          <w:sz w:val="32"/>
          <w:szCs w:val="32"/>
        </w:rPr>
        <w:sectPr>
          <w:type w:val="continuous"/>
          <w:pgSz w:w="11906" w:h="16838"/>
          <w:pgMar w:top="1588" w:right="1701" w:bottom="1474" w:left="1701" w:header="851" w:footer="992" w:gutter="0"/>
          <w:cols w:space="720" w:num="1"/>
          <w:docGrid w:type="lines" w:linePitch="312" w:charSpace="0"/>
        </w:sectPr>
      </w:pPr>
    </w:p>
    <w:p>
      <w:pPr>
        <w:spacing w:line="600" w:lineRule="exact"/>
        <w:rPr>
          <w:rFonts w:ascii="仿宋_GB2312" w:eastAsia="仿宋_GB2312"/>
          <w:sz w:val="32"/>
          <w:szCs w:val="32"/>
        </w:rPr>
      </w:pPr>
      <w:r>
        <w:rPr>
          <w:rFonts w:hint="eastAsia" w:ascii="仿宋_GB2312" w:eastAsia="仿宋_GB2312"/>
          <w:sz w:val="32"/>
          <w:szCs w:val="32"/>
        </w:rPr>
        <w:t>各乡镇人民政府，阳明山管理局，县直各单位:</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为贯彻落实《住房和城乡建设部办公厅关于进一步加强历史文化街区和历史建筑保护工作的通知》(建办科〔2021〕2号)精神和省、市有关工作部署，进一步加强我县历史建筑保护管理，更好地传承历史文化，保留历史文化记忆，彰显地域特色，经过严格排查和筛选，经县人民政府研究决定，确定泷泊镇、五里牌镇、江村镇、理家坪乡四个乡镇共11处建筑为双牌县第一批历史建筑，现予以公布(详见附件)，各乡镇和县直部门要充分认识保护历史文化街区和历史建筑的重要性和紧迫性，严格按照历史建筑有关要求进行保护和管理，保证历史文脉的延续。</w:t>
      </w:r>
    </w:p>
    <w:p>
      <w:pPr>
        <w:spacing w:line="600" w:lineRule="exact"/>
        <w:ind w:firstLine="640" w:firstLineChars="200"/>
        <w:rPr>
          <w:rFonts w:ascii="仿宋_GB2312" w:eastAsia="仿宋_GB2312"/>
          <w:sz w:val="32"/>
          <w:szCs w:val="32"/>
        </w:rPr>
        <w:sectPr>
          <w:type w:val="continuous"/>
          <w:pgSz w:w="11906" w:h="16838"/>
          <w:pgMar w:top="1588" w:right="1701" w:bottom="1474" w:left="1701" w:header="851" w:footer="992" w:gutter="0"/>
          <w:pgNumType w:fmt="numberInDash"/>
          <w:cols w:equalWidth="0" w:num="2">
            <w:col w:w="4039" w:space="425"/>
            <w:col w:w="4039"/>
          </w:cols>
          <w:docGrid w:type="lines" w:linePitch="312" w:charSpace="0"/>
        </w:sectPr>
      </w:pPr>
    </w:p>
    <w:p>
      <w:pPr>
        <w:pStyle w:val="2"/>
        <w:ind w:firstLine="210"/>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附件:双牌县第一批历史建筑保护单位名单</w:t>
      </w:r>
    </w:p>
    <w:p>
      <w:pPr>
        <w:spacing w:line="600" w:lineRule="exact"/>
        <w:jc w:val="right"/>
        <w:rPr>
          <w:rFonts w:ascii="仿宋_GB2312" w:eastAsia="仿宋_GB2312"/>
          <w:sz w:val="32"/>
          <w:szCs w:val="32"/>
        </w:rPr>
      </w:pPr>
    </w:p>
    <w:p>
      <w:pPr>
        <w:spacing w:line="600" w:lineRule="exact"/>
        <w:ind w:right="480"/>
        <w:jc w:val="right"/>
        <w:rPr>
          <w:rFonts w:ascii="仿宋_GB2312" w:eastAsia="仿宋_GB2312"/>
          <w:sz w:val="32"/>
          <w:szCs w:val="32"/>
        </w:rPr>
      </w:pPr>
      <w:r>
        <w:rPr>
          <w:rFonts w:hint="eastAsia" w:ascii="仿宋_GB2312" w:eastAsia="仿宋_GB2312"/>
          <w:sz w:val="32"/>
          <w:szCs w:val="32"/>
        </w:rPr>
        <w:t>双牌县人民政府</w:t>
      </w:r>
    </w:p>
    <w:p>
      <w:pPr>
        <w:spacing w:line="600" w:lineRule="exact"/>
        <w:ind w:right="480"/>
        <w:jc w:val="right"/>
        <w:rPr>
          <w:rFonts w:ascii="仿宋_GB2312" w:eastAsia="仿宋_GB2312"/>
          <w:sz w:val="32"/>
          <w:szCs w:val="32"/>
        </w:rPr>
      </w:pPr>
      <w:r>
        <w:rPr>
          <w:rFonts w:hint="eastAsia" w:ascii="仿宋_GB2312" w:eastAsia="仿宋_GB2312"/>
          <w:sz w:val="32"/>
          <w:szCs w:val="32"/>
        </w:rPr>
        <w:t>2022年2月17日</w:t>
      </w:r>
    </w:p>
    <w:p>
      <w:pPr>
        <w:jc w:val="left"/>
        <w:rPr>
          <w:rFonts w:ascii="仿宋_GB2312" w:eastAsia="仿宋_GB2312"/>
          <w:sz w:val="32"/>
          <w:szCs w:val="32"/>
        </w:rPr>
      </w:pPr>
    </w:p>
    <w:p>
      <w:pPr>
        <w:jc w:val="left"/>
        <w:rPr>
          <w:rFonts w:ascii="仿宋_GB2312" w:eastAsia="仿宋_GB2312"/>
          <w:b/>
          <w:sz w:val="32"/>
          <w:szCs w:val="32"/>
        </w:rPr>
      </w:pPr>
      <w:r>
        <w:pict>
          <v:shape id="_x0000_s2072" o:spid="_x0000_s2072" o:spt="202" type="#_x0000_t202" style="position:absolute;left:0pt;margin-left:-14.3pt;margin-top:-40.85pt;height:29.2pt;width:449.75pt;z-index:251659264;mso-width-relative:page;mso-height-relative:page;" stroked="f" coordsize="21600,21600" o:gfxdata="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AUhzJa1AAAAAcBAAAPAAAA&#10;AAAAAAEAIAAAADgAAABkcnMvZG93bnJldi54bWxQSwECFAAUAAAACACHTuJAv8cIgTwCAABRBAAA&#10;DgAAAAAAAAABACAAAAA5AQAAZHJzL2Uyb0RvYy54bWxQSwUGAAAAAAYABgBZAQAA5wUAAAAA&#10;">
            <v:path/>
            <v:fill focussize="0,0"/>
            <v:stroke on="f" weight="0.5pt" joinstyle="miter"/>
            <v:imagedata o:title=""/>
            <o:lock v:ext="edit"/>
            <v:textbox>
              <w:txbxContent>
                <w:p>
                  <w:pPr>
                    <w:rPr>
                      <w:u w:val="single"/>
                    </w:rPr>
                  </w:pPr>
                  <w:r>
                    <w:rPr>
                      <w:u w:val="single"/>
                    </w:rPr>
                    <w:t xml:space="preserve">县人民政府文件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eastAsia="仿宋_GB2312"/>
          <w:sz w:val="32"/>
          <w:szCs w:val="32"/>
        </w:rPr>
        <w:t>附件</w:t>
      </w:r>
    </w:p>
    <w:p>
      <w:pPr>
        <w:jc w:val="center"/>
        <w:rPr>
          <w:rFonts w:ascii="方正大标宋_GBK" w:eastAsia="方正大标宋_GBK"/>
          <w:sz w:val="40"/>
          <w:szCs w:val="40"/>
        </w:rPr>
      </w:pPr>
      <w:r>
        <w:rPr>
          <w:rFonts w:hint="eastAsia" w:ascii="方正大标宋_GBK" w:eastAsia="方正大标宋_GBK"/>
          <w:sz w:val="40"/>
          <w:szCs w:val="40"/>
        </w:rPr>
        <w:t>双牌县第一批历史建筑保护单位名单</w:t>
      </w:r>
    </w:p>
    <w:tbl>
      <w:tblPr>
        <w:tblStyle w:val="11"/>
        <w:tblW w:w="982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3"/>
        <w:gridCol w:w="1276"/>
        <w:gridCol w:w="2693"/>
        <w:gridCol w:w="1276"/>
        <w:gridCol w:w="1482"/>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843" w:type="dxa"/>
            <w:vAlign w:val="center"/>
          </w:tcPr>
          <w:p>
            <w:pPr>
              <w:jc w:val="center"/>
              <w:rPr>
                <w:rFonts w:asciiTheme="minorEastAsia" w:hAnsiTheme="minorEastAsia"/>
                <w:sz w:val="24"/>
              </w:rPr>
            </w:pPr>
            <w:r>
              <w:rPr>
                <w:rFonts w:hint="eastAsia" w:asciiTheme="minorEastAsia" w:hAnsiTheme="minorEastAsia"/>
                <w:sz w:val="24"/>
              </w:rPr>
              <w:t>历史建筑编号</w:t>
            </w:r>
          </w:p>
        </w:tc>
        <w:tc>
          <w:tcPr>
            <w:tcW w:w="1276" w:type="dxa"/>
            <w:vAlign w:val="center"/>
          </w:tcPr>
          <w:p>
            <w:pPr>
              <w:jc w:val="center"/>
              <w:rPr>
                <w:rFonts w:asciiTheme="minorEastAsia" w:hAnsiTheme="minorEastAsia"/>
                <w:sz w:val="24"/>
              </w:rPr>
            </w:pPr>
            <w:r>
              <w:rPr>
                <w:rFonts w:hint="eastAsia" w:asciiTheme="minorEastAsia" w:hAnsiTheme="minorEastAsia"/>
                <w:sz w:val="24"/>
              </w:rPr>
              <w:t>所在乡镇</w:t>
            </w:r>
          </w:p>
        </w:tc>
        <w:tc>
          <w:tcPr>
            <w:tcW w:w="2693" w:type="dxa"/>
            <w:vAlign w:val="center"/>
          </w:tcPr>
          <w:p>
            <w:pPr>
              <w:jc w:val="center"/>
              <w:rPr>
                <w:rFonts w:asciiTheme="minorEastAsia" w:hAnsiTheme="minorEastAsia"/>
                <w:sz w:val="24"/>
              </w:rPr>
            </w:pPr>
            <w:r>
              <w:rPr>
                <w:rFonts w:hint="eastAsia" w:asciiTheme="minorEastAsia" w:hAnsiTheme="minorEastAsia"/>
                <w:sz w:val="24"/>
              </w:rPr>
              <w:t>建筑名称</w:t>
            </w:r>
          </w:p>
        </w:tc>
        <w:tc>
          <w:tcPr>
            <w:tcW w:w="1276" w:type="dxa"/>
            <w:vAlign w:val="center"/>
          </w:tcPr>
          <w:p>
            <w:pPr>
              <w:jc w:val="center"/>
              <w:rPr>
                <w:rFonts w:asciiTheme="minorEastAsia" w:hAnsiTheme="minorEastAsia"/>
                <w:sz w:val="24"/>
              </w:rPr>
            </w:pPr>
            <w:r>
              <w:rPr>
                <w:rFonts w:hint="eastAsia" w:asciiTheme="minorEastAsia" w:hAnsiTheme="minorEastAsia"/>
                <w:sz w:val="24"/>
              </w:rPr>
              <w:t>所在位置</w:t>
            </w:r>
          </w:p>
        </w:tc>
        <w:tc>
          <w:tcPr>
            <w:tcW w:w="1482" w:type="dxa"/>
            <w:vAlign w:val="center"/>
          </w:tcPr>
          <w:p>
            <w:pPr>
              <w:jc w:val="center"/>
              <w:rPr>
                <w:rFonts w:asciiTheme="minorEastAsia" w:hAnsiTheme="minorEastAsia"/>
                <w:sz w:val="24"/>
              </w:rPr>
            </w:pPr>
            <w:r>
              <w:rPr>
                <w:rFonts w:hint="eastAsia" w:asciiTheme="minorEastAsia" w:hAnsiTheme="minorEastAsia"/>
                <w:sz w:val="24"/>
              </w:rPr>
              <w:t>建筑结构</w:t>
            </w:r>
          </w:p>
        </w:tc>
        <w:tc>
          <w:tcPr>
            <w:tcW w:w="1250" w:type="dxa"/>
            <w:vAlign w:val="center"/>
          </w:tcPr>
          <w:p>
            <w:pPr>
              <w:jc w:val="center"/>
              <w:rPr>
                <w:rFonts w:asciiTheme="minorEastAsia" w:hAnsiTheme="minorEastAsia"/>
                <w:sz w:val="24"/>
              </w:rPr>
            </w:pPr>
            <w:r>
              <w:rPr>
                <w:rFonts w:hint="eastAsia" w:asciiTheme="minorEastAsia" w:hAnsiTheme="minorEastAsia"/>
                <w:sz w:val="24"/>
              </w:rPr>
              <w:t>建筑年代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LS01-01</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sz w:val="24"/>
              </w:rPr>
              <w:t>双牌大坝</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砼结构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1963年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LS01-02</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苏联专家楼建筑群</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1953年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LS01-03</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双牌县委历史建筑群</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迎宾路</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砖木+砖混结构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1969年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LS01-04</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南岭化工厂工人俱乐部</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南岭化工厂内</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1969年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LS01-05</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泷泊镇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原零陵县第五中学旧址建筑群（现尚仁里小学）</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尚仁里村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1958年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LS01-06</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江村镇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访尧古井群</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访尧村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青石结构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明代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LS01-07</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江村镇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访尧礼堂</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访尧村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1969年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LS01-08</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理家坪镇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坦田来凤桥</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坦田村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青石结构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宋代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LS01-09</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理家坪镇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坦田礼堂</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坦田村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1962年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LS01-10</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理家坪镇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坦田何氏宗祠群</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坦田村</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砖木结构</w:t>
            </w:r>
          </w:p>
        </w:tc>
        <w:tc>
          <w:tcPr>
            <w:tcW w:w="1250" w:type="dxa"/>
            <w:vAlign w:val="center"/>
          </w:tcPr>
          <w:p>
            <w:pPr>
              <w:jc w:val="center"/>
              <w:rPr>
                <w:rFonts w:cs="仿宋" w:asciiTheme="minorEastAsia" w:hAnsiTheme="minorEastAsia"/>
                <w:sz w:val="24"/>
              </w:rPr>
            </w:pPr>
            <w:r>
              <w:rPr>
                <w:rFonts w:hint="eastAsia" w:cs="仿宋" w:asciiTheme="minorEastAsia" w:hAnsiTheme="minorEastAsia"/>
                <w:sz w:val="24"/>
              </w:rPr>
              <w:t>宋、明、清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2" w:hRule="atLeast"/>
        </w:trPr>
        <w:tc>
          <w:tcPr>
            <w:tcW w:w="1843" w:type="dxa"/>
            <w:vAlign w:val="center"/>
          </w:tcPr>
          <w:p>
            <w:pPr>
              <w:jc w:val="center"/>
              <w:rPr>
                <w:rFonts w:cs="仿宋" w:asciiTheme="minorEastAsia" w:hAnsiTheme="minorEastAsia"/>
                <w:sz w:val="24"/>
              </w:rPr>
            </w:pPr>
            <w:r>
              <w:rPr>
                <w:rFonts w:hint="eastAsia" w:cs="仿宋" w:asciiTheme="minorEastAsia" w:hAnsiTheme="minorEastAsia"/>
                <w:sz w:val="24"/>
              </w:rPr>
              <w:t>LS01-11</w:t>
            </w:r>
          </w:p>
        </w:tc>
        <w:tc>
          <w:tcPr>
            <w:tcW w:w="1276" w:type="dxa"/>
            <w:vAlign w:val="center"/>
          </w:tcPr>
          <w:p>
            <w:pPr>
              <w:jc w:val="center"/>
              <w:rPr>
                <w:rFonts w:cs="仿宋" w:asciiTheme="minorEastAsia" w:hAnsiTheme="minorEastAsia"/>
                <w:sz w:val="24"/>
              </w:rPr>
            </w:pPr>
            <w:r>
              <w:rPr>
                <w:rFonts w:hint="eastAsia" w:cs="仿宋" w:asciiTheme="minorEastAsia" w:hAnsiTheme="minorEastAsia"/>
                <w:sz w:val="24"/>
              </w:rPr>
              <w:t>五里牌镇</w:t>
            </w:r>
          </w:p>
        </w:tc>
        <w:tc>
          <w:tcPr>
            <w:tcW w:w="2693" w:type="dxa"/>
            <w:vAlign w:val="center"/>
          </w:tcPr>
          <w:p>
            <w:pPr>
              <w:jc w:val="center"/>
              <w:rPr>
                <w:rFonts w:cs="仿宋" w:asciiTheme="minorEastAsia" w:hAnsiTheme="minorEastAsia"/>
                <w:sz w:val="24"/>
              </w:rPr>
            </w:pPr>
            <w:r>
              <w:rPr>
                <w:rFonts w:hint="eastAsia" w:cs="仿宋" w:asciiTheme="minorEastAsia" w:hAnsiTheme="minorEastAsia"/>
                <w:color w:val="000000"/>
                <w:sz w:val="24"/>
              </w:rPr>
              <w:t>石田坝拱桥</w:t>
            </w:r>
          </w:p>
        </w:tc>
        <w:tc>
          <w:tcPr>
            <w:tcW w:w="1276" w:type="dxa"/>
            <w:vAlign w:val="center"/>
          </w:tcPr>
          <w:p>
            <w:pPr>
              <w:jc w:val="center"/>
              <w:rPr>
                <w:rFonts w:cs="仿宋" w:asciiTheme="minorEastAsia" w:hAnsiTheme="minorEastAsia"/>
                <w:sz w:val="24"/>
              </w:rPr>
            </w:pPr>
            <w:r>
              <w:rPr>
                <w:rStyle w:val="17"/>
                <w:rFonts w:hint="eastAsia" w:cs="仿宋" w:asciiTheme="minorEastAsia" w:hAnsiTheme="minorEastAsia"/>
                <w:lang w:eastAsia="zh-CN"/>
              </w:rPr>
              <w:t>红福田村八组</w:t>
            </w:r>
          </w:p>
        </w:tc>
        <w:tc>
          <w:tcPr>
            <w:tcW w:w="1482" w:type="dxa"/>
            <w:vAlign w:val="center"/>
          </w:tcPr>
          <w:p>
            <w:pPr>
              <w:jc w:val="center"/>
              <w:rPr>
                <w:rFonts w:cs="仿宋" w:asciiTheme="minorEastAsia" w:hAnsiTheme="minorEastAsia"/>
                <w:sz w:val="24"/>
              </w:rPr>
            </w:pPr>
            <w:r>
              <w:rPr>
                <w:rFonts w:hint="eastAsia" w:cs="仿宋" w:asciiTheme="minorEastAsia" w:hAnsiTheme="minorEastAsia"/>
                <w:sz w:val="24"/>
              </w:rPr>
              <w:t>青石结构</w:t>
            </w:r>
          </w:p>
        </w:tc>
        <w:tc>
          <w:tcPr>
            <w:tcW w:w="1250" w:type="dxa"/>
            <w:vAlign w:val="center"/>
          </w:tcPr>
          <w:p>
            <w:pPr>
              <w:jc w:val="center"/>
              <w:rPr>
                <w:rFonts w:cs="仿宋" w:asciiTheme="minorEastAsia" w:hAnsiTheme="minorEastAsia"/>
                <w:sz w:val="24"/>
              </w:rPr>
            </w:pPr>
            <w:r>
              <w:rPr>
                <w:rStyle w:val="17"/>
                <w:rFonts w:hint="eastAsia" w:cs="仿宋" w:asciiTheme="minorEastAsia" w:hAnsiTheme="minorEastAsia"/>
                <w:lang w:eastAsia="zh-CN"/>
              </w:rPr>
              <w:t>1821年</w:t>
            </w:r>
          </w:p>
        </w:tc>
      </w:tr>
    </w:tbl>
    <w:p>
      <w:pPr>
        <w:jc w:val="left"/>
        <w:rPr>
          <w:sz w:val="32"/>
          <w:szCs w:val="32"/>
        </w:rPr>
      </w:pPr>
    </w:p>
    <w:p>
      <w:pPr>
        <w:pStyle w:val="2"/>
        <w:ind w:firstLine="210"/>
      </w:pPr>
    </w:p>
    <w:p/>
    <w:p>
      <w:pPr>
        <w:pStyle w:val="2"/>
        <w:ind w:firstLine="210"/>
      </w:pPr>
    </w:p>
    <w:p/>
    <w:p>
      <w:pPr>
        <w:pStyle w:val="2"/>
        <w:ind w:firstLine="210"/>
      </w:pPr>
    </w:p>
    <w:p/>
    <w:p>
      <w:pPr>
        <w:pStyle w:val="2"/>
        <w:ind w:firstLine="210"/>
      </w:pPr>
    </w:p>
    <w:p/>
    <w:p>
      <w:pPr>
        <w:pStyle w:val="2"/>
        <w:ind w:firstLine="210"/>
      </w:pPr>
    </w:p>
    <w:p/>
    <w:p>
      <w:pPr>
        <w:pStyle w:val="2"/>
        <w:ind w:firstLine="210"/>
      </w:pPr>
    </w:p>
    <w:p>
      <w:pPr>
        <w:tabs>
          <w:tab w:val="left" w:pos="2197"/>
        </w:tabs>
        <w:spacing w:line="240" w:lineRule="exact"/>
        <w:rPr>
          <w:rFonts w:ascii="仿宋_GB2312" w:hAnsi="方正大标宋简体"/>
          <w:snapToGrid w:val="0"/>
          <w:szCs w:val="32"/>
        </w:rPr>
      </w:pPr>
      <w:r>
        <w:pict>
          <v:shape id="_x0000_s2071" o:spid="_x0000_s2071" o:spt="202" type="#_x0000_t202" style="position:absolute;left:0pt;margin-left:-9.8pt;margin-top:-44.9pt;height:31.2pt;width:452pt;z-index:251660288;mso-width-relative:page;mso-height-relative:page;" stroked="f" coordsize="21600,21600" o:gfxdata="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FIcyWtQAAAAHAQAADwAA&#10;AAAAAAABACAAAAA4AAAAZHJzL2Rvd25yZXYueG1sUEsBAhQAFAAAAAgAh07iQOn2DNU9AgAAUQQA&#10;AA4AAAAAAAAAAQAgAAAAOQ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ascii="仿宋_GB2312" w:hAnsi="方正大标宋简体"/>
          <w:snapToGrid w:val="0"/>
          <w:szCs w:val="32"/>
        </w:rPr>
        <w:tab/>
      </w:r>
    </w:p>
    <w:p>
      <w:pPr>
        <w:spacing w:line="560" w:lineRule="exact"/>
        <w:jc w:val="center"/>
        <w:rPr>
          <w:rFonts w:ascii="方正大标宋_GBK" w:hAnsi="黑体" w:eastAsia="方正大标宋_GBK" w:cs="方正小标宋简体"/>
          <w:sz w:val="40"/>
          <w:szCs w:val="40"/>
        </w:rPr>
      </w:pPr>
      <w:r>
        <w:rPr>
          <w:rFonts w:hint="eastAsia" w:ascii="方正大标宋_GBK" w:hAnsi="黑体" w:eastAsia="方正大标宋_GBK" w:cs="方正小标宋简体"/>
          <w:sz w:val="40"/>
          <w:szCs w:val="40"/>
        </w:rPr>
        <w:t>双牌县人民政府办公室</w:t>
      </w:r>
    </w:p>
    <w:p>
      <w:pPr>
        <w:pStyle w:val="9"/>
        <w:widowControl/>
        <w:shd w:val="clear" w:color="auto" w:fill="FFFFFF"/>
        <w:spacing w:before="0" w:beforeAutospacing="0" w:after="0" w:afterAutospacing="0" w:line="560" w:lineRule="exact"/>
        <w:jc w:val="center"/>
        <w:rPr>
          <w:rFonts w:ascii="方正大标宋_GBK" w:hAnsi="宋体" w:eastAsia="方正大标宋_GBK" w:cs="宋体"/>
          <w:color w:val="000000"/>
          <w:sz w:val="40"/>
          <w:szCs w:val="40"/>
          <w:shd w:val="clear" w:color="auto" w:fill="FFFFFF"/>
        </w:rPr>
      </w:pPr>
      <w:r>
        <w:rPr>
          <w:rFonts w:hint="eastAsia" w:ascii="方正大标宋_GBK" w:hAnsi="黑体" w:eastAsia="方正大标宋_GBK" w:cs="方正小标宋简体"/>
          <w:sz w:val="40"/>
          <w:szCs w:val="40"/>
        </w:rPr>
        <w:t>关于印发《</w:t>
      </w:r>
      <w:r>
        <w:rPr>
          <w:rFonts w:hint="eastAsia" w:ascii="方正大标宋_GBK" w:hAnsi="宋体" w:eastAsia="方正大标宋_GBK" w:cs="宋体"/>
          <w:color w:val="000000"/>
          <w:sz w:val="40"/>
          <w:szCs w:val="40"/>
          <w:shd w:val="clear" w:color="auto" w:fill="FFFFFF"/>
        </w:rPr>
        <w:t>双牌县全民科学素质行动规划纲要</w:t>
      </w:r>
    </w:p>
    <w:p>
      <w:pPr>
        <w:pStyle w:val="9"/>
        <w:widowControl/>
        <w:shd w:val="clear" w:color="auto" w:fill="FFFFFF"/>
        <w:spacing w:before="0" w:beforeAutospacing="0" w:after="0" w:afterAutospacing="0" w:line="560" w:lineRule="exact"/>
        <w:jc w:val="center"/>
        <w:rPr>
          <w:rFonts w:ascii="方正大标宋_GBK" w:hAnsi="黑体" w:eastAsia="方正大标宋_GBK" w:cs="方正小标宋简体"/>
          <w:sz w:val="40"/>
          <w:szCs w:val="40"/>
        </w:rPr>
      </w:pPr>
      <w:r>
        <w:rPr>
          <w:rFonts w:hint="eastAsia" w:ascii="方正大标宋_GBK" w:hAnsi="宋体" w:eastAsia="方正大标宋_GBK" w:cs="宋体"/>
          <w:color w:val="000000"/>
          <w:sz w:val="40"/>
          <w:szCs w:val="40"/>
          <w:shd w:val="clear" w:color="auto" w:fill="FFFFFF"/>
        </w:rPr>
        <w:t>实施计划（2021-2025年）</w:t>
      </w:r>
      <w:r>
        <w:rPr>
          <w:rFonts w:hint="eastAsia" w:ascii="方正大标宋_GBK" w:hAnsi="黑体" w:eastAsia="方正大标宋_GBK" w:cs="方正小标宋简体"/>
          <w:sz w:val="40"/>
          <w:szCs w:val="40"/>
        </w:rPr>
        <w:t>》的通知</w:t>
      </w:r>
    </w:p>
    <w:p>
      <w:pPr>
        <w:pStyle w:val="9"/>
        <w:widowControl/>
        <w:shd w:val="clear" w:color="auto" w:fill="FFFFFF"/>
        <w:spacing w:before="0" w:beforeAutospacing="0" w:after="0" w:afterAutospacing="0" w:line="560" w:lineRule="exact"/>
        <w:jc w:val="center"/>
        <w:rPr>
          <w:rFonts w:ascii="仿宋_GB2312" w:eastAsia="仿宋_GB2312"/>
          <w:snapToGrid w:val="0"/>
          <w:position w:val="4"/>
          <w:sz w:val="32"/>
          <w:szCs w:val="32"/>
        </w:rPr>
      </w:pPr>
      <w:r>
        <w:rPr>
          <w:rFonts w:hint="eastAsia" w:ascii="仿宋_GB2312" w:eastAsia="仿宋_GB2312"/>
          <w:snapToGrid w:val="0"/>
          <w:position w:val="4"/>
          <w:sz w:val="32"/>
          <w:szCs w:val="32"/>
        </w:rPr>
        <w:t>双政办发〔2022〕1号</w:t>
      </w:r>
    </w:p>
    <w:p>
      <w:pPr>
        <w:jc w:val="center"/>
        <w:rPr>
          <w:rFonts w:ascii="黑体" w:hAnsi="黑体" w:eastAsia="黑体"/>
          <w:sz w:val="32"/>
          <w:szCs w:val="32"/>
        </w:rPr>
      </w:pPr>
      <w:r>
        <w:rPr>
          <w:rFonts w:hint="eastAsia" w:ascii="黑体" w:hAnsi="黑体" w:eastAsia="黑体"/>
          <w:sz w:val="32"/>
          <w:szCs w:val="32"/>
        </w:rPr>
        <w:t>SPDR-2022-01001</w:t>
      </w:r>
    </w:p>
    <w:p>
      <w:pPr>
        <w:spacing w:line="360" w:lineRule="exact"/>
        <w:rPr>
          <w:rFonts w:ascii="??_GB2312" w:eastAsia="Times New Roman"/>
          <w:sz w:val="44"/>
          <w:szCs w:val="44"/>
        </w:rPr>
      </w:pPr>
    </w:p>
    <w:p>
      <w:pPr>
        <w:spacing w:line="600" w:lineRule="exact"/>
        <w:rPr>
          <w:rFonts w:ascii="仿宋_GB2312" w:eastAsia="仿宋_GB2312"/>
          <w:sz w:val="32"/>
          <w:szCs w:val="32"/>
        </w:rPr>
      </w:pPr>
      <w:r>
        <w:rPr>
          <w:rFonts w:hint="eastAsia" w:ascii="仿宋_GB2312" w:eastAsia="仿宋_GB2312"/>
          <w:sz w:val="32"/>
          <w:szCs w:val="32"/>
        </w:rPr>
        <w:t>各乡镇人民政府，阳明山管理局，县直各相关单位：</w:t>
      </w:r>
    </w:p>
    <w:p>
      <w:pPr>
        <w:spacing w:line="600" w:lineRule="exact"/>
        <w:ind w:firstLine="640" w:firstLineChars="200"/>
        <w:rPr>
          <w:rFonts w:ascii="仿宋_GB2312" w:hAnsi="仿宋" w:eastAsia="仿宋_GB2312" w:cs="黑体"/>
          <w:sz w:val="32"/>
          <w:szCs w:val="32"/>
        </w:rPr>
      </w:pPr>
      <w:r>
        <w:rPr>
          <w:rFonts w:hint="eastAsia" w:ascii="仿宋_GB2312" w:eastAsia="仿宋_GB2312"/>
          <w:sz w:val="32"/>
          <w:szCs w:val="32"/>
        </w:rPr>
        <w:t>《</w:t>
      </w:r>
      <w:r>
        <w:rPr>
          <w:rFonts w:hint="eastAsia" w:ascii="仿宋_GB2312" w:eastAsia="仿宋_GB2312"/>
          <w:spacing w:val="-6"/>
          <w:sz w:val="32"/>
          <w:szCs w:val="32"/>
        </w:rPr>
        <w:t>双牌县全民科学素质行动规划纲要实施计划（2021-2025年）</w:t>
      </w:r>
      <w:r>
        <w:rPr>
          <w:rFonts w:hint="eastAsia" w:ascii="仿宋_GB2312" w:eastAsia="仿宋_GB2312"/>
          <w:sz w:val="32"/>
          <w:szCs w:val="32"/>
        </w:rPr>
        <w:t>》已经县人民政府同意，现印发给你们，</w:t>
      </w:r>
      <w:r>
        <w:rPr>
          <w:rFonts w:hint="eastAsia" w:ascii="仿宋_GB2312" w:hAnsi="仿宋" w:eastAsia="仿宋_GB2312" w:cs="仿宋"/>
          <w:sz w:val="32"/>
          <w:szCs w:val="32"/>
        </w:rPr>
        <w:t>请按要求抓好落实。</w:t>
      </w:r>
    </w:p>
    <w:p>
      <w:pPr>
        <w:spacing w:line="480" w:lineRule="exact"/>
        <w:ind w:firstLine="616" w:firstLineChars="200"/>
        <w:rPr>
          <w:rFonts w:ascii="仿宋_GB2312" w:hAnsi="宋体" w:eastAsia="仿宋_GB2312"/>
          <w:spacing w:val="-6"/>
          <w:sz w:val="32"/>
          <w:szCs w:val="32"/>
        </w:rPr>
      </w:pPr>
    </w:p>
    <w:p>
      <w:pPr>
        <w:spacing w:line="480" w:lineRule="exact"/>
        <w:ind w:firstLine="640" w:firstLineChars="200"/>
        <w:rPr>
          <w:rFonts w:ascii="仿宋_GB2312" w:eastAsia="仿宋_GB2312"/>
          <w:sz w:val="32"/>
          <w:szCs w:val="32"/>
        </w:rPr>
      </w:pPr>
    </w:p>
    <w:p>
      <w:pPr>
        <w:spacing w:line="600" w:lineRule="exact"/>
        <w:ind w:right="320" w:firstLine="640" w:firstLineChars="200"/>
        <w:jc w:val="right"/>
        <w:rPr>
          <w:rFonts w:ascii="仿宋_GB2312" w:eastAsia="仿宋_GB2312"/>
          <w:sz w:val="32"/>
          <w:szCs w:val="32"/>
        </w:rPr>
      </w:pPr>
      <w:r>
        <w:rPr>
          <w:rFonts w:hint="eastAsia" w:ascii="仿宋_GB2312" w:eastAsia="仿宋_GB2312"/>
          <w:sz w:val="32"/>
          <w:szCs w:val="32"/>
        </w:rPr>
        <w:t>双牌县人民政府办公室</w:t>
      </w:r>
    </w:p>
    <w:p>
      <w:pPr>
        <w:spacing w:line="600" w:lineRule="exact"/>
        <w:ind w:right="480" w:firstLine="640" w:firstLineChars="200"/>
        <w:rPr>
          <w:rFonts w:ascii="仿宋_GB2312" w:eastAsia="仿宋_GB2312"/>
          <w:sz w:val="30"/>
          <w:szCs w:val="30"/>
        </w:rPr>
      </w:pPr>
      <w:r>
        <w:rPr>
          <w:rFonts w:ascii="仿宋_GB2312" w:eastAsia="仿宋_GB2312"/>
          <w:sz w:val="32"/>
          <w:szCs w:val="32"/>
        </w:rPr>
        <w:t xml:space="preserve">   </w:t>
      </w:r>
      <w:r>
        <w:rPr>
          <w:rFonts w:hint="eastAsia" w:ascii="仿宋_GB2312" w:eastAsia="仿宋_GB2312"/>
          <w:sz w:val="32"/>
          <w:szCs w:val="32"/>
        </w:rPr>
        <w:t xml:space="preserve">                          </w:t>
      </w:r>
      <w:r>
        <w:rPr>
          <w:rFonts w:ascii="仿宋_GB2312" w:eastAsia="仿宋_GB2312"/>
          <w:sz w:val="32"/>
          <w:szCs w:val="32"/>
        </w:rPr>
        <w:t>202</w:t>
      </w:r>
      <w:r>
        <w:rPr>
          <w:rFonts w:hint="eastAsia" w:ascii="仿宋_GB2312" w:eastAsia="仿宋_GB2312"/>
          <w:sz w:val="32"/>
          <w:szCs w:val="32"/>
        </w:rPr>
        <w:t>2年1月25日</w:t>
      </w:r>
    </w:p>
    <w:p>
      <w:pPr>
        <w:spacing w:line="560" w:lineRule="exact"/>
        <w:rPr>
          <w:rFonts w:ascii="仿宋_GB2312" w:eastAsia="仿宋_GB2312"/>
          <w:sz w:val="32"/>
          <w:szCs w:val="32"/>
        </w:rPr>
      </w:pPr>
      <w:r>
        <w:rPr>
          <w:rFonts w:hint="eastAsia" w:ascii="仿宋_GB2312" w:eastAsia="仿宋_GB2312"/>
          <w:sz w:val="32"/>
          <w:szCs w:val="32"/>
        </w:rPr>
        <w:t xml:space="preserve">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（此件主动公开）</w:t>
      </w:r>
    </w:p>
    <w:p>
      <w:pPr>
        <w:spacing w:line="560" w:lineRule="exact"/>
        <w:ind w:firstLine="600" w:firstLineChars="200"/>
        <w:rPr>
          <w:rFonts w:ascii="??_GB2312"/>
          <w:sz w:val="30"/>
          <w:szCs w:val="30"/>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hint="eastAsia"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hint="eastAsia"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r>
        <w:pict>
          <v:shape id="_x0000_s2070" o:spid="_x0000_s2070" o:spt="202" type="#_x0000_t202" style="position:absolute;left:0pt;margin-left:-10.55pt;margin-top:-45.65pt;height:33.75pt;width:448.25pt;z-index:251661312;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DXoap91gAAAAoBAAAPAAAA&#10;AAAAAAEAIAAAADgAAABkcnMvZG93bnJldi54bWxQSwECFAAUAAAACACHTuJACAYKLD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方正大标宋_GBK" w:hAnsi="方正小标宋简体" w:eastAsia="方正大标宋_GBK" w:cs="方正小标宋简体"/>
          <w:color w:val="000000"/>
          <w:sz w:val="40"/>
          <w:szCs w:val="40"/>
          <w:shd w:val="clear" w:color="auto" w:fill="FFFFFF"/>
        </w:rPr>
        <w:t>双牌县全民科学素质行动规划纲要</w:t>
      </w:r>
    </w:p>
    <w:p>
      <w:pPr>
        <w:pStyle w:val="9"/>
        <w:widowControl/>
        <w:shd w:val="clear" w:color="auto" w:fill="FFFFFF"/>
        <w:spacing w:before="0" w:beforeAutospacing="0" w:after="0" w:afterAutospacing="0" w:line="560" w:lineRule="exact"/>
        <w:jc w:val="center"/>
        <w:rPr>
          <w:rFonts w:ascii="方正大标宋_GBK" w:hAnsi="方正小标宋简体" w:eastAsia="方正大标宋_GBK" w:cs="方正小标宋简体"/>
          <w:color w:val="000000"/>
          <w:sz w:val="40"/>
          <w:szCs w:val="40"/>
          <w:shd w:val="clear" w:color="auto" w:fill="FFFFFF"/>
        </w:rPr>
      </w:pPr>
      <w:r>
        <w:rPr>
          <w:rFonts w:hint="eastAsia" w:ascii="方正大标宋_GBK" w:hAnsi="方正小标宋简体" w:eastAsia="方正大标宋_GBK" w:cs="方正小标宋简体"/>
          <w:color w:val="000000"/>
          <w:sz w:val="40"/>
          <w:szCs w:val="40"/>
          <w:shd w:val="clear" w:color="auto" w:fill="FFFFFF"/>
        </w:rPr>
        <w:t>实施计划（2021-2025年）</w:t>
      </w:r>
    </w:p>
    <w:p>
      <w:pPr>
        <w:pStyle w:val="9"/>
        <w:widowControl/>
        <w:shd w:val="clear" w:color="auto" w:fill="FFFFFF"/>
        <w:spacing w:before="0" w:beforeAutospacing="0" w:after="0" w:afterAutospacing="0" w:line="560" w:lineRule="exact"/>
        <w:jc w:val="center"/>
        <w:rPr>
          <w:rFonts w:ascii="仿宋_GB2312" w:hAnsi="仿宋_GB2312" w:eastAsia="仿宋_GB2312" w:cs="仿宋_GB2312"/>
          <w:color w:val="000000"/>
          <w:sz w:val="32"/>
          <w:szCs w:val="32"/>
          <w:shd w:val="clear" w:color="auto" w:fill="FFFFFF"/>
        </w:rPr>
      </w:pP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color w:val="000000"/>
          <w:sz w:val="32"/>
          <w:szCs w:val="32"/>
          <w:shd w:val="clear" w:color="auto" w:fill="FFFFFF"/>
        </w:rPr>
        <w:sectPr>
          <w:type w:val="continuous"/>
          <w:pgSz w:w="11906" w:h="16838"/>
          <w:pgMar w:top="1588" w:right="1701" w:bottom="1474" w:left="1701" w:header="851" w:footer="992" w:gutter="0"/>
          <w:cols w:space="720" w:num="1"/>
          <w:docGrid w:type="lines" w:linePitch="312" w:charSpace="0"/>
        </w:sectPr>
      </w:pP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科学素质决定区域民众的思维方式和行为方式，提升区域民众的科学素质是顺应科技发展趋势、提高人力资源质量、厚植创新发展土壤、增强自主创新能力的关键，对于深入实施创新驱动发展战略，推动大众创业、万众创新，全面提升转型升级和发展的质量效益，实现经济社会持续健康发展具有十分重要的意义。</w:t>
      </w:r>
    </w:p>
    <w:p>
      <w:pPr>
        <w:pStyle w:val="9"/>
        <w:widowControl/>
        <w:shd w:val="clear" w:color="auto" w:fill="FFFFFF"/>
        <w:spacing w:before="0" w:beforeAutospacing="0" w:after="0" w:afterAutospacing="0" w:line="600" w:lineRule="exact"/>
        <w:ind w:firstLine="640" w:firstLineChars="200"/>
        <w:jc w:val="both"/>
        <w:rPr>
          <w:rStyle w:val="13"/>
          <w:rFonts w:ascii="仿宋_GB2312" w:hAnsi="仿宋_GB2312" w:eastAsia="仿宋_GB2312" w:cs="仿宋_GB2312"/>
          <w:b w:val="0"/>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湖南省人民政府办公厅关于印发&lt;湖南省全民科学素质行动规划纲要实施方案（2021-2025年）&gt;的通知》（湘政办发〔2021〕74号）和《永州市人民政府办公室关于印发&lt;永州市全民科学素质行动规划纲要实施计划（2021-2025年）&gt;的通知》（永政办发〔2021〕33号）等文件精神，为实现我县2025年全民科学素质工作目标，结合实际，制定本实施计划。</w:t>
      </w:r>
    </w:p>
    <w:p>
      <w:pPr>
        <w:pStyle w:val="9"/>
        <w:widowControl/>
        <w:numPr>
          <w:ilvl w:val="0"/>
          <w:numId w:val="1"/>
        </w:numPr>
        <w:shd w:val="clear" w:color="auto" w:fill="FFFFFF"/>
        <w:spacing w:before="0" w:beforeAutospacing="0" w:after="0" w:afterAutospacing="0" w:line="600" w:lineRule="exact"/>
        <w:ind w:firstLine="640" w:firstLineChars="200"/>
        <w:jc w:val="both"/>
        <w:rPr>
          <w:rStyle w:val="13"/>
          <w:rFonts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总体要求</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color w:val="000000"/>
          <w:sz w:val="32"/>
          <w:szCs w:val="32"/>
        </w:rPr>
      </w:pPr>
      <w:r>
        <w:rPr>
          <w:rStyle w:val="13"/>
          <w:rFonts w:hint="eastAsia" w:ascii="楷体_GB2312" w:hAnsi="楷体_GB2312" w:eastAsia="楷体_GB2312" w:cs="楷体_GB2312"/>
          <w:color w:val="000000"/>
          <w:sz w:val="32"/>
          <w:szCs w:val="32"/>
          <w:shd w:val="clear" w:color="auto" w:fill="FFFFFF"/>
        </w:rPr>
        <w:t>（一）指导思想。</w:t>
      </w:r>
      <w:r>
        <w:rPr>
          <w:rFonts w:hint="eastAsia" w:ascii="仿宋_GB2312" w:hAnsi="仿宋_GB2312" w:eastAsia="仿宋_GB2312" w:cs="仿宋_GB2312"/>
          <w:color w:val="000000"/>
          <w:sz w:val="32"/>
          <w:szCs w:val="32"/>
          <w:shd w:val="clear" w:color="auto" w:fill="FFFFFF"/>
        </w:rPr>
        <w:t>以习近平新时代中国特色社会主义思想为指导，深入贯彻落实党的十九大和十九届二中、三中、四中、五中、六中全会精神，认真学习贯彻习近平总书记关于科技创新、科学普及的重要论述和对湖南工作系列重要讲话指示精神，坚持以人民为中心的发展思想，立足新发展阶段，贯彻新发展理念，构建新发展格局，助力实施“三高四新”战略，聚焦高水平科技自立自强，以提高全民科学素质服务高质量发展为目标，以践行社会主义核心价值观、弘扬科学精神为主线，加速推进全民科学素质高质量发展，大力营造热爱科学、崇尚创新的良好社会氛围，奋力建设现代化新双牌。</w:t>
      </w:r>
    </w:p>
    <w:p>
      <w:pPr>
        <w:spacing w:line="620" w:lineRule="exact"/>
        <w:ind w:right="323" w:firstLine="642" w:firstLineChars="200"/>
        <w:rPr>
          <w:rFonts w:ascii="仿宋_GB2312" w:hAnsi="仿宋_GB2312" w:eastAsia="仿宋_GB2312" w:cs="仿宋_GB2312"/>
          <w:color w:val="000000"/>
          <w:sz w:val="32"/>
          <w:szCs w:val="32"/>
          <w:shd w:val="clear" w:color="auto" w:fill="FFFFFF"/>
        </w:rPr>
      </w:pPr>
      <w:r>
        <w:rPr>
          <w:rStyle w:val="13"/>
          <w:rFonts w:hint="eastAsia" w:ascii="楷体_GB2312" w:hAnsi="楷体_GB2312" w:eastAsia="楷体_GB2312" w:cs="楷体_GB2312"/>
          <w:color w:val="000000"/>
          <w:sz w:val="32"/>
          <w:szCs w:val="32"/>
          <w:shd w:val="clear" w:color="auto" w:fill="FFFFFF"/>
        </w:rPr>
        <w:pict>
          <v:shape id="_x0000_s2069" o:spid="_x0000_s2069" o:spt="202" type="#_x0000_t202" style="position:absolute;left:0pt;margin-left:-10.85pt;margin-top:-254.9pt;height:33.75pt;width:453pt;z-index:251662336;mso-width-relative:page;mso-height-relative:page;" stroked="f" coordsize="21600,21600" o:gfxdata="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I94p5DVAAAACgEAAA8AAAAA&#10;AAAAAQAgAAAAOAAAAGRycy9kb3ducmV2LnhtbFBLAQIUABQAAAAIAIdO4kBeNw54OgIAAFEEAAAO&#10;AAAAAAAAAAEAIAAAADoBAABkcnMvZTJvRG9jLnhtbFBLBQYAAAAABgAGAFkBAADm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Style w:val="13"/>
          <w:rFonts w:hint="eastAsia" w:ascii="楷体_GB2312" w:eastAsia="楷体_GB2312"/>
          <w:sz w:val="32"/>
          <w:szCs w:val="32"/>
        </w:rPr>
        <w:t>（</w:t>
      </w:r>
      <w:r>
        <w:rPr>
          <w:rStyle w:val="13"/>
          <w:rFonts w:hint="eastAsia" w:ascii="楷体_GB2312" w:hAnsi="楷体_GB2312" w:eastAsia="楷体_GB2312" w:cs="楷体_GB2312"/>
          <w:color w:val="000000"/>
          <w:sz w:val="32"/>
          <w:szCs w:val="32"/>
          <w:shd w:val="clear" w:color="auto" w:fill="FFFFFF"/>
        </w:rPr>
        <w:t>二）工作目标。</w:t>
      </w:r>
      <w:r>
        <w:rPr>
          <w:rFonts w:hint="eastAsia" w:ascii="仿宋_GB2312" w:hAnsi="仿宋_GB2312" w:eastAsia="仿宋_GB2312" w:cs="仿宋_GB2312"/>
          <w:sz w:val="32"/>
          <w:szCs w:val="32"/>
        </w:rPr>
        <w:t>到2025年，我县公民具备科学素质的比例超过15%。</w:t>
      </w:r>
      <w:r>
        <w:rPr>
          <w:rFonts w:hint="eastAsia" w:ascii="仿宋_GB2312" w:hAnsi="仿宋_GB2312" w:eastAsia="仿宋_GB2312" w:cs="仿宋_GB2312"/>
          <w:color w:val="000000"/>
          <w:sz w:val="32"/>
          <w:szCs w:val="32"/>
          <w:shd w:val="clear" w:color="auto" w:fill="FFFFFF"/>
        </w:rPr>
        <w:t>全县区域公民科学文化素质有较大提升，公民科学素质发展协调性、均衡性明显增强，科普的组织力、传播力、精准度、实效性大幅提升，社会化大科普格局完善，大众化科学传播体系基本形成，在全社会广泛弘扬科学精神，崇尚创新意识，社会文明程度实现新提高。</w:t>
      </w:r>
    </w:p>
    <w:p>
      <w:pPr>
        <w:spacing w:line="620" w:lineRule="exact"/>
        <w:ind w:right="323" w:firstLine="640" w:firstLineChars="200"/>
        <w:rPr>
          <w:rStyle w:val="13"/>
          <w:rFonts w:ascii="黑体" w:hAnsi="黑体" w:eastAsia="黑体" w:cs="黑体"/>
          <w:b w:val="0"/>
          <w:color w:val="000000"/>
          <w:sz w:val="32"/>
          <w:szCs w:val="32"/>
          <w:shd w:val="clear" w:color="auto" w:fill="FFFFFF"/>
        </w:rPr>
      </w:pPr>
      <w:r>
        <w:rPr>
          <w:rFonts w:hint="eastAsia" w:ascii="黑体" w:hAnsi="黑体" w:eastAsia="黑体" w:cs="黑体"/>
          <w:color w:val="000000"/>
          <w:sz w:val="32"/>
          <w:szCs w:val="32"/>
          <w:shd w:val="clear" w:color="auto" w:fill="FFFFFF"/>
        </w:rPr>
        <w:t>二</w:t>
      </w:r>
      <w:r>
        <w:rPr>
          <w:rStyle w:val="13"/>
          <w:rFonts w:hint="eastAsia" w:ascii="黑体" w:hAnsi="黑体" w:eastAsia="黑体" w:cs="黑体"/>
          <w:b w:val="0"/>
          <w:color w:val="000000"/>
          <w:sz w:val="32"/>
          <w:szCs w:val="32"/>
          <w:shd w:val="clear" w:color="auto" w:fill="FFFFFF"/>
        </w:rPr>
        <w:t>、实施五项提升行动</w:t>
      </w:r>
    </w:p>
    <w:p>
      <w:pPr>
        <w:spacing w:line="620" w:lineRule="exact"/>
        <w:ind w:right="323"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整合协同社会各方资源和力量，动员广大科技工作者和科技志愿者普及科学知识、传播科学思想、倡导科学方法、弘扬科学精神，促进培育和践行社会主义核心价值观，养成文明、健康、绿色、环保的生活方式，提高劳动、生产、创新创造的技能，推动全民科学素质整体提升，更好地服务双牌经济社会高质量发展。在“十四五”时期实施五项提升行动。</w:t>
      </w:r>
    </w:p>
    <w:p>
      <w:pPr>
        <w:spacing w:line="620" w:lineRule="exact"/>
        <w:ind w:right="323" w:firstLine="642" w:firstLineChars="200"/>
        <w:rPr>
          <w:rFonts w:ascii="仿宋_GB2312" w:hAnsi="仿宋_GB2312" w:eastAsia="仿宋_GB2312" w:cs="仿宋_GB2312"/>
          <w:color w:val="000000"/>
          <w:sz w:val="32"/>
          <w:szCs w:val="32"/>
        </w:rPr>
      </w:pPr>
      <w:r>
        <w:rPr>
          <w:rFonts w:hint="eastAsia" w:ascii="楷体_GB2312" w:hAnsi="楷体_GB2312" w:eastAsia="楷体_GB2312" w:cs="楷体_GB2312"/>
          <w:b/>
          <w:color w:val="000000"/>
          <w:sz w:val="32"/>
          <w:szCs w:val="32"/>
          <w:shd w:val="clear" w:color="auto" w:fill="FFFFFF"/>
        </w:rPr>
        <w:t>（一）青少年科学素质提升行动。</w:t>
      </w:r>
      <w:r>
        <w:rPr>
          <w:rFonts w:hint="eastAsia" w:ascii="仿宋_GB2312" w:hAnsi="仿宋_GB2312" w:eastAsia="仿宋_GB2312" w:cs="仿宋_GB2312"/>
          <w:sz w:val="32"/>
          <w:szCs w:val="32"/>
        </w:rPr>
        <w:t>激发青少年好奇心和想象力，增强科学兴趣、创新意识和创新能力，让科技工作成为青少年尊崇向往的职业，培育一批具备科学家潜质的青少年群体，为科技自立自强夯实人才基础。</w:t>
      </w:r>
    </w:p>
    <w:p>
      <w:pPr>
        <w:pStyle w:val="9"/>
        <w:widowControl/>
        <w:shd w:val="clear" w:color="auto" w:fill="FFFFFF"/>
        <w:spacing w:before="0" w:beforeAutospacing="0" w:after="0" w:afterAutospacing="0" w:line="600" w:lineRule="exact"/>
        <w:ind w:firstLine="720" w:firstLineChars="300"/>
        <w:jc w:val="both"/>
        <w:rPr>
          <w:rFonts w:ascii="仿宋_GB2312" w:hAnsi="仿宋_GB2312" w:eastAsia="仿宋_GB2312" w:cs="仿宋_GB2312"/>
          <w:b/>
          <w:color w:val="000000"/>
          <w:sz w:val="32"/>
          <w:szCs w:val="32"/>
          <w:shd w:val="clear" w:color="auto" w:fill="FFFFFF"/>
        </w:rPr>
      </w:pPr>
      <w:r>
        <w:pict>
          <v:shape id="_x0000_s2068" o:spid="_x0000_s2068" o:spt="202" type="#_x0000_t202" style="position:absolute;left:0pt;margin-left:-21.8pt;margin-top:-45.65pt;height:33.75pt;width:457.5pt;z-index:251663360;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16GqfdYAAAAKAQAADwAA&#10;AAAAAAABACAAAAA4AAAAZHJzL2Rvd25yZXYueG1sUEsBAhQAFAAAAAgAh07iQKRkAoQ7AgAAUQQA&#10;AA4AAAAAAAAAAQAgAAAAOw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b/>
          <w:color w:val="000000"/>
          <w:sz w:val="32"/>
          <w:szCs w:val="32"/>
          <w:shd w:val="clear" w:color="auto" w:fill="FFFFFF"/>
        </w:rPr>
        <w:t>1、任务：</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w w:val="103"/>
          <w:sz w:val="32"/>
          <w:szCs w:val="32"/>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sz w:val="32"/>
          <w:szCs w:val="32"/>
        </w:rPr>
        <w:t>大力弘扬科学精神和科学家精神，激发青少年科学梦</w:t>
      </w:r>
      <w:r>
        <w:rPr>
          <w:rFonts w:hint="eastAsia" w:ascii="仿宋_GB2312" w:hAnsi="仿宋_GB2312" w:eastAsia="仿宋_GB2312" w:cs="仿宋_GB2312"/>
          <w:w w:val="103"/>
          <w:sz w:val="32"/>
          <w:szCs w:val="32"/>
        </w:rPr>
        <w:t>想，树立科学志向。</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（2）建立校内外科学教育资源融合发展机制，着力培养青少年的科学兴趣、创新精神和实践能力。</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（3）实施科技创新后备人才培育计划，为实施“三高四新”战略夯实人才基础。</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（4）提供更多科学教育的资源和途径，重点提升农村青少年科学素质水平。</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2、措施：</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将弘扬科学精神贯穿于育人全链条。坚持立德树人，实施科学家精神进校园行动，弘扬科学家胸怀祖国、服务人民的爱国精神和勇攀高峰、敢为人先的创新精神等，将求真务实、理性质疑、开拓创新等科学家精神及科学精神融入课程与教学。加强对家庭科学教育的指导，落实《湖南省家庭教育促进条例》，增强家长科学教育意识，掌握科学教育方法。推动学校、社会、家庭协同育人，激励青少年从小树立投身建设科技强国远大志向，培养学生爱国情怀、社会责任感、创新精神和实践能力。</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提升基础教育阶段科学教育水平。实施好学前教育行动计划，扩大普惠学前教育资源供给，加强学龄前儿童科学启蒙教育，培养学龄前儿童对科学的兴趣和好奇心。全面落实科学课程标准，在中小学开齐开足科学课程。引导变革教学方式，倡导启发式、探究式、开放式教学，保护学生好奇心，激发求知欲和想象力，鼓励青少年走进自然，激发和保护青少年对自然科学的兴趣和好奇心，把自然教育作为素质教育的重要内容，纳入中小学课程体系。完善初高中包括科学、数学、物理、化学、生物学、通用技术、信息技术等学科在内的学业水平考试和综合素质评价制度，将科技实践纳入中小学生综合素质评价，引导有创新潜质的学生个性化发展。推进信息技术与科学教育深度融合，推行场景式、体验式、沉浸式学习。完善科学教育质量评价和青少年科学素质监测评估。</w:t>
      </w:r>
    </w:p>
    <w:p>
      <w:pPr>
        <w:pStyle w:val="9"/>
        <w:widowControl/>
        <w:shd w:val="clear" w:color="auto" w:fill="FFFFFF"/>
        <w:spacing w:before="0" w:beforeAutospacing="0" w:after="0" w:afterAutospacing="0" w:line="600" w:lineRule="exact"/>
        <w:ind w:firstLine="600" w:firstLineChars="250"/>
        <w:jc w:val="both"/>
        <w:rPr>
          <w:rFonts w:ascii="仿宋_GB2312" w:hAnsi="仿宋_GB2312" w:eastAsia="仿宋_GB2312" w:cs="仿宋_GB2312"/>
          <w:sz w:val="32"/>
          <w:szCs w:val="32"/>
        </w:rPr>
      </w:pPr>
      <w:r>
        <w:pict>
          <v:shape id="_x0000_s2067" o:spid="_x0000_s2067" o:spt="202" type="#_x0000_t202" style="position:absolute;left:0pt;margin-left:-16.05pt;margin-top:-539.4pt;height:33.75pt;width:463.5pt;z-index:251664384;mso-width-relative:page;mso-height-relative:page;" stroked="f" coordsize="21600,21600" o:gfxdata="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Pxtw/fXAAAADAEAAA8A&#10;AAAAAAAAAQAgAAAAOAAAAGRycy9kb3ducmV2LnhtbFBLAQIUABQAAAAIAIdO4kCLtpvoOwIAAFEE&#10;AAAOAAAAAAAAAAEAIAAAADwBAABkcnMvZTJvRG9jLnhtbFBLBQYAAAAABgAGAFkBAADp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sz w:val="32"/>
          <w:szCs w:val="32"/>
        </w:rPr>
        <w:t>（3）实施科技创新后备人才培育计划。建立科学、多元的发现和培育机制，对热爱科学、有科学潜质的中小学生进行个性化培养。大力开展青少年科技创新活动，为热爱科学的中小学生搭建学习、交流和展示平台。通过开展青少年科技创新大赛、青少年机器人大赛、中学生学科竞赛等活动，探索科技创新后备人才培养模式，总结科技创新后备人才成长规律。</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建立校内外科学教育资源有效衔接机制。深入实施馆校合作，支持中小学校每学期到青少年活动中心、科普教育基地等科普场所开展科学课程教学及各类学习实践活动，建立常态化机制；引导医疗卫生机构、企业等向中小学开发开放互动性、体验性强的优质产品和科学教育资源。开展“科普进校园”系列活动，组织科学家、工程师、医疗卫生人员、心理咨询师等科技工作者进校园，开展科学教育和心理健康、生理卫生、职业卫生和自我保护等安全健康教育活动。广泛开展科技节、科学营、科学阅读科技小论文（发明、制作）等科学教育活动。</w:t>
      </w:r>
    </w:p>
    <w:p>
      <w:pPr>
        <w:pStyle w:val="9"/>
        <w:widowControl/>
        <w:shd w:val="clear" w:color="auto" w:fill="FFFFFF"/>
        <w:spacing w:before="0" w:beforeAutospacing="0" w:after="0" w:afterAutospacing="0" w:line="620" w:lineRule="exact"/>
        <w:ind w:firstLine="720" w:firstLineChars="300"/>
        <w:jc w:val="both"/>
        <w:rPr>
          <w:rFonts w:ascii="仿宋_GB2312" w:hAnsi="仿宋_GB2312" w:eastAsia="仿宋_GB2312" w:cs="仿宋_GB2312"/>
          <w:sz w:val="32"/>
          <w:szCs w:val="32"/>
        </w:rPr>
      </w:pPr>
      <w:r>
        <w:pict>
          <v:shape id="_x0000_s2066" o:spid="_x0000_s2066" o:spt="202" type="#_x0000_t202" style="position:absolute;left:0pt;margin-left:-13.1pt;margin-top:-191.15pt;height:33.75pt;width:447.8pt;z-index:251665408;mso-width-relative:page;mso-height-relative:page;" stroked="f" coordsize="21600,21600" o:gfxdata="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tFgGV9YAAAAKAQAADwAA&#10;AAAAAAABACAAAAA4AAAAZHJzL2Rvd25yZXYueG1sUEsBAhQAFAAAAAgAh07iQBHFa6c7AgAAUQQA&#10;AA4AAAAAAAAAAQAgAAAAOw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sz w:val="32"/>
          <w:szCs w:val="32"/>
        </w:rPr>
        <w:t>（5）实施农村青少年科学素质提升行动。加强农村中小学科学教育基础设施建设和配备，加大科学教育活动和资源向农村倾斜力度；利用信息技术手段，推进优质科技教育信息资源共建共享，设计开发适合农村青少年的科学教育活动和资源，满足青少年个性化需求；加大青少年科学营、青少年科学调查体验等活动对农村青少年倾斜。</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实施教师科学素质提升工程。将科学精神纳入师德师风建设的重要内容，融入教师的培养过程中，将科学教育和创新人才培养作为重要内容，加强新科技知识和技能培训。实施乡村教师支持计划，加大对农村和边远地区科学教师培养力度，每年举办一期科技辅导员培训班。</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sz w:val="32"/>
          <w:szCs w:val="32"/>
        </w:rPr>
        <w:t>3、</w:t>
      </w:r>
      <w:r>
        <w:rPr>
          <w:rFonts w:hint="eastAsia" w:ascii="仿宋_GB2312" w:hAnsi="仿宋_GB2312" w:eastAsia="仿宋_GB2312" w:cs="仿宋_GB2312"/>
          <w:b/>
          <w:color w:val="000000"/>
          <w:sz w:val="32"/>
          <w:szCs w:val="32"/>
          <w:shd w:val="clear" w:color="auto" w:fill="FFFFFF"/>
        </w:rPr>
        <w:t>责任分工：</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由县教育局、团县委、县科协牵头，县委宣传部、县科工信局、县人社局、县农业农村局等单位参加。</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sz w:val="32"/>
          <w:szCs w:val="32"/>
        </w:rPr>
      </w:pPr>
      <w:r>
        <w:rPr>
          <w:rFonts w:hint="eastAsia" w:ascii="楷体_GB2312" w:hAnsi="楷体_GB2312" w:eastAsia="楷体_GB2312" w:cs="楷体_GB2312"/>
          <w:b/>
          <w:color w:val="000000"/>
          <w:sz w:val="32"/>
          <w:szCs w:val="32"/>
          <w:shd w:val="clear" w:color="auto" w:fill="FFFFFF"/>
        </w:rPr>
        <w:t>（二）农民科学素质提升行动。</w:t>
      </w:r>
      <w:r>
        <w:rPr>
          <w:rFonts w:hint="eastAsia" w:ascii="仿宋_GB2312" w:hAnsi="仿宋_GB2312" w:eastAsia="仿宋_GB2312" w:cs="仿宋_GB2312"/>
          <w:sz w:val="32"/>
          <w:szCs w:val="32"/>
        </w:rPr>
        <w:t>以提升科技文化素质为重点，提高农民文明生活、科学生产、科学经营能力，培养一支适应农业农村现代化发展和产业发展要求的高素质农民队伍，加快推进我县乡村全面振兴。</w:t>
      </w:r>
    </w:p>
    <w:p>
      <w:pPr>
        <w:pStyle w:val="9"/>
        <w:widowControl/>
        <w:shd w:val="clear" w:color="auto" w:fill="FFFFFF"/>
        <w:spacing w:before="0" w:beforeAutospacing="0" w:after="0" w:afterAutospacing="0" w:line="600" w:lineRule="exact"/>
        <w:ind w:firstLine="642" w:firstLineChars="200"/>
        <w:jc w:val="both"/>
        <w:rPr>
          <w:rFonts w:hint="eastAsia"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1、任务：</w:t>
      </w:r>
    </w:p>
    <w:p>
      <w:pPr>
        <w:pStyle w:val="9"/>
        <w:widowControl/>
        <w:shd w:val="clear" w:color="auto" w:fill="FFFFFF"/>
        <w:spacing w:before="0" w:beforeAutospacing="0" w:after="0" w:afterAutospacing="0" w:line="580" w:lineRule="exact"/>
        <w:ind w:firstLine="640" w:firstLineChars="200"/>
        <w:jc w:val="both"/>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（1）树立相信科学、和谐理性的思想观念。重点围绕生态环境、节约能源资源、绿色生产、防灾减灾、卫生健康等，深入开展科普宣传教育活动，激发农民振兴乡村的内生动力。</w:t>
      </w:r>
    </w:p>
    <w:p>
      <w:pPr>
        <w:pStyle w:val="9"/>
        <w:widowControl/>
        <w:shd w:val="clear" w:color="auto" w:fill="FFFFFF"/>
        <w:spacing w:before="0" w:beforeAutospacing="0" w:after="0" w:afterAutospacing="0" w:line="580" w:lineRule="exact"/>
        <w:ind w:firstLine="600" w:firstLineChars="250"/>
        <w:jc w:val="both"/>
        <w:rPr>
          <w:rFonts w:ascii="仿宋_GB2312" w:hAnsi="仿宋_GB2312" w:eastAsia="仿宋_GB2312" w:cs="仿宋_GB2312"/>
          <w:color w:val="000000"/>
          <w:sz w:val="32"/>
          <w:szCs w:val="32"/>
          <w:shd w:val="clear" w:color="auto" w:fill="FFFFFF"/>
        </w:rPr>
      </w:pPr>
      <w:r>
        <w:pict>
          <v:shape id="_x0000_s2065" o:spid="_x0000_s2065" o:spt="202" type="#_x0000_t202" style="position:absolute;left:0pt;margin-left:-17.55pt;margin-top:-164.15pt;height:33.75pt;width:459.75pt;z-index:251666432;mso-width-relative:page;mso-height-relative:page;" stroked="f" coordsize="21600,21600" o:gfxdata="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ImOF8/WAAAACgEAAA8A&#10;AAAAAAAAAQAgAAAAOAAAAGRycy9kb3ducmV2LnhtbFBLAQIUABQAAAAIAIdO4kDSBTEHPAIAAFEE&#10;AAAOAAAAAAAAAAEAIAAAADsBAABkcnMvZTJvRG9jLnhtbFBLBQYAAAAABgAGAFkBAADpBQAAAAA=&#10;">
            <v:path/>
            <v:fill focussize="0,0"/>
            <v:stroke on="f" weight="0.5pt" joinstyle="miter"/>
            <v:imagedata o:title=""/>
            <o:lock v:ext="edit"/>
            <v:textbox>
              <w:txbxContent>
                <w:p>
                  <w:pPr>
                    <w:rPr>
                      <w:u w:val="single"/>
                    </w:rPr>
                  </w:pPr>
                  <w:r>
                    <w:rPr>
                      <w:u w:val="single"/>
                    </w:rPr>
                    <w:t xml:space="preserve">县人民政府办公室文件          </w:t>
                  </w:r>
                  <w:r>
                    <w:rPr>
                      <w:rFonts w:hint="eastAsia"/>
                      <w:u w:val="single"/>
                    </w:rPr>
                    <w:t xml:space="preserve"> </w:t>
                  </w:r>
                  <w:r>
                    <w:rPr>
                      <w:u w:val="single"/>
                    </w:rPr>
                    <w:t xml:space="preserve">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color w:val="000000"/>
          <w:sz w:val="32"/>
          <w:szCs w:val="32"/>
          <w:shd w:val="clear" w:color="auto" w:fill="FFFFFF"/>
        </w:rPr>
        <w:t>（2）构建</w:t>
      </w:r>
      <w:r>
        <w:rPr>
          <w:rFonts w:hint="eastAsia" w:ascii="仿宋_GB2312" w:hAnsi="仿宋_GB2312" w:eastAsia="仿宋_GB2312" w:cs="仿宋_GB2312"/>
          <w:color w:val="000000"/>
          <w:spacing w:val="-4"/>
          <w:sz w:val="32"/>
          <w:szCs w:val="32"/>
          <w:shd w:val="clear" w:color="auto" w:fill="FFFFFF"/>
        </w:rPr>
        <w:t>多元主体协同共建的农村科技文化服务体系，提升农村科技文化产品和服务供给能力，进一步加强对边远地区、脱贫地区科普工作的支持力度，大力提高农村妇女科学素质。</w:t>
      </w:r>
    </w:p>
    <w:p>
      <w:pPr>
        <w:pStyle w:val="9"/>
        <w:widowControl/>
        <w:shd w:val="clear" w:color="auto" w:fill="FFFFFF"/>
        <w:spacing w:before="0" w:beforeAutospacing="0" w:after="0" w:afterAutospacing="0" w:line="58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2、措施：</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提升农民科技文化素质。引导社会科普资源向农村倾斜，开展精准科普服务；开展乡村振兴科技致富带头人培训计划，提升农村低收入人口职业技能，增强内生发展能力。实施妇女素质提升计划，帮助农村妇女参与农业农村现代化建设。</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实施乡村振兴科技支撑计划。引导多元主体参与农村科普，开展科技志愿服务，提升农村科普活力，开展产业项目、基础设施等方面结对帮扶，深入推行科技特派员制度，支持建设科技特派员科普示范基地；支持家庭农场、农民合作社、农村专业技术协会等新型农业经营主体和服务主体通过建立示范基地、田间学校等方式开展科技示范，引领现代农业发展。实施科技助力乡村振兴工程,在全县各乡镇建立学会服务站或科普小镇,新发展一批农村专业技术协会、农业产业科普示范基地、农村青少年科普体验基地。</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3、责任分工：</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由县农</w:t>
      </w:r>
      <w:r>
        <w:rPr>
          <w:rFonts w:hint="eastAsia" w:ascii="仿宋_GB2312" w:hAnsi="仿宋_GB2312" w:eastAsia="仿宋_GB2312" w:cs="仿宋_GB2312"/>
          <w:color w:val="000000"/>
          <w:spacing w:val="-6"/>
          <w:sz w:val="32"/>
          <w:szCs w:val="32"/>
          <w:shd w:val="clear" w:color="auto" w:fill="FFFFFF"/>
        </w:rPr>
        <w:t>业农村局、县乡村振兴局牵头，县委组织部、县委宣传部、县教育局、县科工信局、县人社局、县市场监管局、县自然资源局、市生态环境局双牌分局、县卫健局、县文旅广体局、县市场监督管理局、团县委、县妇联、县科协等单位参加。</w:t>
      </w:r>
    </w:p>
    <w:p>
      <w:pPr>
        <w:pStyle w:val="9"/>
        <w:widowControl/>
        <w:shd w:val="clear" w:color="auto" w:fill="FFFFFF"/>
        <w:spacing w:before="0" w:beforeAutospacing="0" w:after="0" w:afterAutospacing="0" w:line="600" w:lineRule="exact"/>
        <w:ind w:firstLine="600" w:firstLineChars="250"/>
        <w:jc w:val="both"/>
        <w:rPr>
          <w:rFonts w:ascii="仿宋_GB2312" w:hAnsi="仿宋_GB2312" w:eastAsia="仿宋_GB2312" w:cs="仿宋_GB2312"/>
          <w:sz w:val="32"/>
          <w:szCs w:val="32"/>
        </w:rPr>
      </w:pPr>
      <w:r>
        <w:pict>
          <v:shape id="_x0000_s2063" o:spid="_x0000_s2063" o:spt="202" type="#_x0000_t202" style="position:absolute;left:0pt;margin-left:-11.55pt;margin-top:-166.4pt;height:33.75pt;width:447.75pt;z-index:251668480;mso-width-relative:page;mso-height-relative:page;" stroked="f" coordsize="21600,21600" o:gfxdata="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DS8u/LVAAAACQEAAA8AAAAA&#10;AAAAAQAgAAAAOAAAAGRycy9kb3ducmV2LnhtbFBLAQIUABQAAAAIAIdO4kDrlmdbOgIAAFEEAAAO&#10;AAAAAAAAAAEAIAAAADoBAABkcnMvZTJvRG9jLnhtbFBLBQYAAAAABgAGAFkBAADm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pict>
          <v:shape id="_x0000_s2064" o:spid="_x0000_s2064" o:spt="202" type="#_x0000_t202" style="position:absolute;left:0pt;margin-left:16.6pt;margin-top:-227.15pt;height:33.75pt;width:425.25pt;z-index:251667456;mso-width-relative:page;mso-height-relative:page;" stroked="f" coordsize="21600,21600" o:gfxdata="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OjacDzUAAAACgEAAA8AAAAA&#10;AAAAAQAgAAAAOAAAAGRycy9kb3ducmV2LnhtbFBLAQIUABQAAAAIAIdO4kC9p2MPOwIAAFEEAAAO&#10;AAAAAAAAAAEAIAAAADkBAABkcnMvZTJvRG9jLnhtbFBLBQYAAAAABgAGAFkBAADmBQAAAAA=&#10;">
            <v:path/>
            <v:fill focussize="0,0"/>
            <v:stroke on="f" weight="0.5pt" joinstyle="miter"/>
            <v:imagedata o:title=""/>
            <o:lock v:ext="edit"/>
            <v:textbox>
              <w:txbxContent>
                <w:p>
                  <w:pPr>
                    <w:rPr>
                      <w:u w:val="single"/>
                    </w:rPr>
                  </w:pPr>
                  <w:r>
                    <w:rPr>
                      <w:u w:val="single"/>
                    </w:rPr>
                    <w:t>县人民政府办公室文件              双牌县人民政府公报            2022年第1</w:t>
                  </w:r>
                  <w:r>
                    <w:rPr>
                      <w:rFonts w:hint="eastAsia"/>
                      <w:u w:val="single"/>
                    </w:rPr>
                    <w:t>-2</w:t>
                  </w:r>
                  <w:r>
                    <w:rPr>
                      <w:u w:val="single"/>
                    </w:rPr>
                    <w:t>期</w:t>
                  </w:r>
                </w:p>
              </w:txbxContent>
            </v:textbox>
          </v:shape>
        </w:pict>
      </w:r>
      <w:r>
        <w:rPr>
          <w:rFonts w:hint="eastAsia" w:ascii="楷体_GB2312" w:hAnsi="楷体_GB2312" w:eastAsia="楷体_GB2312" w:cs="楷体_GB2312"/>
          <w:b/>
          <w:color w:val="000000"/>
          <w:sz w:val="32"/>
          <w:szCs w:val="32"/>
          <w:shd w:val="clear" w:color="auto" w:fill="FFFFFF"/>
        </w:rPr>
        <w:t>（三）产业工人科学素质提升行动。</w:t>
      </w:r>
      <w:r>
        <w:rPr>
          <w:rFonts w:hint="eastAsia" w:ascii="仿宋_GB2312" w:hAnsi="仿宋_GB2312" w:eastAsia="仿宋_GB2312" w:cs="仿宋_GB2312"/>
          <w:sz w:val="32"/>
          <w:szCs w:val="32"/>
        </w:rPr>
        <w:t>以提升技能素质为重点，提高产业工人职业技能和创新能力，打造一支有理想守信念、懂技术会创新、敢担当讲奉献的高素质产业工人队伍，更好服务“三高四新”战略实施和双牌现代化经济体系建设。</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1、任务：</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sz w:val="32"/>
          <w:szCs w:val="32"/>
        </w:rPr>
        <w:t>深化产业工人理想信念、职业精神和职业素养教育，营造劳动光荣的社会风尚和精益求精的敬业风气，大力弘扬劳模精神、劳动精神、工匠精神。</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（2）提高产业工人技术创新能力，培育高技能人才。</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（3）提高进城务工人员、新业态从业者职业技能和适应城市生活的能力。</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2、措施：</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sz w:val="32"/>
          <w:szCs w:val="32"/>
        </w:rPr>
        <w:t>开展理想信念和职业精神宣传教育，强化产业工人思想政治引领。开展“最美职工”、“巾帼建功”、“健康达人”等评比活动。</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开展职业技能培训。在职前教育和职业培训中突出科学素质、职业健康、安全生产等相关内容，构建职业教育、就业培训、技能提升相统一的产业工人终身技能形成体系，大力开展职业技能培训和职业技能竞赛活动，深入实施农民工职业技能提升计划等，增加进城务工人员教育培训和就业机会。</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发挥企业家提升产业工人科学素质的示范引领作用。弘扬企业家精神，提高企业家科学素质，引导企业家做创新发展的探索者、组织者、引领者和提升产业工人科学素质的推动者。鼓励企业积极培养使用创新型技能人才，在关键岗位、关键工序培养使用高技能人才。</w:t>
      </w:r>
    </w:p>
    <w:p>
      <w:pPr>
        <w:pStyle w:val="9"/>
        <w:widowControl/>
        <w:shd w:val="clear" w:color="auto" w:fill="FFFFFF"/>
        <w:spacing w:before="0" w:beforeAutospacing="0" w:after="0" w:afterAutospacing="0" w:line="620" w:lineRule="exact"/>
        <w:ind w:firstLine="600" w:firstLineChars="250"/>
        <w:jc w:val="both"/>
        <w:rPr>
          <w:rFonts w:ascii="仿宋_GB2312" w:hAnsi="仿宋_GB2312" w:eastAsia="仿宋_GB2312" w:cs="仿宋_GB2312"/>
          <w:b/>
          <w:color w:val="000000"/>
          <w:sz w:val="32"/>
          <w:szCs w:val="32"/>
          <w:shd w:val="clear" w:color="auto" w:fill="FFFFFF"/>
        </w:rPr>
      </w:pPr>
      <w:r>
        <w:pict>
          <v:shape id="_x0000_s2062" o:spid="_x0000_s2062" o:spt="202" type="#_x0000_t202" style="position:absolute;left:0pt;margin-left:-9.65pt;margin-top:-298.15pt;height:33.75pt;width:448.85pt;z-index:251669504;mso-width-relative:page;mso-height-relative:page;" stroked="f" coordsize="21600,21600" o:gfxdata="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BYAAABkcnMvUEsBAhQAFAAAAAgAh07iQJ9nkfnSAAAABwEAAA8AAAAAAAAA&#10;AQAgAAAAOAAAAGRycy9kb3ducmV2LnhtbFBLAQIUABQAAAAIAIdO4kB7hrjhOgIAAFEEAAAOAAAA&#10;AAAAAAEAIAAAADcBAABkcnMvZTJvRG9jLnhtbFBLBQYAAAAABgAGAFkBAADj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仿宋_GB2312" w:hAnsi="仿宋_GB2312" w:eastAsia="仿宋_GB2312" w:cs="仿宋_GB2312"/>
          <w:b/>
          <w:color w:val="000000"/>
          <w:sz w:val="32"/>
          <w:szCs w:val="32"/>
          <w:shd w:val="clear" w:color="auto" w:fill="FFFFFF"/>
        </w:rPr>
        <w:t>3、责任分工：</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由县人社局、县总工会牵头，县委宣传部、县教育局、县科工信局、县民政局、县财政局、县市场监管局、县卫健局、县文旅广体局、团县委、县妇联、县科协等单位参加。</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sz w:val="32"/>
          <w:szCs w:val="32"/>
        </w:rPr>
      </w:pPr>
      <w:r>
        <w:rPr>
          <w:rFonts w:hint="eastAsia" w:ascii="楷体_GB2312" w:hAnsi="楷体_GB2312" w:eastAsia="楷体_GB2312" w:cs="楷体_GB2312"/>
          <w:b/>
          <w:color w:val="000000"/>
          <w:sz w:val="32"/>
          <w:szCs w:val="32"/>
          <w:shd w:val="clear" w:color="auto" w:fill="FFFFFF"/>
        </w:rPr>
        <w:t>（四）机关干部科学素质提升行动。</w:t>
      </w:r>
      <w:r>
        <w:rPr>
          <w:rFonts w:hint="eastAsia" w:ascii="仿宋_GB2312" w:hAnsi="仿宋_GB2312" w:eastAsia="仿宋_GB2312" w:cs="仿宋_GB2312"/>
          <w:sz w:val="32"/>
          <w:szCs w:val="32"/>
        </w:rPr>
        <w:t>进一步强化领导干部和公务员对科教兴国、创新驱动发展等战略的认识，提高科学决策能力，树立科学执政理念，增强推进国家治理体系和治理能力现代化的本领。</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1、任务：</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（1）深入贯彻落实新发展理念。找准新发展理念转化为实践的切入点、结合点和着力点，提高领导干部和公务员科学履职水平，强化对科学素质建设重要性和紧迫性的认识。</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（2）提高领导干部和公务员科学素质，提升科学执政水平和科学治理能力。</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2、措施：</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加强科学素质教育培训。认真贯彻落实《干部教育培训工作条例》《公务员培训规定》，形成以“三高四新”战略为核心的科技课程体系，加强前沿科技知识和全球科技发展趋势学习，突出科学精神、科学思想培养，增强把握科学发展规律的能力。利用学习强国、湖南干部教育培训网络学院市州分平台、红星网、红星云、双牌发布、双牌组工在线、党员干部现代远程教育平台等信息化手段开展基层干部教育培训，实施新时代基层干部主题培训行动计划，完善基层干部系统化经常化实战化教育培训机制。</w:t>
      </w:r>
    </w:p>
    <w:p>
      <w:pPr>
        <w:pStyle w:val="9"/>
        <w:widowControl/>
        <w:shd w:val="clear" w:color="auto" w:fill="FFFFFF"/>
        <w:spacing w:before="0" w:beforeAutospacing="0" w:after="0" w:afterAutospacing="0" w:line="620" w:lineRule="exact"/>
        <w:ind w:firstLine="600" w:firstLineChars="250"/>
        <w:jc w:val="both"/>
        <w:rPr>
          <w:rFonts w:ascii="仿宋_GB2312" w:hAnsi="仿宋_GB2312" w:eastAsia="仿宋_GB2312" w:cs="仿宋_GB2312"/>
          <w:sz w:val="32"/>
          <w:szCs w:val="32"/>
        </w:rPr>
      </w:pPr>
      <w:r>
        <w:pict>
          <v:shape id="_x0000_s2061" o:spid="_x0000_s2061" o:spt="202" type="#_x0000_t202" style="position:absolute;left:0pt;margin-left:-11.15pt;margin-top:-295.15pt;height:33.75pt;width:449.6pt;z-index:251670528;mso-width-relative:page;mso-height-relative:page;" stroked="f" coordsize="21600,21600" o:gfxdata="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KO1u4fUAAAACgEAAA8AAAAA&#10;AAAAAQAgAAAAOAAAAGRycy9kb3ducmV2LnhtbFBLAQIUABQAAAAIAIdO4kAtt7y1OwIAAFEEAAAO&#10;AAAAAAAAAAEAIAAAADkBAABkcnMvZTJvRG9jLnhtbFBLBQYAAAAABgAGAFkBAADm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sz w:val="32"/>
          <w:szCs w:val="32"/>
        </w:rPr>
        <w:t>（2）在公务员录用中落实科学素质要求。不断完善干部考核评价机制，在公务员录用考试和党政领导干部、企事业单位负责人任职考察、年度考核中，强化科学素质有关要求并有效落实。</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3、责任分工：</w:t>
      </w:r>
    </w:p>
    <w:p>
      <w:pPr>
        <w:pStyle w:val="9"/>
        <w:widowControl/>
        <w:shd w:val="clear" w:color="auto" w:fill="FFFFFF"/>
        <w:spacing w:before="0" w:beforeAutospacing="0" w:after="0" w:afterAutospacing="0" w:line="62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由县委组织部牵头，县委宣传部、县人社局、县科工信局、县市场监管局、县自然资源局、县委党校、市生态环境局双牌分局、团县委、县妇联、县科协等单位参加。</w:t>
      </w:r>
    </w:p>
    <w:p>
      <w:pPr>
        <w:pStyle w:val="9"/>
        <w:widowControl/>
        <w:shd w:val="clear" w:color="auto" w:fill="FFFFFF"/>
        <w:spacing w:before="0" w:beforeAutospacing="0" w:after="0" w:afterAutospacing="0" w:line="620" w:lineRule="exact"/>
        <w:ind w:firstLine="642" w:firstLineChars="200"/>
        <w:jc w:val="both"/>
        <w:rPr>
          <w:rFonts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color w:val="000000"/>
          <w:sz w:val="32"/>
          <w:szCs w:val="32"/>
          <w:shd w:val="clear" w:color="auto" w:fill="FFFFFF"/>
        </w:rPr>
        <w:t>（五）老年人科学素质提升行动。</w:t>
      </w:r>
      <w:r>
        <w:rPr>
          <w:rFonts w:hint="eastAsia" w:ascii="仿宋_GB2312" w:hAnsi="仿宋_GB2312" w:eastAsia="仿宋_GB2312" w:cs="仿宋_GB2312"/>
          <w:color w:val="000000"/>
          <w:sz w:val="32"/>
          <w:szCs w:val="32"/>
          <w:shd w:val="clear" w:color="auto" w:fill="FFFFFF"/>
        </w:rPr>
        <w:t>以提升信息素养和健康素养为重点，提高老年人适应社会发展能力，增强获得感、幸福感、安全感，实现老有所乐、老有所学、老有所为。</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1、任务：</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（1）加强面向老年人的科普服务，促进老年人养成健康生活方式，提升老年人健康素养水平。</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（2）充分发掘利用老年科技人力资源，鼓励老年人参与志愿服务，发挥老年人在科学素质建设中的积极作用。</w:t>
      </w:r>
    </w:p>
    <w:p>
      <w:pPr>
        <w:pStyle w:val="9"/>
        <w:widowControl/>
        <w:shd w:val="clear" w:color="auto" w:fill="FFFFFF"/>
        <w:spacing w:before="0" w:beforeAutospacing="0" w:after="0" w:afterAutospacing="0" w:line="60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2、措施：</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实施智慧助老行动。聚焦老年人运用智能技术、融入智慧社会的需求和困难，加强家庭、社区、社会协同，提升老年人信息素养。加强社区科普大学、老年（科技）大学、养老服务机构建设，普及智能技术知识和技能，提升老年人信息获取、识别和使用能力，有效预防和应对网络谣言、电信诈骗。</w:t>
      </w:r>
    </w:p>
    <w:p>
      <w:pPr>
        <w:pStyle w:val="9"/>
        <w:widowControl/>
        <w:shd w:val="clear" w:color="auto" w:fill="FFFFFF"/>
        <w:spacing w:before="0" w:beforeAutospacing="0" w:after="0" w:afterAutospacing="0" w:line="580" w:lineRule="exact"/>
        <w:ind w:firstLine="720" w:firstLineChars="300"/>
        <w:jc w:val="both"/>
        <w:rPr>
          <w:rFonts w:ascii="仿宋_GB2312" w:hAnsi="仿宋_GB2312" w:eastAsia="仿宋_GB2312" w:cs="仿宋_GB2312"/>
          <w:color w:val="000000"/>
          <w:sz w:val="32"/>
          <w:szCs w:val="32"/>
          <w:shd w:val="clear" w:color="auto" w:fill="FFFFFF"/>
        </w:rPr>
      </w:pPr>
      <w:r>
        <w:pict>
          <v:shape id="_x0000_s2060" o:spid="_x0000_s2060" o:spt="202" type="#_x0000_t202" style="position:absolute;left:0pt;margin-left:-9.65pt;margin-top:-198.65pt;height:33.75pt;width:461.6pt;z-index:251671552;mso-width-relative:page;mso-height-relative:page;" stroked="f" coordsize="21600,21600" o:gfxdata="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DyDvcV1gAAAAoBAAAPAAAA&#10;AAAAAAEAIAAAADgAAABkcnMvZG93bnJldi54bWxQSwECFAAUAAAACACHTuJAeBUEFj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color w:val="000000"/>
          <w:sz w:val="32"/>
          <w:szCs w:val="32"/>
          <w:shd w:val="clear" w:color="auto" w:fill="FFFFFF"/>
        </w:rPr>
        <w:t xml:space="preserve">（2）加强老年人健康科普服务。组织专家编写老年健康知识宣传教育手册，推动老年人健康科普进社区、进乡村、进机构、进家庭。开展健康大讲堂、老年健康宣传等活动，利用广播、电视、报刊、网络等各类媒体，通过开设专栏和专题节目等形式，普及合理膳食、食品安全、心理健康、体育锻炼、合理用药、应急处置等知识，提高老年人健康素养。     </w:t>
      </w:r>
    </w:p>
    <w:p>
      <w:pPr>
        <w:pStyle w:val="9"/>
        <w:widowControl/>
        <w:shd w:val="clear" w:color="auto" w:fill="FFFFFF"/>
        <w:spacing w:before="0" w:beforeAutospacing="0" w:after="0" w:afterAutospacing="0" w:line="58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3、责任分工：</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由县民政局、县卫健局牵头，县委组织部、县委宣传部、县教育局、县科工信局、县文旅广体局、县市场监督管理局、县科协等单位参加。</w:t>
      </w:r>
    </w:p>
    <w:p>
      <w:pPr>
        <w:pStyle w:val="9"/>
        <w:widowControl/>
        <w:shd w:val="clear" w:color="auto" w:fill="FFFFFF"/>
        <w:spacing w:before="0" w:beforeAutospacing="0" w:after="0" w:afterAutospacing="0" w:line="600" w:lineRule="exact"/>
        <w:ind w:firstLine="640" w:firstLineChars="200"/>
        <w:jc w:val="both"/>
        <w:rPr>
          <w:rFonts w:ascii="仿宋_GB2312" w:hAnsi="仿宋_GB2312" w:eastAsia="仿宋_GB2312" w:cs="仿宋_GB2312"/>
          <w:sz w:val="32"/>
          <w:szCs w:val="32"/>
        </w:rPr>
      </w:pPr>
      <w:r>
        <w:rPr>
          <w:rStyle w:val="13"/>
          <w:rFonts w:hint="eastAsia" w:ascii="黑体" w:hAnsi="黑体" w:eastAsia="黑体" w:cs="黑体"/>
          <w:b w:val="0"/>
          <w:color w:val="000000"/>
          <w:sz w:val="32"/>
          <w:szCs w:val="32"/>
          <w:shd w:val="clear" w:color="auto" w:fill="FFFFFF"/>
        </w:rPr>
        <w:t>三、推进四项重点工程</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深入实施“科普中国”双牌行动计划，着力固根基、补短板、扬优势，构建主体多元、手段多样、供给优质、机制有效的全域、全时科学素质建设体系，在“十四五”时期实施四项重点工程。</w:t>
      </w:r>
    </w:p>
    <w:p>
      <w:pPr>
        <w:pStyle w:val="9"/>
        <w:widowControl/>
        <w:shd w:val="clear" w:color="auto" w:fill="FFFFFF"/>
        <w:spacing w:before="0" w:beforeAutospacing="0" w:after="0" w:afterAutospacing="0" w:line="580" w:lineRule="exact"/>
        <w:ind w:firstLine="642" w:firstLineChars="200"/>
        <w:jc w:val="both"/>
        <w:rPr>
          <w:rFonts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sz w:val="32"/>
          <w:szCs w:val="32"/>
        </w:rPr>
        <w:t>（一）科技资源科普化工程。</w:t>
      </w:r>
      <w:r>
        <w:rPr>
          <w:rFonts w:hint="eastAsia" w:ascii="仿宋_GB2312" w:hAnsi="仿宋_GB2312" w:eastAsia="仿宋_GB2312" w:cs="仿宋_GB2312"/>
          <w:sz w:val="32"/>
          <w:szCs w:val="32"/>
        </w:rPr>
        <w:t>建立完善科技资源科普化机制，不断增强科技创新主体科普责任意识，充分发挥科技设施科</w:t>
      </w:r>
      <w:r>
        <w:rPr>
          <w:rFonts w:hint="eastAsia" w:ascii="仿宋_GB2312" w:hAnsi="仿宋_GB2312" w:eastAsia="仿宋_GB2312" w:cs="仿宋_GB2312"/>
          <w:color w:val="000000"/>
          <w:sz w:val="32"/>
          <w:szCs w:val="32"/>
          <w:shd w:val="clear" w:color="auto" w:fill="FFFFFF"/>
        </w:rPr>
        <w:t>普功能，提升科技工作者科普能力。</w:t>
      </w:r>
    </w:p>
    <w:p>
      <w:pPr>
        <w:pStyle w:val="9"/>
        <w:widowControl/>
        <w:numPr>
          <w:ilvl w:val="0"/>
          <w:numId w:val="2"/>
        </w:numPr>
        <w:shd w:val="clear" w:color="auto" w:fill="FFFFFF"/>
        <w:spacing w:before="0" w:beforeAutospacing="0" w:after="0" w:afterAutospacing="0" w:line="580" w:lineRule="exact"/>
        <w:ind w:firstLine="642" w:firstLineChars="200"/>
        <w:jc w:val="both"/>
        <w:rPr>
          <w:rFonts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任务：</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建立完善科技资源科普转化机制，进一步拓展科技设施科普功能，深化科技工</w:t>
      </w:r>
      <w:r>
        <w:rPr>
          <w:rFonts w:hint="eastAsia" w:ascii="仿宋_GB2312" w:hAnsi="仿宋_GB2312" w:eastAsia="仿宋_GB2312" w:cs="仿宋_GB2312"/>
          <w:sz w:val="32"/>
          <w:szCs w:val="32"/>
        </w:rPr>
        <w:t>作者的理想信念和社会责任。</w:t>
      </w:r>
    </w:p>
    <w:p>
      <w:pPr>
        <w:numPr>
          <w:ilvl w:val="0"/>
          <w:numId w:val="2"/>
        </w:numPr>
        <w:spacing w:line="580" w:lineRule="exact"/>
        <w:ind w:firstLine="642" w:firstLineChars="200"/>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措施：</w:t>
      </w:r>
    </w:p>
    <w:p>
      <w:pPr>
        <w:numPr>
          <w:ilvl w:val="0"/>
          <w:numId w:val="3"/>
        </w:numPr>
        <w:spacing w:line="58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建立完善科技资源科普化机制。将科普工作纳入相关科技创新基地考核。开展科技创新主体、科技创新成果科普服务评价，引导企业和社会组织建立有效的科技资源科普化机制，在科技研发项目、人员岗位聘任、研发设施考核中增加科普任务、增设考核指标；加强科技成果市场供给侧改革，鼓励企业根据公众科普需求导向发展多层次、多维度科普业态，激发科创企业研发科普产品的活力，探索“产业+科普”模式，解决“最初一公里”问题。</w:t>
      </w:r>
    </w:p>
    <w:p>
      <w:pPr>
        <w:spacing w:line="580" w:lineRule="exact"/>
        <w:ind w:firstLine="630" w:firstLineChars="300"/>
        <w:outlineLvl w:val="0"/>
        <w:rPr>
          <w:rFonts w:ascii="仿宋_GB2312" w:hAnsi="仿宋_GB2312" w:eastAsia="仿宋_GB2312" w:cs="仿宋_GB2312"/>
          <w:sz w:val="32"/>
          <w:szCs w:val="32"/>
        </w:rPr>
      </w:pPr>
      <w:r>
        <w:pict>
          <v:shape id="_x0000_s2059" o:spid="_x0000_s2059" o:spt="202" type="#_x0000_t202" style="position:absolute;left:0pt;margin-left:-7.4pt;margin-top:-421.9pt;height:33.75pt;width:444pt;z-index:251672576;mso-width-relative:page;mso-height-relative:page;" stroked="f" coordsize="21600,21600" o:gfxdata="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Br1/9F1gAAAAoBAAAPAAAA&#10;AAAAAAEAIAAAADgAAABkcnMvZG93bnJldi54bWxQSwECFAAUAAAACACHTuJADOl6QT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仿宋_GB2312" w:hAnsi="仿宋_GB2312" w:eastAsia="仿宋_GB2312" w:cs="仿宋_GB2312"/>
          <w:sz w:val="32"/>
          <w:szCs w:val="32"/>
        </w:rPr>
        <w:t>（2）实施科技资源科普化专项行动。支持和指导科研机构、企业等利用科技资源开展科普工作，开发科普资源，及时宣传普及重大科技成果。充分利用相关行业资源，推动高校、科研机构和企业等建设科普场所，面向社会开放。</w:t>
      </w:r>
    </w:p>
    <w:p>
      <w:pPr>
        <w:spacing w:line="60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强化科技工作者的社会责任感。大力弘扬科学家精神，展示科技界优秀典型、生动实践和成就经验，激发创新热情和创造活力。深入开展科学道德和学风建设宣讲活动，引导广大科技工作者坚守社会责任，自立自强，建功立业，成为践行科学家精神的表率。通过宣传教育、能力培训、榜样示范等增强科技人员科普能力，针对社会热点、焦点问题，主动、及时、准确发声。</w:t>
      </w:r>
    </w:p>
    <w:p>
      <w:pPr>
        <w:numPr>
          <w:ilvl w:val="0"/>
          <w:numId w:val="2"/>
        </w:numPr>
        <w:spacing w:line="600" w:lineRule="exact"/>
        <w:ind w:firstLine="642" w:firstLineChars="200"/>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责任分工：</w:t>
      </w:r>
    </w:p>
    <w:p>
      <w:pPr>
        <w:spacing w:line="60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由县科工信局、县教育局牵头，县发改局、县财政局、县人社局、县自然资源局、市生态环境局双牌分局、县科协等单位参加。</w:t>
      </w:r>
    </w:p>
    <w:p>
      <w:pPr>
        <w:spacing w:line="600" w:lineRule="exac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rPr>
        <w:t>（二）科普信息化提升工程。</w:t>
      </w:r>
      <w:r>
        <w:rPr>
          <w:rFonts w:hint="eastAsia" w:ascii="仿宋_GB2312" w:hAnsi="仿宋_GB2312" w:eastAsia="仿宋_GB2312" w:cs="仿宋_GB2312"/>
          <w:sz w:val="32"/>
          <w:szCs w:val="32"/>
        </w:rPr>
        <w:t>提升优质科普内容资源创作和传播能力，推动传统媒体与新媒体深度融合，服务数字社会建设。</w:t>
      </w:r>
    </w:p>
    <w:p>
      <w:pPr>
        <w:spacing w:line="600" w:lineRule="exact"/>
        <w:ind w:right="28" w:firstLine="630" w:firstLineChars="300"/>
        <w:rPr>
          <w:rFonts w:ascii="仿宋_GB2312" w:hAnsi="仿宋_GB2312" w:eastAsia="仿宋_GB2312" w:cs="仿宋_GB2312"/>
          <w:b/>
          <w:sz w:val="32"/>
          <w:szCs w:val="32"/>
        </w:rPr>
      </w:pPr>
      <w:r>
        <w:pict>
          <v:shape id="_x0000_s2058" o:spid="_x0000_s2058" o:spt="202" type="#_x0000_t202" style="position:absolute;left:0pt;margin-left:-15.35pt;margin-top:-44.9pt;height:33.75pt;width:465.8pt;z-index:251673600;mso-width-relative:page;mso-height-relative:page;" stroked="f" coordsize="21600,21600" o:gfxdata="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Ah3ayNQAAAAJAQAADwAAAAAA&#10;AAABACAAAAA4AAAAZHJzL2Rvd25yZXYueG1sUEsBAhQAFAAAAAgAh07iQIGRFlM6AgAAUQQAAA4A&#10;AAAAAAAAAQAgAAAAOQEAAGRycy9lMm9Eb2MueG1sUEsFBgAAAAAGAAYAWQEAAOU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b/>
          <w:sz w:val="32"/>
          <w:szCs w:val="32"/>
        </w:rPr>
        <w:t>1、任务：</w:t>
      </w:r>
    </w:p>
    <w:p>
      <w:pPr>
        <w:spacing w:line="600" w:lineRule="exact"/>
        <w:ind w:right="28"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繁荣科普文艺创作，提升全媒体科学传播能力，构建智慧化科普传播体系。</w:t>
      </w:r>
    </w:p>
    <w:p>
      <w:pPr>
        <w:spacing w:line="600" w:lineRule="exact"/>
        <w:ind w:right="28"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2、措施：</w:t>
      </w:r>
    </w:p>
    <w:p>
      <w:pPr>
        <w:numPr>
          <w:ilvl w:val="0"/>
          <w:numId w:val="4"/>
        </w:numPr>
        <w:spacing w:line="600" w:lineRule="exact"/>
        <w:ind w:right="28"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支持优秀科普原创作品。支持面向经济主战场、面向国家重大需求、面向人民生命健康等重大题材开展科普创作。</w:t>
      </w:r>
    </w:p>
    <w:p>
      <w:pPr>
        <w:spacing w:line="600" w:lineRule="exact"/>
        <w:ind w:right="28"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实施全媒体科学传播能力提升计划。加强媒体从业人员科学传播能力培训，推动全县主流媒体和公共宣传载体增加科学传播内容、增设科普专栏。推动公共交通、户外电子屏、广播村村通、图书、报刊、音像、各类宣传栏等传统媒介广泛开展科普宣传；县融媒体中心结合实际推出科普栏目节目。</w:t>
      </w:r>
    </w:p>
    <w:p>
      <w:pPr>
        <w:spacing w:line="600" w:lineRule="exact"/>
        <w:ind w:right="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（3）实施智慧科普建设工程。强化科普信息落地应用，实现“科普中国科普湖南”嵌入全县党群（政务）服务网络平台、县融媒体中心，融入新时代文明实践中心平台，完善科普资源共享交换机制。</w:t>
      </w:r>
    </w:p>
    <w:p>
      <w:pPr>
        <w:spacing w:line="600" w:lineRule="exact"/>
        <w:ind w:right="2"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3、责任分工：</w:t>
      </w:r>
    </w:p>
    <w:p>
      <w:pPr>
        <w:spacing w:line="620" w:lineRule="exact"/>
        <w:ind w:right="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由县委宣传部、县科工信局、县文旅广体局牵头，县发改局、县教育局、县财政局、县人社局、县自然资源局、市生态环境局双牌分局、县科协等单位参加。</w:t>
      </w:r>
    </w:p>
    <w:p>
      <w:pPr>
        <w:spacing w:line="620" w:lineRule="exact"/>
        <w:ind w:right="2" w:firstLine="642"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rPr>
        <w:t>（三）科普基础设施提升工程。</w:t>
      </w:r>
      <w:r>
        <w:rPr>
          <w:rFonts w:hint="eastAsia" w:ascii="仿宋_GB2312" w:hAnsi="仿宋_GB2312" w:eastAsia="仿宋_GB2312" w:cs="仿宋_GB2312"/>
          <w:sz w:val="32"/>
          <w:szCs w:val="32"/>
        </w:rPr>
        <w:t>加强科普基础设施建设，建立政府引导、多渠道投入的机制，实现资源合理配置和服务均衡化、广覆盖。</w:t>
      </w:r>
    </w:p>
    <w:p>
      <w:pPr>
        <w:spacing w:line="620" w:lineRule="exact"/>
        <w:ind w:right="177"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1、任务：</w:t>
      </w:r>
    </w:p>
    <w:p>
      <w:pPr>
        <w:spacing w:line="620" w:lineRule="exact"/>
        <w:ind w:right="177"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加大科普基础设施建设，建立政府引导、多元兴办、多渠道投入的建设机制，优化资源配置和合理布局，增强科普基础设施科普服务能力，加强科普基础设施建设与发展。</w:t>
      </w:r>
    </w:p>
    <w:p>
      <w:pPr>
        <w:spacing w:line="620" w:lineRule="exact"/>
        <w:ind w:firstLine="630" w:firstLineChars="300"/>
        <w:outlineLvl w:val="0"/>
        <w:rPr>
          <w:rFonts w:ascii="仿宋_GB2312" w:hAnsi="仿宋_GB2312" w:eastAsia="仿宋_GB2312" w:cs="仿宋_GB2312"/>
          <w:b/>
          <w:sz w:val="32"/>
          <w:szCs w:val="32"/>
        </w:rPr>
      </w:pPr>
      <w:r>
        <w:pict>
          <v:shape id="_x0000_s2057" o:spid="_x0000_s2057" o:spt="202" type="#_x0000_t202" style="position:absolute;left:0pt;margin-left:-12.3pt;margin-top:-174.9pt;height:33.75pt;width:455.95pt;z-index:251674624;mso-width-relative:page;mso-height-relative:page;" stroked="f" coordsize="21600,21600" o:gfxdata="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5KYpbtcAAAAKAQAADwAA&#10;AAAAAAABACAAAAA4AAAAZHJzL2Rvd25yZXYueG1sUEsBAhQAFAAAAAgAh07iQNegEgc6AgAAUQQA&#10;AA4AAAAAAAAAAQAgAAAAPA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hAnsi="仿宋_GB2312" w:eastAsia="仿宋_GB2312" w:cs="仿宋_GB2312"/>
          <w:b/>
          <w:sz w:val="32"/>
          <w:szCs w:val="32"/>
        </w:rPr>
        <w:t>2、措施：</w:t>
      </w:r>
    </w:p>
    <w:p>
      <w:pPr>
        <w:numPr>
          <w:ilvl w:val="0"/>
          <w:numId w:val="5"/>
        </w:numPr>
        <w:spacing w:line="62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加强对科普基础设施建设的统筹规划与宏观指导。制定全县科普基础设施发展规划，将科普基础设施建设纳入县公共文化建设的重要内容、全县文明城市考核指标体系及国民经济和社会发展规划。加大对公益性科普基础设施建设和运行经费投入，完善社会资金投入科普基础设施建设的优惠政策。</w:t>
      </w:r>
    </w:p>
    <w:p>
      <w:pPr>
        <w:numPr>
          <w:ilvl w:val="0"/>
          <w:numId w:val="5"/>
        </w:numPr>
        <w:spacing w:line="62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构建服务科学文化素质提升体系。推动文化（图书）馆等融合共建共管共享，打造科学家精神教育基地、公共安全健康教育基地和科学教育资源汇集平台；统筹安排流动科技馆和科普大篷车科普进社区、进农村和进校园活动，提高服务质量和能力。</w:t>
      </w:r>
    </w:p>
    <w:p>
      <w:pPr>
        <w:numPr>
          <w:ilvl w:val="0"/>
          <w:numId w:val="5"/>
        </w:numPr>
        <w:spacing w:line="58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大力加强科普基地建设。开展科普基地创建活动，鼓励和支持各行业各部门建立科普、研学、自然教育等基地，提高科普服务能力。推进图书馆、文化馆等公共设施开展科普活动，拓展科普服务功能。引导和促进公园、景区、车站、电影院等公共场所强化科普服务功能。</w:t>
      </w:r>
    </w:p>
    <w:p>
      <w:pPr>
        <w:spacing w:line="580" w:lineRule="exact"/>
        <w:ind w:firstLine="629" w:firstLineChars="196"/>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3、责任分工：</w:t>
      </w:r>
    </w:p>
    <w:p>
      <w:pPr>
        <w:spacing w:line="58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由县科工信局、县科协、县发改局牵头，县委宣传部、县教育局、县民政局、县财政局、县人社局、县自然资源局、市生态环境局双牌分局、县农业农村局、县卫生健康局、县林业局、县市场监管局、县文旅广体局、县总工会、团县委等单位参加。</w:t>
      </w:r>
    </w:p>
    <w:p>
      <w:pPr>
        <w:spacing w:line="620" w:lineRule="exact"/>
        <w:ind w:firstLine="630" w:firstLineChars="300"/>
        <w:outlineLvl w:val="0"/>
        <w:rPr>
          <w:rFonts w:ascii="仿宋_GB2312" w:hAnsi="仿宋_GB2312" w:eastAsia="仿宋_GB2312" w:cs="仿宋_GB2312"/>
          <w:sz w:val="32"/>
          <w:szCs w:val="32"/>
        </w:rPr>
      </w:pPr>
      <w:r>
        <w:pict>
          <v:shape id="_x0000_s2056" o:spid="_x0000_s2056" o:spt="202" type="#_x0000_t202" style="position:absolute;left:0pt;margin-left:-11.5pt;margin-top:-49.4pt;height:33.75pt;width:449.1pt;z-index:251675648;mso-width-relative:page;mso-height-relative:page;" stroked="f" coordsize="21600,21600" o:gfxdata="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hSXJq9YAAAALAQAADwAA&#10;AAAAAAABACAAAAA4AAAAZHJzL2Rvd25yZXYueG1sUEsBAhQAFAAAAAgAh07iQCf8AQY7AgAAUQQA&#10;AA4AAAAAAAAAAQAgAAAAOw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hAnsi="楷体_GB2312" w:eastAsia="楷体_GB2312" w:cs="楷体_GB2312"/>
          <w:b/>
          <w:sz w:val="32"/>
          <w:szCs w:val="32"/>
        </w:rPr>
        <w:t>（四）基础科普能力提升工程。</w:t>
      </w:r>
      <w:r>
        <w:rPr>
          <w:rFonts w:hint="eastAsia" w:ascii="仿宋_GB2312" w:hAnsi="仿宋_GB2312" w:eastAsia="仿宋_GB2312" w:cs="仿宋_GB2312"/>
          <w:sz w:val="32"/>
          <w:szCs w:val="32"/>
        </w:rPr>
        <w:t>建立健全应急科普协调联动机制，提升基层科普工作能力，基本建成平战结合应急科普体系。</w:t>
      </w:r>
    </w:p>
    <w:p>
      <w:pPr>
        <w:spacing w:line="620" w:lineRule="exact"/>
        <w:ind w:right="91"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1、任务：</w:t>
      </w:r>
    </w:p>
    <w:p>
      <w:pPr>
        <w:spacing w:line="620" w:lineRule="exact"/>
        <w:ind w:right="91"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建立健全平战结合应急科普协调联动机制，提升常态化应急科普工作能力。</w:t>
      </w:r>
    </w:p>
    <w:p>
      <w:pPr>
        <w:spacing w:line="600" w:lineRule="exact"/>
        <w:ind w:right="91"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2、措施：</w:t>
      </w:r>
    </w:p>
    <w:p>
      <w:pPr>
        <w:numPr>
          <w:ilvl w:val="0"/>
          <w:numId w:val="6"/>
        </w:numPr>
        <w:spacing w:line="60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建立应急科普宣教协同机制。建立应急科普部门协同机制，坚持日常宣教与应急宣传相统一，纳入县突发事件应急工作整体规划和协调机制。利用现有设施完善应急科普宣讲平台，组建专家委员会。建设安全应急文化宣教平台和县级安全应急体验基地，支持打造一批应急科普精品，储备和传播优质应急科普内容资源，有效开展传染病防治、防灾减灾、应急避险等主题科普宣教活动。建立应急科普专家队伍，提升应急管理人员和媒体人员的应急科普能力。</w:t>
      </w:r>
    </w:p>
    <w:p>
      <w:pPr>
        <w:numPr>
          <w:ilvl w:val="0"/>
          <w:numId w:val="6"/>
        </w:numPr>
        <w:spacing w:line="60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健全基层科普服务体系。以新时代文明实践中心、党群服务中心、社区服务中心等为阵地，以志愿服务为重要手段的基层科普服务体系。动员学校、医院、企业和社会组织等组建科技志愿服务队，发挥全县科技志愿者作用；加强科普信息员队伍建设，提质提升科普传播能力。</w:t>
      </w:r>
    </w:p>
    <w:p>
      <w:pPr>
        <w:numPr>
          <w:ilvl w:val="0"/>
          <w:numId w:val="6"/>
        </w:numPr>
        <w:spacing w:line="60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实施基层科普服务能力提升工程。加强基层科普设施建设，在城乡社区综合服务设施、社区图书馆、社区书屋、社区大学等平台拓展科普服务功能，探索建立基层科普展览展示资源共享机制。深入开展爱国卫生运动、全国科普日、科技活动周、双创活动周、防灾减灾日、食品安全宣传周等活动，增进公众对科技发展的了解和支持。</w:t>
      </w:r>
    </w:p>
    <w:p>
      <w:pPr>
        <w:spacing w:line="600" w:lineRule="exact"/>
        <w:ind w:firstLine="630" w:firstLineChars="300"/>
        <w:outlineLvl w:val="0"/>
        <w:rPr>
          <w:rFonts w:ascii="仿宋_GB2312" w:hAnsi="仿宋_GB2312" w:eastAsia="仿宋_GB2312" w:cs="仿宋_GB2312"/>
          <w:b/>
          <w:sz w:val="32"/>
          <w:szCs w:val="32"/>
        </w:rPr>
      </w:pPr>
      <w:r>
        <w:pict>
          <v:shape id="_x0000_s2055" o:spid="_x0000_s2055" o:spt="202" type="#_x0000_t202" style="position:absolute;left:0pt;margin-left:-13.1pt;margin-top:-164.15pt;height:29.25pt;width:448.55pt;z-index:251676672;mso-width-relative:page;mso-height-relative:page;" stroked="f" coordsize="21600,21600" o:gfxdata="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F+yXg9QAAAAJAQAADwAAAAAA&#10;AAABACAAAAA4AAAAZHJzL2Rvd25yZXYueG1sUEsBAhQAFAAAAAgAh07iQO95FzY6AgAAUQQAAA4A&#10;AAAAAAAAAQAgAAAAOQEAAGRycy9lMm9Eb2MueG1sUEsFBgAAAAAGAAYAWQEAAOU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ascii="仿宋_GB2312" w:hAnsi="仿宋_GB2312" w:eastAsia="仿宋_GB2312" w:cs="仿宋_GB2312"/>
          <w:b/>
          <w:sz w:val="32"/>
          <w:szCs w:val="32"/>
        </w:rPr>
        <w:t>3、</w:t>
      </w:r>
      <w:r>
        <w:rPr>
          <w:rFonts w:hint="eastAsia" w:ascii="仿宋_GB2312" w:hAnsi="仿宋_GB2312" w:eastAsia="仿宋_GB2312" w:cs="仿宋_GB2312"/>
          <w:b/>
          <w:sz w:val="32"/>
          <w:szCs w:val="32"/>
        </w:rPr>
        <w:t>责任分工：</w:t>
      </w:r>
    </w:p>
    <w:p>
      <w:pPr>
        <w:spacing w:line="62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由县科工信局、县应急管理局、县卫生健康局牵头，县委组织部、县委宣传部、县人社局、县教育局、县财政局、县自然资源局、市生态环境局双牌分局、县农业农村局、县文旅广体局、县科协等单位参加。</w:t>
      </w:r>
    </w:p>
    <w:p>
      <w:pPr>
        <w:spacing w:line="620" w:lineRule="exact"/>
        <w:ind w:firstLine="640" w:firstLineChars="200"/>
        <w:outlineLvl w:val="0"/>
        <w:rPr>
          <w:rStyle w:val="13"/>
          <w:rFonts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四、组织实施</w:t>
      </w:r>
    </w:p>
    <w:p>
      <w:pPr>
        <w:numPr>
          <w:ilvl w:val="0"/>
          <w:numId w:val="7"/>
        </w:numPr>
        <w:spacing w:line="620" w:lineRule="exact"/>
        <w:ind w:firstLine="642" w:firstLineChars="200"/>
        <w:outlineLvl w:val="0"/>
        <w:rPr>
          <w:rFonts w:ascii="楷体_GB2312" w:hAnsi="楷体_GB2312" w:eastAsia="楷体_GB2312" w:cs="楷体_GB2312"/>
          <w:b/>
          <w:sz w:val="32"/>
          <w:szCs w:val="32"/>
        </w:rPr>
      </w:pPr>
      <w:r>
        <w:rPr>
          <w:rFonts w:hint="eastAsia" w:ascii="楷体_GB2312" w:hAnsi="楷体_GB2312" w:eastAsia="楷体_GB2312" w:cs="楷体_GB2312"/>
          <w:b/>
          <w:sz w:val="32"/>
          <w:szCs w:val="32"/>
        </w:rPr>
        <w:t>组织保障</w:t>
      </w:r>
    </w:p>
    <w:p>
      <w:pPr>
        <w:spacing w:line="62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县人民政府负责领导《双牌县全民科学素质行动规划纲要实施计划（2021-2025年）》（以下简称《科学素质纲要实施计划》）实施工作，把公民科学素质发展目标纳入我县国民经济和社会发展规划，加强对《科学素质纲要实施计划》实施的督促检查；县全民科学素质纲要实施工作办公室设在县科协，各牵头部门要把《科学素质纲要实施计划》有关任务纳入相关规划、计划和考核内容；各部门要支持本县全民科学素质纲要实施工作办公室发挥综合协调作用，充分履行工作职责，发挥各自优势，密切配合，形成合力；县科协要发挥县全民科学素质纲要实施工作办公室的综合协调作用，做好沟通联络工作，定期开展科学素质工作培训，会同各有关方面共同推进科学素质建设。</w:t>
      </w:r>
    </w:p>
    <w:p>
      <w:pPr>
        <w:spacing w:line="620" w:lineRule="exact"/>
        <w:ind w:firstLine="602" w:firstLineChars="200"/>
        <w:rPr>
          <w:rFonts w:ascii="楷体_GB2312" w:hAnsi="楷体_GB2312" w:eastAsia="楷体_GB2312" w:cs="楷体_GB2312"/>
          <w:b/>
          <w:w w:val="94"/>
          <w:sz w:val="32"/>
          <w:szCs w:val="32"/>
        </w:rPr>
      </w:pPr>
      <w:r>
        <w:rPr>
          <w:rFonts w:hint="eastAsia" w:ascii="楷体_GB2312" w:hAnsi="楷体_GB2312" w:eastAsia="楷体_GB2312" w:cs="楷体_GB2312"/>
          <w:b/>
          <w:w w:val="94"/>
          <w:sz w:val="32"/>
          <w:szCs w:val="32"/>
        </w:rPr>
        <w:t>（二）机制保障</w:t>
      </w:r>
    </w:p>
    <w:p>
      <w:pPr>
        <w:spacing w:line="62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1、完善检查评估机制。县人民政府对县直部门、乡镇实施工作进行检查评估。</w:t>
      </w:r>
    </w:p>
    <w:p>
      <w:pPr>
        <w:spacing w:line="62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2、完善表彰奖励机制。按照有关规定，“十四五”末，对全县在科学素质建设中作出突出贡献的集体和个人给予表彰和奖励。</w:t>
      </w:r>
    </w:p>
    <w:p>
      <w:pPr>
        <w:spacing w:line="580" w:lineRule="exact"/>
        <w:ind w:firstLine="420" w:firstLineChars="200"/>
        <w:rPr>
          <w:rFonts w:ascii="楷体_GB2312" w:hAnsi="楷体_GB2312" w:eastAsia="楷体_GB2312" w:cs="楷体_GB2312"/>
          <w:b/>
          <w:w w:val="95"/>
          <w:sz w:val="32"/>
          <w:szCs w:val="32"/>
        </w:rPr>
      </w:pPr>
      <w:r>
        <w:pict>
          <v:shape id="_x0000_s2054" o:spid="_x0000_s2054" o:spt="202" type="#_x0000_t202" style="position:absolute;left:0pt;margin-left:-19.55pt;margin-top:-168.15pt;height:33.75pt;width:457.5pt;z-index:251677696;mso-width-relative:page;mso-height-relative:page;" stroked="f" coordsize="21600,21600" o:gfxdata="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78Q1g9YAAAAJAQAADwAAAAAA&#10;AAABACAAAAA4AAAAZHJzL2Rvd25yZXYueG1sUEsBAhQAFAAAAAgAh07iQC/WfLo4AgAAUQQAAA4A&#10;AAAAAAAAAQAgAAAAOwEAAGRycy9lMm9Eb2MueG1sUEsFBgAAAAAGAAYAWQEAAOUFAAAAAA==&#10;">
            <v:path/>
            <v:fill focussize="0,0"/>
            <v:stroke on="f" weight="0.5pt" joinstyle="miter"/>
            <v:imagedata o:title=""/>
            <o:lock v:ext="edit"/>
            <v:textbox>
              <w:txbxContent>
                <w:p>
                  <w:pPr>
                    <w:rPr>
                      <w:u w:val="single"/>
                    </w:rPr>
                  </w:pPr>
                  <w:r>
                    <w:rPr>
                      <w:u w:val="single"/>
                    </w:rPr>
                    <w:t>县人民政府办公室文件                双牌县人民政府公报                2022年第1</w:t>
                  </w:r>
                  <w:r>
                    <w:rPr>
                      <w:rFonts w:hint="eastAsia"/>
                      <w:u w:val="single"/>
                    </w:rPr>
                    <w:t>-2</w:t>
                  </w:r>
                  <w:r>
                    <w:rPr>
                      <w:u w:val="single"/>
                    </w:rPr>
                    <w:t>期</w:t>
                  </w:r>
                </w:p>
              </w:txbxContent>
            </v:textbox>
          </v:shape>
        </w:pict>
      </w:r>
      <w:r>
        <w:rPr>
          <w:rFonts w:hint="eastAsia" w:ascii="楷体_GB2312" w:hAnsi="楷体_GB2312" w:eastAsia="楷体_GB2312" w:cs="楷体_GB2312"/>
          <w:b/>
          <w:w w:val="95"/>
          <w:sz w:val="32"/>
          <w:szCs w:val="32"/>
        </w:rPr>
        <w:t>（三）条件保障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1、完善政策措施。完善我县公民科学素质建设的政策措施，落实有关鼓励科普事业发展的税收优惠等相关政策；开展科学传播职称评定工作，将科普人才列入各级各类人才奖励和资助计划。</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2、保障经费投入。由县政府安排经费保障公民科学素质建设并列入财政预算；根据财力情况和公民科学素质建设发展需要，逐步提高教育、科普经费投入水平，支持科普事业发展。</w:t>
      </w:r>
    </w:p>
    <w:p>
      <w:pPr>
        <w:spacing w:line="580" w:lineRule="exact"/>
        <w:ind w:firstLine="602" w:firstLineChars="200"/>
        <w:rPr>
          <w:rFonts w:ascii="楷体_GB2312" w:hAnsi="楷体_GB2312" w:eastAsia="楷体_GB2312" w:cs="楷体_GB2312"/>
          <w:b/>
          <w:sz w:val="32"/>
          <w:szCs w:val="32"/>
        </w:rPr>
      </w:pPr>
      <w:r>
        <w:rPr>
          <w:rFonts w:hint="eastAsia" w:ascii="楷体_GB2312" w:hAnsi="楷体_GB2312" w:eastAsia="楷体_GB2312" w:cs="楷体_GB2312"/>
          <w:b/>
          <w:w w:val="94"/>
          <w:sz w:val="32"/>
          <w:szCs w:val="32"/>
        </w:rPr>
        <w:t>（四）进度安排</w:t>
      </w:r>
    </w:p>
    <w:p>
      <w:pPr>
        <w:pStyle w:val="9"/>
        <w:widowControl/>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2021年制定双牌县“十四五”全民科学素质工作具体实施计划并启动实施，指导成员单位制定“十四五”全民科学素质工作具体实施办法。2021年-2022年做好国家《全民科学素质纲要》和省、市《全民科学素质纲要实施方案》的宣传工作。2022年-2025年，</w:t>
      </w:r>
      <w:r>
        <w:rPr>
          <w:rFonts w:hint="eastAsia" w:ascii="仿宋_GB2312" w:hAnsi="仿宋_GB2312" w:eastAsia="仿宋_GB2312" w:cs="仿宋_GB2312"/>
          <w:color w:val="000000"/>
          <w:sz w:val="32"/>
          <w:szCs w:val="32"/>
          <w:shd w:val="clear" w:color="auto" w:fill="FFFFFF"/>
        </w:rPr>
        <w:t>全面推进各项任务的落实，坚持问题导向，针对薄弱环节，解决突出问题，切实取得实效。</w:t>
      </w:r>
      <w:r>
        <w:rPr>
          <w:rFonts w:hint="eastAsia" w:ascii="仿宋_GB2312" w:hAnsi="仿宋_GB2312" w:eastAsia="仿宋_GB2312" w:cs="仿宋_GB2312"/>
          <w:sz w:val="32"/>
          <w:szCs w:val="32"/>
        </w:rPr>
        <w:t>2025年，对“十四五”期间落实《科学素质纲要实施计划》及推进全民科学素质工作进行总结和评估。</w:t>
      </w:r>
    </w:p>
    <w:p>
      <w:pPr>
        <w:sectPr>
          <w:type w:val="continuous"/>
          <w:pgSz w:w="11906" w:h="16838"/>
          <w:pgMar w:top="1588" w:right="1701" w:bottom="1474" w:left="1701" w:header="851" w:footer="992" w:gutter="0"/>
          <w:cols w:equalWidth="0" w:num="2">
            <w:col w:w="4039" w:space="425"/>
            <w:col w:w="4039"/>
          </w:cols>
          <w:docGrid w:type="lines" w:linePitch="312" w:charSpace="0"/>
        </w:sectPr>
      </w:pPr>
    </w:p>
    <w:p>
      <w:pPr>
        <w:pStyle w:val="2"/>
        <w:ind w:firstLine="210"/>
      </w:pPr>
    </w:p>
    <w:p>
      <w:pPr>
        <w:pStyle w:val="2"/>
        <w:ind w:firstLine="210"/>
      </w:pPr>
    </w:p>
    <w:p>
      <w:pPr>
        <w:pStyle w:val="18"/>
        <w:wordWrap w:val="0"/>
        <w:spacing w:before="0" w:beforeAutospacing="0" w:after="0" w:afterAutospacing="0" w:line="600" w:lineRule="exact"/>
        <w:jc w:val="right"/>
        <w:rPr>
          <w:rFonts w:hint="eastAsia"/>
        </w:rPr>
      </w:pPr>
    </w:p>
    <w:p>
      <w:pPr>
        <w:pStyle w:val="18"/>
        <w:wordWrap/>
        <w:spacing w:before="0" w:beforeAutospacing="0" w:after="0" w:afterAutospacing="0" w:line="600" w:lineRule="exact"/>
        <w:jc w:val="right"/>
        <w:rPr>
          <w:rFonts w:hint="eastAsia"/>
        </w:rPr>
      </w:pPr>
    </w:p>
    <w:p>
      <w:pPr>
        <w:pStyle w:val="18"/>
        <w:spacing w:before="0" w:beforeAutospacing="0" w:after="0" w:afterAutospacing="0" w:line="600" w:lineRule="exact"/>
        <w:jc w:val="right"/>
        <w:rPr>
          <w:rFonts w:ascii="仿宋_GB2312" w:hAnsi="Times New Roman" w:eastAsia="仿宋_GB2312"/>
          <w:position w:val="-6"/>
          <w:sz w:val="32"/>
          <w:szCs w:val="32"/>
        </w:rPr>
      </w:pPr>
      <w:r>
        <w:tab/>
      </w:r>
      <w:r>
        <w:rPr>
          <w:rFonts w:hint="eastAsia" w:ascii="仿宋_GB2312" w:hAnsi="Times New Roman" w:eastAsia="仿宋_GB2312"/>
          <w:position w:val="-6"/>
          <w:sz w:val="32"/>
          <w:szCs w:val="32"/>
        </w:rPr>
        <w:t xml:space="preserve">  </w:t>
      </w:r>
    </w:p>
    <w:p>
      <w:pPr>
        <w:pStyle w:val="8"/>
        <w:spacing w:line="600" w:lineRule="exact"/>
        <w:jc w:val="center"/>
        <w:rPr>
          <w:rFonts w:ascii="方正大标宋简体" w:eastAsia="方正大标宋简体"/>
          <w:sz w:val="32"/>
          <w:szCs w:val="32"/>
        </w:rPr>
      </w:pPr>
    </w:p>
    <w:p>
      <w:pPr>
        <w:pStyle w:val="18"/>
        <w:spacing w:before="0" w:beforeAutospacing="0" w:after="0" w:afterAutospacing="0" w:line="600" w:lineRule="exact"/>
        <w:jc w:val="center"/>
        <w:rPr>
          <w:rFonts w:ascii="方正大标宋_GBK" w:eastAsia="方正大标宋_GBK" w:cs="方正小标宋简体"/>
          <w:sz w:val="40"/>
          <w:szCs w:val="40"/>
        </w:rPr>
      </w:pPr>
      <w:r>
        <w:pict>
          <v:shape id="_x0000_s2052" o:spid="_x0000_s2052" o:spt="202" type="#_x0000_t202" style="position:absolute;left:0pt;margin-left:-12.35pt;margin-top:-46.4pt;height:33.75pt;width:461.3pt;z-index:251679744;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Nehqn3WAAAACgEAAA8AAAAA&#10;AAAAAQAgAAAAOAAAAGRycy9kb3ducmV2LnhtbFBLAQIUABQAAAAIAIdO4kCqKCKXOQIAAFEEAAAO&#10;AAAAAAAAAAEAIAAAADsBAABkcnMvZTJvRG9jLnhtbFBLBQYAAAAABgAGAFkBAADmBQ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方正大标宋_GBK" w:eastAsia="方正大标宋_GBK" w:cs="方正小标宋简体"/>
          <w:sz w:val="40"/>
          <w:szCs w:val="40"/>
        </w:rPr>
        <w:t>双牌县人民政府办公室</w:t>
      </w:r>
    </w:p>
    <w:p>
      <w:pPr>
        <w:spacing w:line="600" w:lineRule="exact"/>
        <w:jc w:val="center"/>
        <w:rPr>
          <w:rFonts w:ascii="方正大标宋_GBK" w:eastAsia="方正大标宋_GBK" w:cs="方正小标宋简体"/>
          <w:sz w:val="40"/>
          <w:szCs w:val="40"/>
        </w:rPr>
      </w:pPr>
      <w:r>
        <w:rPr>
          <w:rFonts w:hint="eastAsia" w:ascii="方正大标宋_GBK" w:eastAsia="方正大标宋_GBK" w:cs="方正小标宋简体"/>
          <w:sz w:val="40"/>
          <w:szCs w:val="40"/>
        </w:rPr>
        <w:t>关于全县在省政府2021年真抓实干督查激励中</w:t>
      </w:r>
    </w:p>
    <w:p>
      <w:pPr>
        <w:spacing w:line="600" w:lineRule="exact"/>
        <w:jc w:val="center"/>
        <w:rPr>
          <w:rFonts w:ascii="方正大标宋_GBK" w:hAnsi="Times New Roman" w:eastAsia="方正大标宋_GBK" w:cs="Times New Roman"/>
          <w:sz w:val="40"/>
          <w:szCs w:val="40"/>
        </w:rPr>
      </w:pPr>
      <w:r>
        <w:rPr>
          <w:rFonts w:hint="eastAsia" w:ascii="方正大标宋_GBK" w:eastAsia="方正大标宋_GBK" w:cs="方正小标宋简体"/>
          <w:sz w:val="40"/>
          <w:szCs w:val="40"/>
        </w:rPr>
        <w:t>获奖情况的</w:t>
      </w:r>
      <w:r>
        <w:rPr>
          <w:rFonts w:hint="eastAsia" w:ascii="方正大标宋_GBK" w:hAnsi="Times New Roman" w:eastAsia="方正大标宋_GBK" w:cs="Times New Roman"/>
          <w:sz w:val="40"/>
          <w:szCs w:val="40"/>
        </w:rPr>
        <w:t>通报</w:t>
      </w:r>
    </w:p>
    <w:p>
      <w:pPr>
        <w:pStyle w:val="18"/>
        <w:spacing w:before="0" w:beforeAutospacing="0" w:after="0" w:afterAutospacing="0" w:line="600" w:lineRule="exact"/>
        <w:jc w:val="center"/>
        <w:rPr>
          <w:rFonts w:ascii="仿宋_GB2312" w:hAnsi="Times New Roman" w:eastAsia="仿宋_GB2312"/>
          <w:position w:val="-6"/>
          <w:sz w:val="32"/>
          <w:szCs w:val="32"/>
        </w:rPr>
      </w:pPr>
      <w:r>
        <w:rPr>
          <w:rFonts w:hint="eastAsia" w:ascii="仿宋_GB2312" w:hAnsi="Times New Roman" w:eastAsia="仿宋_GB2312"/>
          <w:position w:val="-6"/>
          <w:sz w:val="32"/>
          <w:szCs w:val="32"/>
        </w:rPr>
        <w:t>双政办函〔2022〕2号</w:t>
      </w:r>
    </w:p>
    <w:p>
      <w:pPr>
        <w:pStyle w:val="2"/>
        <w:ind w:firstLine="210"/>
      </w:pPr>
    </w:p>
    <w:p>
      <w:pPr>
        <w:pStyle w:val="2"/>
        <w:ind w:firstLine="210"/>
      </w:pPr>
    </w:p>
    <w:p>
      <w:pPr>
        <w:spacing w:line="600" w:lineRule="exact"/>
        <w:rPr>
          <w:rFonts w:ascii="仿宋_GB2312" w:hAnsi="Times New Roman" w:eastAsia="仿宋_GB2312"/>
          <w:sz w:val="32"/>
          <w:szCs w:val="32"/>
        </w:rPr>
        <w:sectPr>
          <w:type w:val="continuous"/>
          <w:pgSz w:w="11906" w:h="16838"/>
          <w:pgMar w:top="1588" w:right="1701" w:bottom="1474" w:left="1701" w:header="851" w:footer="992" w:gutter="0"/>
          <w:cols w:space="720" w:num="1"/>
          <w:docGrid w:type="lines" w:linePitch="312" w:charSpace="0"/>
        </w:sectPr>
      </w:pPr>
    </w:p>
    <w:p>
      <w:pPr>
        <w:spacing w:line="600" w:lineRule="exact"/>
        <w:rPr>
          <w:rFonts w:ascii="仿宋_GB2312" w:hAnsi="Times New Roman" w:eastAsia="仿宋_GB2312"/>
          <w:sz w:val="32"/>
          <w:szCs w:val="32"/>
        </w:rPr>
      </w:pPr>
      <w:r>
        <w:rPr>
          <w:rFonts w:hint="eastAsia" w:ascii="仿宋_GB2312" w:hAnsi="Times New Roman" w:eastAsia="仿宋_GB2312"/>
          <w:sz w:val="32"/>
          <w:szCs w:val="32"/>
        </w:rPr>
        <w:t>各乡镇人民政府，阳明山管理局，双牌产业开发区，县直及省、市驻双有关单位：</w:t>
      </w:r>
    </w:p>
    <w:p>
      <w:pPr>
        <w:spacing w:line="600" w:lineRule="exact"/>
        <w:ind w:firstLine="640" w:firstLineChars="200"/>
        <w:rPr>
          <w:rFonts w:ascii="仿宋_GB2312" w:eastAsia="仿宋_GB2312" w:cs="仿宋_GB2312"/>
          <w:sz w:val="32"/>
          <w:szCs w:val="32"/>
        </w:rPr>
      </w:pPr>
      <w:r>
        <w:rPr>
          <w:rFonts w:hint="eastAsia" w:ascii="仿宋_GB2312" w:hAnsi="Times New Roman" w:eastAsia="仿宋_GB2312" w:cs="仿宋_GB2312"/>
          <w:sz w:val="32"/>
          <w:szCs w:val="32"/>
        </w:rPr>
        <w:t>为进一步放大激励、鞭策效应，经县人民政府同意，现将全县在省政府2021年真抓实干督查激励中获奖情况通报如下：</w:t>
      </w:r>
    </w:p>
    <w:p>
      <w:pPr>
        <w:pStyle w:val="3"/>
        <w:spacing w:after="0" w:line="600" w:lineRule="exact"/>
        <w:ind w:firstLine="640" w:firstLineChars="200"/>
        <w:rPr>
          <w:rFonts w:ascii="黑体" w:eastAsia="黑体" w:cs="黑体"/>
          <w:sz w:val="32"/>
          <w:szCs w:val="32"/>
        </w:rPr>
      </w:pPr>
      <w:r>
        <w:rPr>
          <w:rFonts w:hint="eastAsia" w:ascii="黑体" w:eastAsia="黑体" w:cs="黑体"/>
          <w:sz w:val="32"/>
          <w:szCs w:val="32"/>
        </w:rPr>
        <w:t>一、</w:t>
      </w:r>
      <w:r>
        <w:rPr>
          <w:rFonts w:ascii="黑体" w:eastAsia="黑体" w:cs="黑体"/>
          <w:sz w:val="32"/>
          <w:szCs w:val="32"/>
        </w:rPr>
        <w:t>基本情况</w:t>
      </w:r>
    </w:p>
    <w:p>
      <w:pPr>
        <w:pStyle w:val="3"/>
        <w:spacing w:after="0"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根据《湖南省人民政府办公厅关于对20</w:t>
      </w:r>
      <w:r>
        <w:rPr>
          <w:rFonts w:ascii="仿宋_GB2312" w:eastAsia="仿宋_GB2312" w:cs="仿宋_GB2312"/>
          <w:sz w:val="32"/>
          <w:szCs w:val="32"/>
        </w:rPr>
        <w:t>21</w:t>
      </w:r>
      <w:r>
        <w:rPr>
          <w:rFonts w:hint="eastAsia" w:ascii="仿宋_GB2312" w:eastAsia="仿宋_GB2312" w:cs="仿宋_GB2312"/>
          <w:sz w:val="32"/>
          <w:szCs w:val="32"/>
        </w:rPr>
        <w:t>年度真抓实干成效明显地区予以表扬激励的通报》（湘政办发〔202</w:t>
      </w:r>
      <w:r>
        <w:rPr>
          <w:rFonts w:ascii="仿宋_GB2312" w:eastAsia="仿宋_GB2312" w:cs="仿宋_GB2312"/>
          <w:sz w:val="32"/>
          <w:szCs w:val="32"/>
        </w:rPr>
        <w:t>2</w:t>
      </w:r>
      <w:r>
        <w:rPr>
          <w:rFonts w:hint="eastAsia" w:ascii="仿宋_GB2312" w:eastAsia="仿宋_GB2312" w:cs="仿宋_GB2312"/>
          <w:sz w:val="32"/>
          <w:szCs w:val="32"/>
        </w:rPr>
        <w:t>〕</w:t>
      </w:r>
      <w:r>
        <w:rPr>
          <w:rFonts w:ascii="仿宋_GB2312" w:eastAsia="仿宋_GB2312" w:cs="仿宋_GB2312"/>
          <w:sz w:val="32"/>
          <w:szCs w:val="32"/>
        </w:rPr>
        <w:t>5</w:t>
      </w:r>
      <w:r>
        <w:rPr>
          <w:rFonts w:hint="eastAsia" w:ascii="仿宋_GB2312" w:eastAsia="仿宋_GB2312" w:cs="仿宋_GB2312"/>
          <w:sz w:val="32"/>
          <w:szCs w:val="32"/>
        </w:rPr>
        <w:t>号），省政府20</w:t>
      </w:r>
      <w:r>
        <w:rPr>
          <w:rFonts w:ascii="仿宋_GB2312" w:eastAsia="仿宋_GB2312" w:cs="仿宋_GB2312"/>
          <w:sz w:val="32"/>
          <w:szCs w:val="32"/>
        </w:rPr>
        <w:t>21</w:t>
      </w:r>
      <w:r>
        <w:rPr>
          <w:rFonts w:hint="eastAsia" w:ascii="仿宋_GB2312" w:eastAsia="仿宋_GB2312" w:cs="仿宋_GB2312"/>
          <w:sz w:val="32"/>
          <w:szCs w:val="32"/>
        </w:rPr>
        <w:t>年真抓实干督查</w:t>
      </w:r>
      <w:r>
        <w:rPr>
          <w:rFonts w:ascii="仿宋_GB2312" w:eastAsia="仿宋_GB2312" w:cs="仿宋_GB2312"/>
          <w:sz w:val="32"/>
          <w:szCs w:val="32"/>
        </w:rPr>
        <w:t>激励共</w:t>
      </w:r>
      <w:r>
        <w:rPr>
          <w:rFonts w:hint="eastAsia" w:ascii="仿宋_GB2312" w:eastAsia="仿宋_GB2312" w:cs="仿宋_GB2312"/>
          <w:sz w:val="32"/>
          <w:szCs w:val="32"/>
        </w:rPr>
        <w:t>表扬524次，奖励资金7.558亿元。我县获表扬3次，占</w:t>
      </w:r>
      <w:r>
        <w:rPr>
          <w:rFonts w:ascii="仿宋_GB2312" w:eastAsia="仿宋_GB2312" w:cs="仿宋_GB2312"/>
          <w:sz w:val="32"/>
          <w:szCs w:val="32"/>
        </w:rPr>
        <w:t>全市各</w:t>
      </w:r>
      <w:r>
        <w:rPr>
          <w:rFonts w:hint="eastAsia" w:ascii="仿宋_GB2312" w:eastAsia="仿宋_GB2312" w:cs="仿宋_GB2312"/>
          <w:sz w:val="32"/>
          <w:szCs w:val="32"/>
        </w:rPr>
        <w:t>县区34次的8.8%，排</w:t>
      </w:r>
      <w:r>
        <w:rPr>
          <w:rFonts w:ascii="仿宋_GB2312" w:eastAsia="仿宋_GB2312" w:cs="仿宋_GB2312"/>
          <w:sz w:val="32"/>
          <w:szCs w:val="32"/>
        </w:rPr>
        <w:t>全市各</w:t>
      </w:r>
      <w:r>
        <w:rPr>
          <w:rFonts w:hint="eastAsia" w:ascii="仿宋_GB2312" w:eastAsia="仿宋_GB2312" w:cs="仿宋_GB2312"/>
          <w:sz w:val="32"/>
          <w:szCs w:val="32"/>
        </w:rPr>
        <w:t>县区第6位；获资金奖励300万元，占</w:t>
      </w:r>
      <w:r>
        <w:rPr>
          <w:rFonts w:ascii="仿宋_GB2312" w:eastAsia="仿宋_GB2312" w:cs="仿宋_GB2312"/>
          <w:sz w:val="32"/>
          <w:szCs w:val="32"/>
        </w:rPr>
        <w:t>全市</w:t>
      </w:r>
      <w:r>
        <w:rPr>
          <w:rFonts w:hint="eastAsia" w:ascii="仿宋_GB2312" w:eastAsia="仿宋_GB2312" w:cs="仿宋_GB2312"/>
          <w:sz w:val="32"/>
          <w:szCs w:val="32"/>
        </w:rPr>
        <w:t>各县区3450万元的8.6%，</w:t>
      </w:r>
      <w:r>
        <w:rPr>
          <w:rFonts w:ascii="仿宋_GB2312" w:eastAsia="仿宋_GB2312" w:cs="仿宋_GB2312"/>
          <w:sz w:val="32"/>
          <w:szCs w:val="32"/>
        </w:rPr>
        <w:t>在全市</w:t>
      </w:r>
      <w:r>
        <w:rPr>
          <w:rFonts w:hint="eastAsia" w:ascii="仿宋_GB2312" w:eastAsia="仿宋_GB2312" w:cs="仿宋_GB2312"/>
          <w:sz w:val="32"/>
          <w:szCs w:val="32"/>
        </w:rPr>
        <w:t>各县区排第6位（详见附件）。</w:t>
      </w:r>
    </w:p>
    <w:p>
      <w:pPr>
        <w:spacing w:line="600" w:lineRule="exact"/>
        <w:ind w:firstLine="642" w:firstLineChars="200"/>
        <w:rPr>
          <w:rFonts w:ascii="仿宋_GB2312" w:eastAsia="仿宋_GB2312" w:cs="仿宋_GB2312"/>
          <w:sz w:val="32"/>
          <w:szCs w:val="32"/>
        </w:rPr>
      </w:pPr>
      <w:r>
        <w:rPr>
          <w:rFonts w:hint="eastAsia" w:ascii="楷体_GB2312" w:eastAsia="楷体_GB2312" w:cs="仿宋_GB2312"/>
          <w:b/>
          <w:sz w:val="32"/>
          <w:szCs w:val="32"/>
        </w:rPr>
        <w:t>1.县市区获表扬34次、占全省8.9%、排全省第3位，获资金奖励3450万元、占全省9.2%、排全省第3位。</w:t>
      </w:r>
      <w:r>
        <w:rPr>
          <w:rFonts w:hint="eastAsia" w:ascii="仿宋_GB2312" w:eastAsia="仿宋_GB2312" w:cs="仿宋_GB2312"/>
          <w:sz w:val="32"/>
          <w:szCs w:val="32"/>
        </w:rPr>
        <w:t>县市区</w:t>
      </w:r>
      <w:r>
        <w:rPr>
          <w:rFonts w:ascii="仿宋_GB2312" w:eastAsia="仿宋_GB2312" w:cs="仿宋_GB2312"/>
          <w:sz w:val="32"/>
          <w:szCs w:val="32"/>
        </w:rPr>
        <w:t>呈现“大面积发力、</w:t>
      </w:r>
      <w:r>
        <w:rPr>
          <w:rFonts w:hint="eastAsia" w:ascii="仿宋_GB2312" w:eastAsia="仿宋_GB2312" w:cs="仿宋_GB2312"/>
          <w:sz w:val="32"/>
          <w:szCs w:val="32"/>
        </w:rPr>
        <w:t>齐头并进</w:t>
      </w:r>
      <w:r>
        <w:rPr>
          <w:rFonts w:ascii="仿宋_GB2312" w:eastAsia="仿宋_GB2312" w:cs="仿宋_GB2312"/>
          <w:sz w:val="32"/>
          <w:szCs w:val="32"/>
        </w:rPr>
        <w:t>”格局，</w:t>
      </w:r>
      <w:r>
        <w:rPr>
          <w:rFonts w:hint="eastAsia" w:ascii="仿宋_GB2312" w:eastAsia="仿宋_GB2312" w:cs="仿宋_GB2312"/>
          <w:sz w:val="32"/>
          <w:szCs w:val="32"/>
        </w:rPr>
        <w:t>对全市</w:t>
      </w:r>
      <w:r>
        <w:rPr>
          <w:rFonts w:ascii="仿宋_GB2312" w:eastAsia="仿宋_GB2312" w:cs="仿宋_GB2312"/>
          <w:sz w:val="32"/>
          <w:szCs w:val="32"/>
        </w:rPr>
        <w:t>排位</w:t>
      </w:r>
      <w:r>
        <w:rPr>
          <w:rFonts w:hint="eastAsia" w:ascii="仿宋_GB2312" w:eastAsia="仿宋_GB2312" w:cs="仿宋_GB2312"/>
          <w:sz w:val="32"/>
          <w:szCs w:val="32"/>
        </w:rPr>
        <w:t>贡献大</w:t>
      </w:r>
      <w:r>
        <w:rPr>
          <w:rFonts w:ascii="仿宋_GB2312" w:eastAsia="仿宋_GB2312" w:cs="仿宋_GB2312"/>
          <w:sz w:val="32"/>
          <w:szCs w:val="32"/>
        </w:rPr>
        <w:t>。其中，</w:t>
      </w:r>
      <w:r>
        <w:rPr>
          <w:rFonts w:hint="eastAsia" w:ascii="仿宋_GB2312" w:eastAsia="仿宋_GB2312" w:cs="仿宋_GB2312"/>
          <w:sz w:val="32"/>
          <w:szCs w:val="32"/>
        </w:rPr>
        <w:t>江永县</w:t>
      </w:r>
      <w:r>
        <w:rPr>
          <w:rFonts w:ascii="仿宋_GB2312" w:eastAsia="仿宋_GB2312" w:cs="仿宋_GB2312"/>
          <w:sz w:val="32"/>
          <w:szCs w:val="32"/>
        </w:rPr>
        <w:t>获表扬</w:t>
      </w:r>
      <w:r>
        <w:rPr>
          <w:rFonts w:hint="eastAsia" w:ascii="仿宋_GB2312" w:eastAsia="仿宋_GB2312" w:cs="仿宋_GB2312"/>
          <w:sz w:val="32"/>
          <w:szCs w:val="32"/>
        </w:rPr>
        <w:t>5</w:t>
      </w:r>
      <w:r>
        <w:rPr>
          <w:rFonts w:ascii="仿宋_GB2312" w:eastAsia="仿宋_GB2312" w:cs="仿宋_GB2312"/>
          <w:sz w:val="32"/>
          <w:szCs w:val="32"/>
        </w:rPr>
        <w:t>次，</w:t>
      </w:r>
      <w:r>
        <w:rPr>
          <w:rFonts w:hint="eastAsia" w:ascii="仿宋_GB2312" w:eastAsia="仿宋_GB2312" w:cs="仿宋_GB2312"/>
          <w:sz w:val="32"/>
          <w:szCs w:val="32"/>
        </w:rPr>
        <w:t>是全省20个获</w:t>
      </w:r>
      <w:r>
        <w:rPr>
          <w:rFonts w:ascii="仿宋_GB2312" w:eastAsia="仿宋_GB2312" w:cs="仿宋_GB2312"/>
          <w:sz w:val="32"/>
          <w:szCs w:val="32"/>
        </w:rPr>
        <w:t>表扬</w:t>
      </w:r>
      <w:r>
        <w:rPr>
          <w:rFonts w:hint="eastAsia" w:ascii="仿宋_GB2312" w:eastAsia="仿宋_GB2312" w:cs="仿宋_GB2312"/>
          <w:sz w:val="32"/>
          <w:szCs w:val="32"/>
        </w:rPr>
        <w:t>5次以上的县市区</w:t>
      </w:r>
      <w:r>
        <w:rPr>
          <w:rFonts w:ascii="仿宋_GB2312" w:eastAsia="仿宋_GB2312" w:cs="仿宋_GB2312"/>
          <w:sz w:val="32"/>
          <w:szCs w:val="32"/>
        </w:rPr>
        <w:t>之一；</w:t>
      </w:r>
      <w:r>
        <w:rPr>
          <w:rFonts w:hint="eastAsia" w:ascii="仿宋_GB2312" w:eastAsia="仿宋_GB2312" w:cs="仿宋_GB2312"/>
          <w:sz w:val="32"/>
          <w:szCs w:val="32"/>
        </w:rPr>
        <w:t>零陵区、祁阳市、东安县、道县</w:t>
      </w:r>
      <w:r>
        <w:rPr>
          <w:rFonts w:ascii="仿宋_GB2312" w:eastAsia="仿宋_GB2312" w:cs="仿宋_GB2312"/>
          <w:sz w:val="32"/>
          <w:szCs w:val="32"/>
        </w:rPr>
        <w:t>获表扬</w:t>
      </w:r>
      <w:r>
        <w:rPr>
          <w:rFonts w:hint="eastAsia" w:ascii="仿宋_GB2312" w:eastAsia="仿宋_GB2312" w:cs="仿宋_GB2312"/>
          <w:sz w:val="32"/>
          <w:szCs w:val="32"/>
        </w:rPr>
        <w:t>各4</w:t>
      </w:r>
      <w:r>
        <w:rPr>
          <w:rFonts w:ascii="仿宋_GB2312" w:eastAsia="仿宋_GB2312" w:cs="仿宋_GB2312"/>
          <w:sz w:val="32"/>
          <w:szCs w:val="32"/>
        </w:rPr>
        <w:t>次</w:t>
      </w:r>
      <w:r>
        <w:rPr>
          <w:rFonts w:hint="eastAsia" w:ascii="仿宋_GB2312" w:eastAsia="仿宋_GB2312" w:cs="仿宋_GB2312"/>
          <w:sz w:val="32"/>
          <w:szCs w:val="32"/>
        </w:rPr>
        <w:t>，双牌县、江华县、宁远县</w:t>
      </w:r>
      <w:r>
        <w:rPr>
          <w:rFonts w:ascii="仿宋_GB2312" w:eastAsia="仿宋_GB2312" w:cs="仿宋_GB2312"/>
          <w:sz w:val="32"/>
          <w:szCs w:val="32"/>
        </w:rPr>
        <w:t>获表扬</w:t>
      </w:r>
      <w:r>
        <w:rPr>
          <w:rFonts w:hint="eastAsia" w:ascii="仿宋_GB2312" w:eastAsia="仿宋_GB2312" w:cs="仿宋_GB2312"/>
          <w:sz w:val="32"/>
          <w:szCs w:val="32"/>
        </w:rPr>
        <w:t>各3</w:t>
      </w:r>
      <w:r>
        <w:rPr>
          <w:rFonts w:ascii="仿宋_GB2312" w:eastAsia="仿宋_GB2312" w:cs="仿宋_GB2312"/>
          <w:sz w:val="32"/>
          <w:szCs w:val="32"/>
        </w:rPr>
        <w:t>次</w:t>
      </w:r>
      <w:r>
        <w:rPr>
          <w:rFonts w:hint="eastAsia" w:ascii="仿宋_GB2312" w:eastAsia="仿宋_GB2312" w:cs="仿宋_GB2312"/>
          <w:sz w:val="32"/>
          <w:szCs w:val="32"/>
        </w:rPr>
        <w:t>，新田县</w:t>
      </w:r>
      <w:r>
        <w:rPr>
          <w:rFonts w:ascii="仿宋_GB2312" w:eastAsia="仿宋_GB2312" w:cs="仿宋_GB2312"/>
          <w:sz w:val="32"/>
          <w:szCs w:val="32"/>
        </w:rPr>
        <w:t>获表扬</w:t>
      </w:r>
      <w:r>
        <w:rPr>
          <w:rFonts w:hint="eastAsia" w:ascii="仿宋_GB2312" w:eastAsia="仿宋_GB2312" w:cs="仿宋_GB2312"/>
          <w:sz w:val="32"/>
          <w:szCs w:val="32"/>
        </w:rPr>
        <w:t>2</w:t>
      </w:r>
      <w:r>
        <w:rPr>
          <w:rFonts w:ascii="仿宋_GB2312" w:eastAsia="仿宋_GB2312" w:cs="仿宋_GB2312"/>
          <w:sz w:val="32"/>
          <w:szCs w:val="32"/>
        </w:rPr>
        <w:t>次</w:t>
      </w:r>
      <w:r>
        <w:rPr>
          <w:rFonts w:hint="eastAsia" w:ascii="仿宋_GB2312" w:eastAsia="仿宋_GB2312" w:cs="仿宋_GB2312"/>
          <w:sz w:val="32"/>
          <w:szCs w:val="32"/>
        </w:rPr>
        <w:t>，冷水滩区</w:t>
      </w:r>
      <w:r>
        <w:rPr>
          <w:rFonts w:ascii="仿宋_GB2312" w:eastAsia="仿宋_GB2312" w:cs="仿宋_GB2312"/>
          <w:sz w:val="32"/>
          <w:szCs w:val="32"/>
        </w:rPr>
        <w:t>、</w:t>
      </w:r>
      <w:r>
        <w:rPr>
          <w:rFonts w:hint="eastAsia" w:ascii="仿宋_GB2312" w:eastAsia="仿宋_GB2312" w:cs="仿宋_GB2312"/>
          <w:sz w:val="32"/>
          <w:szCs w:val="32"/>
        </w:rPr>
        <w:t>回龙圩管理区</w:t>
      </w:r>
      <w:r>
        <w:rPr>
          <w:rFonts w:ascii="仿宋_GB2312" w:eastAsia="仿宋_GB2312" w:cs="仿宋_GB2312"/>
          <w:sz w:val="32"/>
          <w:szCs w:val="32"/>
        </w:rPr>
        <w:t>获表扬各</w:t>
      </w:r>
      <w:r>
        <w:rPr>
          <w:rFonts w:hint="eastAsia" w:ascii="仿宋_GB2312" w:eastAsia="仿宋_GB2312" w:cs="仿宋_GB2312"/>
          <w:sz w:val="32"/>
          <w:szCs w:val="32"/>
        </w:rPr>
        <w:t>1</w:t>
      </w:r>
      <w:r>
        <w:rPr>
          <w:rFonts w:ascii="仿宋_GB2312" w:eastAsia="仿宋_GB2312" w:cs="仿宋_GB2312"/>
          <w:sz w:val="32"/>
          <w:szCs w:val="32"/>
        </w:rPr>
        <w:t>次</w:t>
      </w:r>
      <w:r>
        <w:rPr>
          <w:rFonts w:hint="eastAsia" w:ascii="仿宋_GB2312" w:eastAsia="仿宋_GB2312" w:cs="仿宋_GB2312"/>
          <w:sz w:val="32"/>
          <w:szCs w:val="32"/>
        </w:rPr>
        <w:t>。</w:t>
      </w:r>
      <w:r>
        <w:rPr>
          <w:rFonts w:ascii="仿宋_GB2312" w:eastAsia="仿宋_GB2312" w:cs="仿宋_GB2312"/>
          <w:sz w:val="32"/>
          <w:szCs w:val="32"/>
        </w:rPr>
        <w:t>道</w:t>
      </w:r>
      <w:r>
        <w:rPr>
          <w:rFonts w:hint="eastAsia" w:ascii="仿宋_GB2312" w:eastAsia="仿宋_GB2312" w:cs="仿宋_GB2312"/>
          <w:sz w:val="32"/>
          <w:szCs w:val="32"/>
        </w:rPr>
        <w:t>县获得</w:t>
      </w:r>
      <w:r>
        <w:rPr>
          <w:rFonts w:ascii="仿宋_GB2312" w:eastAsia="仿宋_GB2312" w:cs="仿宋_GB2312"/>
          <w:sz w:val="32"/>
          <w:szCs w:val="32"/>
        </w:rPr>
        <w:t>本县</w:t>
      </w:r>
      <w:r>
        <w:rPr>
          <w:rFonts w:hint="eastAsia" w:ascii="仿宋_GB2312" w:eastAsia="仿宋_GB2312" w:cs="仿宋_GB2312"/>
          <w:sz w:val="32"/>
          <w:szCs w:val="32"/>
        </w:rPr>
        <w:t>年度</w:t>
      </w:r>
      <w:r>
        <w:rPr>
          <w:rFonts w:ascii="仿宋_GB2312" w:eastAsia="仿宋_GB2312" w:cs="仿宋_GB2312"/>
          <w:sz w:val="32"/>
          <w:szCs w:val="32"/>
        </w:rPr>
        <w:t>中央和省级财政</w:t>
      </w:r>
      <w:r>
        <w:rPr>
          <w:rFonts w:hint="eastAsia" w:ascii="仿宋_GB2312" w:eastAsia="仿宋_GB2312" w:cs="仿宋_GB2312"/>
          <w:sz w:val="32"/>
          <w:szCs w:val="32"/>
        </w:rPr>
        <w:t>高标准农田建设资金的5%奖励。</w:t>
      </w:r>
    </w:p>
    <w:p>
      <w:pPr>
        <w:pStyle w:val="5"/>
        <w:spacing w:line="620" w:lineRule="exact"/>
        <w:ind w:left="0" w:firstLine="630" w:firstLineChars="300"/>
        <w:rPr>
          <w:rFonts w:ascii="仿宋_GB2312" w:eastAsia="仿宋_GB2312" w:cs="仿宋_GB2312"/>
          <w:sz w:val="32"/>
          <w:szCs w:val="32"/>
        </w:rPr>
      </w:pPr>
      <w:r>
        <w:pict>
          <v:shape id="_x0000_s2053" o:spid="_x0000_s2053" o:spt="202" type="#_x0000_t202" style="position:absolute;left:0pt;margin-left:-10.55pt;margin-top:-198.65pt;height:33.75pt;width:445.5pt;z-index:251678720;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16GqfdYAAAAKAQAADwAA&#10;AAAAAAABACAAAAA4AAAAZHJzL2Rvd25yZXYueG1sUEsBAhQAFAAAAAgAh07iQH9pyIw7AgAAUQQA&#10;AA4AAAAAAAAAAQAgAAAAOwEAAGRycy9lMm9Eb2MueG1sUEsFBgAAAAAGAAYAWQEAAOgFA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楷体_GB2312" w:eastAsia="楷体_GB2312" w:cs="仿宋_GB2312"/>
          <w:b/>
          <w:sz w:val="32"/>
          <w:szCs w:val="32"/>
        </w:rPr>
        <w:t>2.典型经验获通报表扬推介7条，占全省17.5%，与长沙等5个市州并列第一。</w:t>
      </w:r>
      <w:r>
        <w:rPr>
          <w:rFonts w:ascii="仿宋_GB2312" w:eastAsia="仿宋_GB2312" w:cs="仿宋_GB2312"/>
          <w:sz w:val="32"/>
          <w:szCs w:val="32"/>
        </w:rPr>
        <w:t>其中，</w:t>
      </w:r>
      <w:r>
        <w:rPr>
          <w:rFonts w:hint="eastAsia" w:ascii="仿宋_GB2312" w:eastAsia="仿宋_GB2312" w:cs="仿宋_GB2312"/>
          <w:sz w:val="32"/>
          <w:szCs w:val="32"/>
        </w:rPr>
        <w:t>市本级</w:t>
      </w:r>
      <w:r>
        <w:rPr>
          <w:rFonts w:ascii="仿宋_GB2312" w:eastAsia="仿宋_GB2312" w:cs="仿宋_GB2312"/>
          <w:sz w:val="32"/>
          <w:szCs w:val="32"/>
        </w:rPr>
        <w:t>2</w:t>
      </w:r>
      <w:r>
        <w:rPr>
          <w:rFonts w:hint="eastAsia" w:ascii="仿宋_GB2312" w:eastAsia="仿宋_GB2312" w:cs="仿宋_GB2312"/>
          <w:sz w:val="32"/>
          <w:szCs w:val="32"/>
        </w:rPr>
        <w:t>条</w:t>
      </w:r>
      <w:r>
        <w:rPr>
          <w:rFonts w:ascii="仿宋_GB2312" w:eastAsia="仿宋_GB2312" w:cs="仿宋_GB2312"/>
          <w:sz w:val="32"/>
          <w:szCs w:val="32"/>
        </w:rPr>
        <w:t>（四好农村路、就业），</w:t>
      </w:r>
      <w:r>
        <w:rPr>
          <w:rFonts w:hint="eastAsia" w:ascii="仿宋_GB2312" w:eastAsia="仿宋_GB2312" w:cs="仿宋_GB2312"/>
          <w:sz w:val="32"/>
          <w:szCs w:val="32"/>
        </w:rPr>
        <w:t>祁阳（教育改革）、道县（粮食安全）、江华（发展园区产业）、江永（蔬菜产业）、新田（教育改革）</w:t>
      </w:r>
      <w:r>
        <w:rPr>
          <w:rFonts w:ascii="仿宋_GB2312" w:eastAsia="仿宋_GB2312" w:cs="仿宋_GB2312"/>
          <w:sz w:val="32"/>
          <w:szCs w:val="32"/>
        </w:rPr>
        <w:t>各1</w:t>
      </w:r>
      <w:r>
        <w:rPr>
          <w:rFonts w:hint="eastAsia" w:ascii="仿宋_GB2312" w:eastAsia="仿宋_GB2312" w:cs="仿宋_GB2312"/>
          <w:sz w:val="32"/>
          <w:szCs w:val="32"/>
        </w:rPr>
        <w:t>条</w:t>
      </w:r>
      <w:r>
        <w:rPr>
          <w:rFonts w:ascii="仿宋_GB2312" w:eastAsia="仿宋_GB2312" w:cs="仿宋_GB2312"/>
          <w:sz w:val="32"/>
          <w:szCs w:val="32"/>
        </w:rPr>
        <w:t>。</w:t>
      </w:r>
    </w:p>
    <w:p>
      <w:pPr>
        <w:pStyle w:val="3"/>
        <w:spacing w:after="0" w:line="620" w:lineRule="exact"/>
        <w:ind w:firstLine="640" w:firstLineChars="200"/>
        <w:rPr>
          <w:rFonts w:ascii="黑体" w:eastAsia="黑体" w:cs="楷体_GB2312"/>
          <w:sz w:val="32"/>
          <w:szCs w:val="32"/>
        </w:rPr>
      </w:pPr>
      <w:r>
        <w:rPr>
          <w:rFonts w:hint="eastAsia" w:ascii="黑体" w:eastAsia="黑体" w:cs="楷体_GB2312"/>
          <w:sz w:val="32"/>
          <w:szCs w:val="32"/>
        </w:rPr>
        <w:t>二、</w:t>
      </w:r>
      <w:r>
        <w:rPr>
          <w:rFonts w:ascii="黑体" w:eastAsia="黑体" w:cs="楷体_GB2312"/>
          <w:sz w:val="32"/>
          <w:szCs w:val="32"/>
        </w:rPr>
        <w:t>主要问题</w:t>
      </w:r>
    </w:p>
    <w:p>
      <w:pPr>
        <w:pStyle w:val="3"/>
        <w:spacing w:after="0" w:line="620" w:lineRule="exact"/>
        <w:ind w:firstLine="642" w:firstLineChars="200"/>
        <w:rPr>
          <w:rFonts w:ascii="仿宋_GB2312" w:eastAsia="仿宋_GB2312" w:cs="仿宋_GB2312"/>
          <w:sz w:val="32"/>
          <w:szCs w:val="32"/>
        </w:rPr>
      </w:pPr>
      <w:r>
        <w:rPr>
          <w:rFonts w:hint="eastAsia" w:ascii="楷体_GB2312" w:eastAsia="楷体_GB2312" w:cs="仿宋_GB2312"/>
          <w:b/>
          <w:sz w:val="32"/>
          <w:szCs w:val="32"/>
        </w:rPr>
        <w:t>1.重要项目获奖较少。</w:t>
      </w:r>
      <w:r>
        <w:rPr>
          <w:rFonts w:ascii="仿宋_GB2312" w:eastAsia="仿宋_GB2312" w:cs="仿宋_GB2312"/>
          <w:sz w:val="32"/>
          <w:szCs w:val="32"/>
        </w:rPr>
        <w:t>一些涉及“三高四新”战略的重要激励事项</w:t>
      </w:r>
      <w:r>
        <w:rPr>
          <w:rFonts w:hint="eastAsia" w:ascii="仿宋_GB2312" w:eastAsia="仿宋_GB2312" w:cs="仿宋_GB2312"/>
          <w:sz w:val="32"/>
          <w:szCs w:val="32"/>
        </w:rPr>
        <w:t>我县</w:t>
      </w:r>
      <w:r>
        <w:rPr>
          <w:rFonts w:ascii="仿宋_GB2312" w:eastAsia="仿宋_GB2312" w:cs="仿宋_GB2312"/>
          <w:sz w:val="32"/>
          <w:szCs w:val="32"/>
        </w:rPr>
        <w:t>未获得激励表扬。如</w:t>
      </w:r>
      <w:r>
        <w:rPr>
          <w:rFonts w:hint="eastAsia" w:ascii="仿宋_GB2312" w:eastAsia="仿宋_GB2312" w:cs="仿宋_GB2312"/>
          <w:sz w:val="32"/>
          <w:szCs w:val="32"/>
        </w:rPr>
        <w:t>县政务中心</w:t>
      </w:r>
      <w:r>
        <w:rPr>
          <w:rFonts w:ascii="仿宋_GB2312" w:eastAsia="仿宋_GB2312" w:cs="仿宋_GB2312"/>
          <w:sz w:val="32"/>
          <w:szCs w:val="32"/>
        </w:rPr>
        <w:t>负责的“深化放管服改革”，</w:t>
      </w:r>
      <w:r>
        <w:rPr>
          <w:rFonts w:hint="eastAsia" w:ascii="仿宋_GB2312" w:eastAsia="仿宋_GB2312" w:cs="仿宋_GB2312"/>
          <w:sz w:val="32"/>
          <w:szCs w:val="32"/>
        </w:rPr>
        <w:t>县科</w:t>
      </w:r>
      <w:r>
        <w:rPr>
          <w:rFonts w:ascii="仿宋_GB2312" w:eastAsia="仿宋_GB2312" w:cs="仿宋_GB2312"/>
          <w:sz w:val="32"/>
          <w:szCs w:val="32"/>
        </w:rPr>
        <w:t>工信局负责的“先进制造业高地”</w:t>
      </w:r>
      <w:r>
        <w:rPr>
          <w:rFonts w:hint="eastAsia" w:ascii="仿宋_GB2312" w:eastAsia="仿宋_GB2312" w:cs="仿宋_GB2312"/>
          <w:sz w:val="32"/>
          <w:szCs w:val="32"/>
        </w:rPr>
        <w:t>、</w:t>
      </w:r>
      <w:r>
        <w:rPr>
          <w:rFonts w:ascii="仿宋_GB2312" w:eastAsia="仿宋_GB2312" w:cs="仿宋_GB2312"/>
          <w:sz w:val="32"/>
          <w:szCs w:val="32"/>
        </w:rPr>
        <w:t>“开放高地”</w:t>
      </w:r>
      <w:r>
        <w:rPr>
          <w:rFonts w:hint="eastAsia" w:ascii="仿宋_GB2312" w:eastAsia="仿宋_GB2312" w:cs="仿宋_GB2312"/>
          <w:sz w:val="32"/>
          <w:szCs w:val="32"/>
        </w:rPr>
        <w:t>和</w:t>
      </w:r>
      <w:r>
        <w:rPr>
          <w:rFonts w:ascii="仿宋_GB2312" w:eastAsia="仿宋_GB2312" w:cs="仿宋_GB2312"/>
          <w:sz w:val="32"/>
          <w:szCs w:val="32"/>
        </w:rPr>
        <w:t>“科技创新”。</w:t>
      </w:r>
    </w:p>
    <w:p>
      <w:pPr>
        <w:pStyle w:val="3"/>
        <w:spacing w:after="0" w:line="620" w:lineRule="exact"/>
        <w:ind w:firstLine="642" w:firstLineChars="200"/>
        <w:rPr>
          <w:rFonts w:ascii="仿宋_GB2312" w:eastAsia="仿宋_GB2312" w:cs="仿宋_GB2312"/>
          <w:sz w:val="32"/>
          <w:szCs w:val="32"/>
        </w:rPr>
      </w:pPr>
      <w:r>
        <w:rPr>
          <w:rFonts w:hint="eastAsia" w:ascii="楷体_GB2312" w:eastAsia="楷体_GB2312" w:cs="仿宋_GB2312"/>
          <w:b/>
          <w:sz w:val="32"/>
          <w:szCs w:val="32"/>
        </w:rPr>
        <w:t>2.优势项目失奖较多。</w:t>
      </w:r>
      <w:r>
        <w:rPr>
          <w:rFonts w:hint="eastAsia" w:ascii="仿宋_GB2312" w:eastAsia="仿宋_GB2312" w:cs="仿宋_GB2312"/>
          <w:sz w:val="32"/>
          <w:szCs w:val="32"/>
        </w:rPr>
        <w:t>县</w:t>
      </w:r>
      <w:r>
        <w:rPr>
          <w:rFonts w:ascii="仿宋_GB2312" w:eastAsia="仿宋_GB2312" w:cs="仿宋_GB2312"/>
          <w:sz w:val="32"/>
          <w:szCs w:val="32"/>
        </w:rPr>
        <w:t>直牵头单位</w:t>
      </w:r>
      <w:r>
        <w:rPr>
          <w:rFonts w:hint="eastAsia" w:ascii="仿宋_GB2312" w:eastAsia="仿宋_GB2312" w:cs="仿宋_GB2312"/>
          <w:sz w:val="32"/>
          <w:szCs w:val="32"/>
        </w:rPr>
        <w:t>力争</w:t>
      </w:r>
      <w:r>
        <w:rPr>
          <w:rFonts w:ascii="仿宋_GB2312" w:eastAsia="仿宋_GB2312" w:cs="仿宋_GB2312"/>
          <w:sz w:val="32"/>
          <w:szCs w:val="32"/>
        </w:rPr>
        <w:t>获奖的一些事项，最终</w:t>
      </w:r>
      <w:r>
        <w:rPr>
          <w:rFonts w:hint="eastAsia" w:ascii="仿宋_GB2312" w:eastAsia="仿宋_GB2312" w:cs="仿宋_GB2312"/>
          <w:sz w:val="32"/>
          <w:szCs w:val="32"/>
        </w:rPr>
        <w:t>未能</w:t>
      </w:r>
      <w:r>
        <w:rPr>
          <w:rFonts w:ascii="仿宋_GB2312" w:eastAsia="仿宋_GB2312" w:cs="仿宋_GB2312"/>
          <w:sz w:val="32"/>
          <w:szCs w:val="32"/>
        </w:rPr>
        <w:t>实现既定目标。如市生态环境局</w:t>
      </w:r>
      <w:r>
        <w:rPr>
          <w:rFonts w:hint="eastAsia" w:ascii="仿宋_GB2312" w:eastAsia="仿宋_GB2312" w:cs="仿宋_GB2312"/>
          <w:sz w:val="32"/>
          <w:szCs w:val="32"/>
        </w:rPr>
        <w:t>双牌分局</w:t>
      </w:r>
      <w:r>
        <w:rPr>
          <w:rFonts w:ascii="仿宋_GB2312" w:eastAsia="仿宋_GB2312" w:cs="仿宋_GB2312"/>
          <w:sz w:val="32"/>
          <w:szCs w:val="32"/>
        </w:rPr>
        <w:t>负责的</w:t>
      </w:r>
      <w:r>
        <w:rPr>
          <w:rFonts w:hint="eastAsia" w:ascii="仿宋_GB2312" w:eastAsia="仿宋_GB2312" w:cs="仿宋_GB2312"/>
          <w:sz w:val="32"/>
          <w:szCs w:val="32"/>
        </w:rPr>
        <w:t>“全国绿水青山就是金山银山实践创新基地”、县</w:t>
      </w:r>
      <w:r>
        <w:rPr>
          <w:rFonts w:ascii="仿宋_GB2312" w:eastAsia="仿宋_GB2312" w:cs="仿宋_GB2312"/>
          <w:sz w:val="32"/>
          <w:szCs w:val="32"/>
        </w:rPr>
        <w:t>农业农村局负责的</w:t>
      </w:r>
      <w:r>
        <w:rPr>
          <w:rFonts w:hint="eastAsia" w:ascii="仿宋_GB2312" w:eastAsia="仿宋_GB2312" w:cs="仿宋_GB2312"/>
          <w:sz w:val="32"/>
          <w:szCs w:val="32"/>
        </w:rPr>
        <w:t>“农村人居环境整治”、县住建</w:t>
      </w:r>
      <w:r>
        <w:rPr>
          <w:rFonts w:ascii="仿宋_GB2312" w:eastAsia="仿宋_GB2312" w:cs="仿宋_GB2312"/>
          <w:sz w:val="32"/>
          <w:szCs w:val="32"/>
        </w:rPr>
        <w:t>局负责的</w:t>
      </w:r>
      <w:r>
        <w:rPr>
          <w:rFonts w:hint="eastAsia" w:ascii="仿宋_GB2312" w:eastAsia="仿宋_GB2312" w:cs="仿宋_GB2312"/>
          <w:sz w:val="32"/>
          <w:szCs w:val="32"/>
        </w:rPr>
        <w:t>“既有住宅加装电梯”、县</w:t>
      </w:r>
      <w:r>
        <w:rPr>
          <w:rFonts w:ascii="仿宋_GB2312" w:eastAsia="仿宋_GB2312" w:cs="仿宋_GB2312"/>
          <w:sz w:val="32"/>
          <w:szCs w:val="32"/>
        </w:rPr>
        <w:t>水利局负责的</w:t>
      </w:r>
      <w:r>
        <w:rPr>
          <w:rFonts w:hint="eastAsia" w:ascii="仿宋_GB2312" w:eastAsia="仿宋_GB2312" w:cs="仿宋_GB2312"/>
          <w:sz w:val="32"/>
          <w:szCs w:val="32"/>
        </w:rPr>
        <w:t>“</w:t>
      </w:r>
      <w:r>
        <w:rPr>
          <w:rFonts w:ascii="仿宋_GB2312" w:eastAsia="仿宋_GB2312" w:cs="仿宋_GB2312"/>
          <w:sz w:val="32"/>
          <w:szCs w:val="32"/>
        </w:rPr>
        <w:t>河长制</w:t>
      </w:r>
      <w:r>
        <w:rPr>
          <w:rFonts w:hint="eastAsia" w:ascii="仿宋_GB2312" w:eastAsia="仿宋_GB2312" w:cs="仿宋_GB2312"/>
          <w:sz w:val="32"/>
          <w:szCs w:val="32"/>
        </w:rPr>
        <w:t>”、县民政局</w:t>
      </w:r>
      <w:r>
        <w:rPr>
          <w:rFonts w:ascii="仿宋_GB2312" w:eastAsia="仿宋_GB2312" w:cs="仿宋_GB2312"/>
          <w:sz w:val="32"/>
          <w:szCs w:val="32"/>
        </w:rPr>
        <w:t>负责的</w:t>
      </w:r>
      <w:r>
        <w:rPr>
          <w:rFonts w:hint="eastAsia" w:ascii="仿宋_GB2312" w:eastAsia="仿宋_GB2312" w:cs="仿宋_GB2312"/>
          <w:sz w:val="32"/>
          <w:szCs w:val="32"/>
        </w:rPr>
        <w:t>“服务体系建设”</w:t>
      </w:r>
      <w:r>
        <w:rPr>
          <w:rFonts w:ascii="仿宋_GB2312" w:eastAsia="仿宋_GB2312" w:cs="仿宋_GB2312"/>
          <w:sz w:val="32"/>
          <w:szCs w:val="32"/>
        </w:rPr>
        <w:t>。</w:t>
      </w:r>
    </w:p>
    <w:p>
      <w:pPr>
        <w:tabs>
          <w:tab w:val="left" w:pos="0"/>
        </w:tabs>
        <w:spacing w:line="620" w:lineRule="exact"/>
        <w:ind w:firstLine="642" w:firstLineChars="200"/>
        <w:rPr>
          <w:rFonts w:ascii="仿宋_GB2312" w:eastAsia="仿宋_GB2312"/>
        </w:rPr>
      </w:pPr>
      <w:r>
        <w:rPr>
          <w:rFonts w:hint="eastAsia" w:ascii="楷体_GB2312" w:eastAsia="楷体_GB2312" w:cs="仿宋_GB2312"/>
          <w:b/>
          <w:sz w:val="32"/>
          <w:szCs w:val="32"/>
        </w:rPr>
        <w:t>3.典型经验存在空白。</w:t>
      </w:r>
      <w:r>
        <w:rPr>
          <w:rFonts w:hint="eastAsia" w:ascii="仿宋_GB2312" w:eastAsia="仿宋_GB2312" w:cs="仿宋_GB2312"/>
          <w:sz w:val="32"/>
          <w:szCs w:val="32"/>
        </w:rPr>
        <w:t>省政府真抓实干督查激励措施实施以来，我县自2018年起虽每年均有获奖（</w:t>
      </w:r>
      <w:r>
        <w:rPr>
          <w:rFonts w:hint="eastAsia" w:ascii="仿宋_GB2312" w:hAnsi="仿宋" w:eastAsia="仿宋_GB2312" w:cs="仿宋"/>
          <w:bCs w:val="0"/>
          <w:color w:val="000000"/>
          <w:sz w:val="32"/>
          <w:szCs w:val="32"/>
        </w:rPr>
        <w:t>2018年，深入推进农业“百千万”工程；2019年，养老服务体系建设；2020年，我县深化“放管服”、信访“三无”创建；2021年，文化和旅游、信访“三无”创建、固定资产投资</w:t>
      </w:r>
      <w:r>
        <w:rPr>
          <w:rFonts w:hint="eastAsia" w:ascii="仿宋_GB2312" w:eastAsia="仿宋_GB2312" w:cs="仿宋_GB2312"/>
          <w:sz w:val="32"/>
          <w:szCs w:val="32"/>
        </w:rPr>
        <w:t>），但典型经验推广至今仍是空白区域，未能斩获。</w:t>
      </w:r>
    </w:p>
    <w:p>
      <w:pPr>
        <w:pStyle w:val="3"/>
        <w:spacing w:after="0" w:line="560" w:lineRule="exact"/>
        <w:ind w:firstLine="630" w:firstLineChars="300"/>
        <w:rPr>
          <w:rFonts w:ascii="仿宋_GB2312" w:eastAsia="仿宋_GB2312" w:cs="仿宋_GB2312"/>
          <w:sz w:val="32"/>
          <w:szCs w:val="32"/>
        </w:rPr>
      </w:pPr>
      <w:r>
        <w:pict>
          <v:shape id="_x0000_s2051" o:spid="_x0000_s2051" o:spt="202" type="#_x0000_t202" style="position:absolute;left:0pt;margin-left:-12.35pt;margin-top:-46.4pt;height:33.75pt;width:458.3pt;z-index:251680768;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DXoap91gAAAAoBAAAPAAAA&#10;AAAAAAEAIAAAADgAAABkcnMvZG93bnJldi54bWxQSwECFAAUAAAACACHTuJA/Bkmwz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ascii="仿宋_GB2312" w:eastAsia="仿宋_GB2312" w:cs="仿宋_GB2312"/>
          <w:sz w:val="32"/>
          <w:szCs w:val="32"/>
        </w:rPr>
        <w:t>上述激励事项之所以</w:t>
      </w:r>
      <w:r>
        <w:rPr>
          <w:rFonts w:hint="eastAsia" w:ascii="仿宋_GB2312" w:eastAsia="仿宋_GB2312" w:cs="仿宋_GB2312"/>
          <w:sz w:val="32"/>
          <w:szCs w:val="32"/>
        </w:rPr>
        <w:t>未能</w:t>
      </w:r>
      <w:r>
        <w:rPr>
          <w:rFonts w:ascii="仿宋_GB2312" w:eastAsia="仿宋_GB2312" w:cs="仿宋_GB2312"/>
          <w:sz w:val="32"/>
          <w:szCs w:val="32"/>
        </w:rPr>
        <w:t>获得激励表扬，究其原因：从</w:t>
      </w:r>
      <w:r>
        <w:rPr>
          <w:rFonts w:hint="eastAsia" w:ascii="仿宋_GB2312" w:eastAsia="仿宋_GB2312" w:cs="仿宋_GB2312"/>
          <w:sz w:val="32"/>
          <w:szCs w:val="32"/>
        </w:rPr>
        <w:t>主观</w:t>
      </w:r>
      <w:r>
        <w:rPr>
          <w:rFonts w:ascii="仿宋_GB2312" w:eastAsia="仿宋_GB2312" w:cs="仿宋_GB2312"/>
          <w:sz w:val="32"/>
          <w:szCs w:val="32"/>
        </w:rPr>
        <w:t>上看，</w:t>
      </w:r>
      <w:r>
        <w:rPr>
          <w:rFonts w:hint="eastAsia" w:ascii="仿宋_GB2312" w:eastAsia="仿宋_GB2312" w:cs="仿宋_GB2312"/>
          <w:sz w:val="32"/>
          <w:szCs w:val="32"/>
        </w:rPr>
        <w:t>县</w:t>
      </w:r>
      <w:r>
        <w:rPr>
          <w:rFonts w:ascii="仿宋_GB2312" w:eastAsia="仿宋_GB2312" w:cs="仿宋_GB2312"/>
          <w:sz w:val="32"/>
          <w:szCs w:val="32"/>
        </w:rPr>
        <w:t>直单位存在重视不够、思想认识不到位，有“不能连续获奖”的思想误区，基础工作不扎实，向上衔接汇报不经常、不主动，对上级考核指标研究不透彻，实施不精准，最后阶段</w:t>
      </w:r>
      <w:r>
        <w:rPr>
          <w:rFonts w:hint="eastAsia" w:ascii="仿宋_GB2312" w:eastAsia="仿宋_GB2312" w:cs="仿宋_GB2312"/>
          <w:sz w:val="32"/>
          <w:szCs w:val="32"/>
        </w:rPr>
        <w:t>未能</w:t>
      </w:r>
      <w:r>
        <w:rPr>
          <w:rFonts w:ascii="仿宋_GB2312" w:eastAsia="仿宋_GB2312" w:cs="仿宋_GB2312"/>
          <w:sz w:val="32"/>
          <w:szCs w:val="32"/>
        </w:rPr>
        <w:t>盯紧看牢。</w:t>
      </w:r>
    </w:p>
    <w:p>
      <w:pPr>
        <w:pStyle w:val="3"/>
        <w:spacing w:after="0" w:line="560" w:lineRule="exact"/>
        <w:ind w:firstLine="640" w:firstLineChars="200"/>
        <w:rPr>
          <w:rFonts w:ascii="黑体" w:eastAsia="黑体" w:cs="仿宋_GB2312"/>
          <w:sz w:val="32"/>
          <w:szCs w:val="32"/>
        </w:rPr>
      </w:pPr>
      <w:r>
        <w:rPr>
          <w:rFonts w:hint="eastAsia" w:ascii="黑体" w:eastAsia="黑体" w:cs="仿宋_GB2312"/>
          <w:sz w:val="32"/>
          <w:szCs w:val="32"/>
        </w:rPr>
        <w:t>三、下步工作要求</w:t>
      </w:r>
    </w:p>
    <w:p>
      <w:pPr>
        <w:pStyle w:val="15"/>
        <w:spacing w:line="560" w:lineRule="exact"/>
        <w:ind w:firstLine="629"/>
        <w:textAlignment w:val="baseline"/>
        <w:rPr>
          <w:rFonts w:ascii="仿宋_GB2312" w:eastAsia="仿宋_GB2312" w:cs="Times New Roman"/>
          <w:b w:val="0"/>
          <w:color w:val="000000"/>
          <w:sz w:val="32"/>
          <w:szCs w:val="32"/>
        </w:rPr>
      </w:pPr>
      <w:r>
        <w:rPr>
          <w:rFonts w:hint="eastAsia" w:ascii="楷体_GB2312" w:eastAsia="楷体_GB2312" w:cs="仿宋_GB2312"/>
          <w:color w:val="000000"/>
          <w:sz w:val="32"/>
          <w:szCs w:val="32"/>
        </w:rPr>
        <w:t>1.提高政治站位。</w:t>
      </w:r>
      <w:r>
        <w:rPr>
          <w:rFonts w:hint="eastAsia" w:ascii="仿宋_GB2312" w:eastAsia="仿宋_GB2312" w:cs="Times New Roman"/>
          <w:b w:val="0"/>
          <w:color w:val="000000"/>
          <w:sz w:val="32"/>
          <w:szCs w:val="32"/>
        </w:rPr>
        <w:t>落实真抓实干督查激励措施，目的是推动党中央、国务院和省委、省政府重大决策部署落地生根，在落实过程中要以推动高质量发展为引领，抓紧补齐民生领域短板，实实在在解决群众“急难愁盼”问题，提高群众的获得感。</w:t>
      </w:r>
    </w:p>
    <w:p>
      <w:pPr>
        <w:pStyle w:val="15"/>
        <w:spacing w:line="560" w:lineRule="exact"/>
        <w:ind w:firstLine="642" w:firstLineChars="200"/>
        <w:rPr>
          <w:rFonts w:ascii="仿宋_GB2312" w:eastAsia="仿宋_GB2312"/>
          <w:b w:val="0"/>
          <w:color w:val="000000"/>
          <w:sz w:val="32"/>
          <w:szCs w:val="32"/>
        </w:rPr>
      </w:pPr>
      <w:r>
        <w:rPr>
          <w:rFonts w:hint="eastAsia" w:ascii="楷体_GB2312" w:eastAsia="楷体_GB2312" w:cs="仿宋_GB2312"/>
          <w:color w:val="000000"/>
          <w:sz w:val="32"/>
          <w:szCs w:val="32"/>
        </w:rPr>
        <w:t>2.奋力创先争优。</w:t>
      </w:r>
      <w:r>
        <w:rPr>
          <w:rFonts w:hint="eastAsia" w:ascii="仿宋_GB2312" w:eastAsia="仿宋_GB2312"/>
          <w:b w:val="0"/>
          <w:color w:val="000000"/>
          <w:sz w:val="32"/>
          <w:szCs w:val="32"/>
        </w:rPr>
        <w:t>牢固树立创先争优意识，牢牢锚定在全市版图中增加双牌份量的目标，永葆“闯”的精神、“创”的劲头、“干”的作风，</w:t>
      </w:r>
      <w:r>
        <w:rPr>
          <w:rFonts w:ascii="仿宋_GB2312" w:eastAsia="仿宋_GB2312"/>
          <w:b w:val="0"/>
          <w:color w:val="000000"/>
          <w:sz w:val="32"/>
          <w:szCs w:val="32"/>
        </w:rPr>
        <w:t>努力在</w:t>
      </w:r>
      <w:r>
        <w:rPr>
          <w:rFonts w:hint="eastAsia" w:ascii="仿宋_GB2312" w:eastAsia="仿宋_GB2312"/>
          <w:b w:val="0"/>
          <w:color w:val="000000"/>
          <w:sz w:val="32"/>
          <w:szCs w:val="32"/>
        </w:rPr>
        <w:t>全市</w:t>
      </w:r>
      <w:r>
        <w:rPr>
          <w:rFonts w:ascii="仿宋_GB2312" w:eastAsia="仿宋_GB2312"/>
          <w:b w:val="0"/>
          <w:color w:val="000000"/>
          <w:sz w:val="32"/>
          <w:szCs w:val="32"/>
        </w:rPr>
        <w:t>经济发展中走在前列、在融入粤港澳大湾区上走在全</w:t>
      </w:r>
      <w:r>
        <w:rPr>
          <w:rFonts w:hint="eastAsia" w:ascii="仿宋_GB2312" w:eastAsia="仿宋_GB2312"/>
          <w:b w:val="0"/>
          <w:color w:val="000000"/>
          <w:sz w:val="32"/>
          <w:szCs w:val="32"/>
        </w:rPr>
        <w:t>市</w:t>
      </w:r>
      <w:r>
        <w:rPr>
          <w:rFonts w:ascii="仿宋_GB2312" w:eastAsia="仿宋_GB2312"/>
          <w:b w:val="0"/>
          <w:color w:val="000000"/>
          <w:sz w:val="32"/>
          <w:szCs w:val="32"/>
        </w:rPr>
        <w:t>前列、在生态文明建设上走在全</w:t>
      </w:r>
      <w:r>
        <w:rPr>
          <w:rFonts w:hint="eastAsia" w:ascii="仿宋_GB2312" w:eastAsia="仿宋_GB2312"/>
          <w:b w:val="0"/>
          <w:color w:val="000000"/>
          <w:sz w:val="32"/>
          <w:szCs w:val="32"/>
        </w:rPr>
        <w:t>市</w:t>
      </w:r>
      <w:r>
        <w:rPr>
          <w:rFonts w:ascii="仿宋_GB2312" w:eastAsia="仿宋_GB2312"/>
          <w:b w:val="0"/>
          <w:color w:val="000000"/>
          <w:sz w:val="32"/>
          <w:szCs w:val="32"/>
        </w:rPr>
        <w:t>前列，</w:t>
      </w:r>
      <w:r>
        <w:rPr>
          <w:rFonts w:hint="eastAsia" w:ascii="仿宋_GB2312" w:eastAsia="仿宋_GB2312"/>
          <w:b w:val="0"/>
          <w:color w:val="000000"/>
          <w:sz w:val="32"/>
          <w:szCs w:val="32"/>
        </w:rPr>
        <w:t>加压奋进，以“一域之光”的“双牌之变”为永州添彩。</w:t>
      </w:r>
    </w:p>
    <w:p>
      <w:pPr>
        <w:pStyle w:val="15"/>
        <w:spacing w:line="560" w:lineRule="exact"/>
        <w:ind w:firstLine="642" w:firstLineChars="200"/>
        <w:rPr>
          <w:rFonts w:ascii="仿宋_GB2312" w:eastAsia="仿宋_GB2312" w:cs="仿宋_GB2312"/>
          <w:b w:val="0"/>
          <w:color w:val="000000"/>
          <w:sz w:val="32"/>
          <w:szCs w:val="32"/>
        </w:rPr>
      </w:pPr>
      <w:r>
        <w:rPr>
          <w:rFonts w:hint="eastAsia" w:ascii="楷体_GB2312" w:eastAsia="楷体_GB2312" w:cs="仿宋_GB2312"/>
          <w:color w:val="000000"/>
          <w:sz w:val="32"/>
          <w:szCs w:val="32"/>
        </w:rPr>
        <w:t>3.抓好总结谋划。</w:t>
      </w:r>
      <w:r>
        <w:rPr>
          <w:rFonts w:hint="eastAsia" w:ascii="仿宋_GB2312" w:eastAsia="仿宋_GB2312" w:cs="仿宋_GB2312"/>
          <w:b w:val="0"/>
          <w:color w:val="000000"/>
          <w:sz w:val="32"/>
          <w:szCs w:val="32"/>
        </w:rPr>
        <w:t>强化目标导向、问题导向、结果导向，</w:t>
      </w:r>
      <w:r>
        <w:rPr>
          <w:rFonts w:ascii="仿宋_GB2312" w:eastAsia="仿宋_GB2312" w:cs="仿宋_GB2312"/>
          <w:b w:val="0"/>
          <w:color w:val="000000"/>
          <w:sz w:val="32"/>
          <w:szCs w:val="32"/>
        </w:rPr>
        <w:t>对标上级考评办法和得分情况，</w:t>
      </w:r>
      <w:r>
        <w:rPr>
          <w:rFonts w:hint="eastAsia" w:ascii="仿宋_GB2312" w:eastAsia="仿宋_GB2312" w:cs="仿宋_GB2312"/>
          <w:b w:val="0"/>
          <w:color w:val="000000"/>
          <w:sz w:val="32"/>
          <w:szCs w:val="32"/>
        </w:rPr>
        <w:t>全面分析盘点，总结提炼经验，</w:t>
      </w:r>
      <w:r>
        <w:rPr>
          <w:rFonts w:ascii="仿宋_GB2312" w:eastAsia="仿宋_GB2312" w:cs="仿宋_GB2312"/>
          <w:b w:val="0"/>
          <w:color w:val="000000"/>
          <w:sz w:val="32"/>
          <w:szCs w:val="32"/>
        </w:rPr>
        <w:t>列出优势</w:t>
      </w:r>
      <w:r>
        <w:rPr>
          <w:rFonts w:hint="eastAsia" w:ascii="仿宋_GB2312" w:eastAsia="仿宋_GB2312" w:cs="仿宋_GB2312"/>
          <w:b w:val="0"/>
          <w:color w:val="000000"/>
          <w:sz w:val="32"/>
          <w:szCs w:val="32"/>
        </w:rPr>
        <w:t>短板，夯实基础工作。密切关注省直部门2022年度激励措施修订工作动态，系统谋划我县2022年督查激励工作，确保今年获得更多激励表扬。</w:t>
      </w:r>
    </w:p>
    <w:p>
      <w:pPr>
        <w:pStyle w:val="15"/>
        <w:spacing w:line="560" w:lineRule="exact"/>
        <w:ind w:firstLine="642" w:firstLineChars="200"/>
        <w:rPr>
          <w:rFonts w:ascii="仿宋_GB2312" w:eastAsia="仿宋_GB2312" w:cs="仿宋_GB2312"/>
          <w:b w:val="0"/>
          <w:color w:val="auto"/>
          <w:sz w:val="32"/>
          <w:szCs w:val="32"/>
        </w:rPr>
      </w:pPr>
      <w:r>
        <w:rPr>
          <w:rFonts w:hint="eastAsia" w:ascii="楷体_GB2312" w:eastAsia="楷体_GB2312" w:cs="仿宋_GB2312"/>
          <w:color w:val="000000"/>
          <w:sz w:val="32"/>
          <w:szCs w:val="32"/>
        </w:rPr>
        <w:t>4.严格兑现奖惩。</w:t>
      </w:r>
      <w:r>
        <w:rPr>
          <w:rFonts w:hint="eastAsia" w:ascii="仿宋_GB2312" w:eastAsia="仿宋_GB2312" w:cs="仿宋_GB2312"/>
          <w:b w:val="0"/>
          <w:color w:val="auto"/>
          <w:sz w:val="32"/>
          <w:szCs w:val="32"/>
        </w:rPr>
        <w:t>严格按照《中共双牌县委办公室 双牌县人民政府办公室关于印发&lt;双牌县2021年绩效考核实施方案&gt;的通知》（双办发〔2021〕18号）等文件明确的绩效评估标准，兑现绩效加分和定档。</w:t>
      </w:r>
    </w:p>
    <w:p>
      <w:pPr>
        <w:pStyle w:val="15"/>
        <w:spacing w:line="600" w:lineRule="exact"/>
        <w:ind w:firstLine="640" w:firstLineChars="200"/>
        <w:rPr>
          <w:rFonts w:ascii="仿宋_GB2312" w:eastAsia="仿宋_GB2312" w:cs="仿宋_GB2312"/>
          <w:b w:val="0"/>
          <w:color w:val="auto"/>
          <w:sz w:val="32"/>
          <w:szCs w:val="32"/>
        </w:rPr>
        <w:sectPr>
          <w:type w:val="continuous"/>
          <w:pgSz w:w="11906" w:h="16838"/>
          <w:pgMar w:top="1588" w:right="1701" w:bottom="1474" w:left="1701" w:header="851" w:footer="992" w:gutter="0"/>
          <w:cols w:equalWidth="0" w:num="2">
            <w:col w:w="4039" w:space="425"/>
            <w:col w:w="4039"/>
          </w:cols>
          <w:docGrid w:type="lines" w:linePitch="312" w:charSpace="0"/>
        </w:sectPr>
      </w:pPr>
    </w:p>
    <w:p>
      <w:pPr>
        <w:pStyle w:val="15"/>
        <w:spacing w:line="600" w:lineRule="exact"/>
        <w:ind w:left="1918" w:leftChars="380" w:hanging="1120" w:hangingChars="350"/>
        <w:rPr>
          <w:rFonts w:ascii="仿宋_GB2312" w:eastAsia="仿宋_GB2312" w:cs="仿宋_GB2312"/>
          <w:sz w:val="32"/>
          <w:szCs w:val="32"/>
        </w:rPr>
      </w:pPr>
      <w:bookmarkStart w:id="0" w:name="_GoBack"/>
      <w:bookmarkEnd w:id="0"/>
      <w:r>
        <w:rPr>
          <w:rFonts w:hint="eastAsia" w:ascii="仿宋_GB2312" w:eastAsia="仿宋_GB2312" w:cs="仿宋_GB2312"/>
          <w:b w:val="0"/>
          <w:color w:val="auto"/>
          <w:sz w:val="32"/>
          <w:szCs w:val="32"/>
        </w:rPr>
        <w:pict>
          <v:shape id="_x0000_s2098" o:spid="_x0000_s2098" o:spt="202" type="#_x0000_t202" style="position:absolute;left:0pt;margin-left:-17.6pt;margin-top:-53.9pt;height:33.75pt;width:463.55pt;z-index:251682816;mso-width-relative:page;mso-height-relative:page;" stroked="f" coordsize="21600,21600" o:gfxdata="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WAAAAZHJzL1BLAQIUABQAAAAIAIdO4kDXoap91gAAAAoBAAAPAAAA&#10;AAAAAAEAIAAAADgAAABkcnMvZG93bnJldi54bWxQSwECFAAUAAAACACHTuJA/BkmwzoCAABRBAAA&#10;DgAAAAAAAAABACAAAAA7AQAAZHJzL2Uyb0RvYy54bWxQSwUGAAAAAAYABgBZAQAA5wUAAAAA&#10;">
            <v:path/>
            <v:fill focussize="0,0"/>
            <v:stroke on="f" weight="0.5pt" joinstyle="miter"/>
            <v:imagedata o:title=""/>
            <o:lock v:ext="edit"/>
            <v:textbox>
              <w:txbxContent>
                <w:p>
                  <w:pPr>
                    <w:rPr>
                      <w:u w:val="single"/>
                    </w:rPr>
                  </w:pPr>
                  <w:r>
                    <w:rPr>
                      <w:u w:val="single"/>
                    </w:rPr>
                    <w:t xml:space="preserve">县人民政府办公室文件              双牌县人民政府公报         </w:t>
                  </w:r>
                  <w:r>
                    <w:rPr>
                      <w:rFonts w:hint="eastAsia"/>
                      <w:u w:val="single"/>
                    </w:rPr>
                    <w:t xml:space="preserve">       </w:t>
                  </w:r>
                  <w:r>
                    <w:rPr>
                      <w:u w:val="single"/>
                    </w:rPr>
                    <w:t xml:space="preserve">   2022年第1</w:t>
                  </w:r>
                  <w:r>
                    <w:rPr>
                      <w:rFonts w:hint="eastAsia"/>
                      <w:u w:val="single"/>
                    </w:rPr>
                    <w:t>-2</w:t>
                  </w:r>
                  <w:r>
                    <w:rPr>
                      <w:u w:val="single"/>
                    </w:rPr>
                    <w:t>期</w:t>
                  </w:r>
                </w:p>
              </w:txbxContent>
            </v:textbox>
          </v:shape>
        </w:pict>
      </w:r>
      <w:r>
        <w:rPr>
          <w:rFonts w:hint="eastAsia" w:ascii="仿宋_GB2312" w:eastAsia="仿宋_GB2312" w:cs="仿宋_GB2312"/>
          <w:b w:val="0"/>
          <w:color w:val="auto"/>
          <w:sz w:val="32"/>
          <w:szCs w:val="32"/>
        </w:rPr>
        <w:t>附件：</w:t>
      </w:r>
      <w:r>
        <w:rPr>
          <w:rFonts w:hint="eastAsia" w:ascii="仿宋_GB2312" w:eastAsia="仿宋_GB2312" w:cs="仿宋_GB2312"/>
          <w:b w:val="0"/>
          <w:bCs w:val="0"/>
          <w:color w:val="auto"/>
          <w:sz w:val="32"/>
          <w:szCs w:val="32"/>
        </w:rPr>
        <w:t>1.全市各县市区2021年获省政府真抓实干督查激励表扬情况统计表</w:t>
      </w:r>
    </w:p>
    <w:p>
      <w:pPr>
        <w:spacing w:line="600" w:lineRule="exact"/>
        <w:ind w:left="1977" w:leftChars="789" w:hanging="320" w:hangingChars="100"/>
        <w:rPr>
          <w:rFonts w:ascii="仿宋_GB2312" w:eastAsia="仿宋_GB2312" w:cs="仿宋_GB2312"/>
          <w:sz w:val="32"/>
          <w:szCs w:val="32"/>
        </w:rPr>
      </w:pPr>
      <w:r>
        <w:rPr>
          <w:rFonts w:hint="eastAsia" w:ascii="仿宋_GB2312" w:eastAsia="仿宋_GB2312" w:cs="仿宋_GB2312"/>
          <w:sz w:val="32"/>
          <w:szCs w:val="32"/>
        </w:rPr>
        <w:t>2.永州市获得省政府2021年真抓实干督查激励表扬情况表</w:t>
      </w:r>
    </w:p>
    <w:p>
      <w:pPr>
        <w:spacing w:line="600" w:lineRule="exact"/>
        <w:rPr>
          <w:rFonts w:ascii="仿宋_GB2312" w:eastAsia="仿宋_GB2312" w:cs="仿宋_GB2312"/>
          <w:sz w:val="32"/>
          <w:szCs w:val="32"/>
        </w:rPr>
      </w:pPr>
    </w:p>
    <w:p>
      <w:pPr>
        <w:spacing w:line="600" w:lineRule="exact"/>
        <w:rPr>
          <w:rFonts w:ascii="仿宋_GB2312" w:eastAsia="仿宋_GB2312" w:cs="仿宋_GB2312"/>
          <w:sz w:val="32"/>
          <w:szCs w:val="32"/>
        </w:rPr>
      </w:pPr>
    </w:p>
    <w:p>
      <w:pPr>
        <w:spacing w:line="600" w:lineRule="exact"/>
        <w:ind w:firstLine="4800" w:firstLineChars="1500"/>
        <w:rPr>
          <w:rFonts w:ascii="仿宋_GB2312" w:eastAsia="仿宋_GB2312" w:cs="仿宋_GB2312"/>
          <w:sz w:val="32"/>
          <w:szCs w:val="32"/>
        </w:rPr>
      </w:pPr>
      <w:r>
        <w:rPr>
          <w:rFonts w:hint="eastAsia" w:ascii="仿宋_GB2312" w:eastAsia="仿宋_GB2312" w:cs="仿宋_GB2312"/>
          <w:sz w:val="32"/>
          <w:szCs w:val="32"/>
        </w:rPr>
        <w:t>双牌县</w:t>
      </w:r>
      <w:r>
        <w:rPr>
          <w:rFonts w:ascii="仿宋_GB2312" w:eastAsia="仿宋_GB2312" w:cs="仿宋_GB2312"/>
          <w:sz w:val="32"/>
          <w:szCs w:val="32"/>
        </w:rPr>
        <w:t>人民政府办公室</w:t>
      </w:r>
    </w:p>
    <w:p>
      <w:pPr>
        <w:spacing w:line="600" w:lineRule="exact"/>
        <w:rPr>
          <w:rFonts w:ascii="仿宋_GB2312" w:eastAsia="仿宋_GB2312" w:cs="仿宋_GB2312"/>
          <w:spacing w:val="6"/>
          <w:sz w:val="32"/>
          <w:szCs w:val="32"/>
        </w:rPr>
      </w:pPr>
      <w:r>
        <w:rPr>
          <w:rFonts w:ascii="仿宋_GB2312" w:eastAsia="仿宋_GB2312" w:cs="仿宋_GB2312"/>
          <w:sz w:val="32"/>
          <w:szCs w:val="32"/>
        </w:rPr>
        <w:t xml:space="preserve">                               </w:t>
      </w:r>
      <w:r>
        <w:rPr>
          <w:rFonts w:hint="eastAsia" w:ascii="仿宋_GB2312" w:eastAsia="仿宋_GB2312" w:cs="仿宋_GB2312"/>
          <w:sz w:val="32"/>
          <w:szCs w:val="32"/>
        </w:rPr>
        <w:t xml:space="preserve"> </w:t>
      </w:r>
      <w:r>
        <w:rPr>
          <w:rFonts w:ascii="仿宋_GB2312" w:eastAsia="仿宋_GB2312" w:cs="仿宋_GB2312"/>
          <w:spacing w:val="6"/>
          <w:sz w:val="32"/>
          <w:szCs w:val="32"/>
        </w:rPr>
        <w:t>2022年</w:t>
      </w:r>
      <w:r>
        <w:rPr>
          <w:rFonts w:hint="eastAsia" w:ascii="仿宋_GB2312" w:eastAsia="仿宋_GB2312" w:cs="仿宋_GB2312"/>
          <w:spacing w:val="6"/>
          <w:sz w:val="32"/>
          <w:szCs w:val="32"/>
        </w:rPr>
        <w:t>1</w:t>
      </w:r>
      <w:r>
        <w:rPr>
          <w:rFonts w:ascii="仿宋_GB2312" w:eastAsia="仿宋_GB2312" w:cs="仿宋_GB2312"/>
          <w:spacing w:val="6"/>
          <w:sz w:val="32"/>
          <w:szCs w:val="32"/>
        </w:rPr>
        <w:t>月</w:t>
      </w:r>
      <w:r>
        <w:rPr>
          <w:rFonts w:hint="eastAsia" w:ascii="仿宋_GB2312" w:eastAsia="仿宋_GB2312" w:cs="仿宋_GB2312"/>
          <w:spacing w:val="6"/>
          <w:sz w:val="32"/>
          <w:szCs w:val="32"/>
        </w:rPr>
        <w:t>25</w:t>
      </w:r>
      <w:r>
        <w:rPr>
          <w:rFonts w:ascii="仿宋_GB2312" w:eastAsia="仿宋_GB2312" w:cs="仿宋_GB2312"/>
          <w:spacing w:val="6"/>
          <w:sz w:val="32"/>
          <w:szCs w:val="32"/>
        </w:rPr>
        <w:t>日</w:t>
      </w:r>
    </w:p>
    <w:p>
      <w:pPr>
        <w:pStyle w:val="2"/>
        <w:ind w:firstLine="332"/>
        <w:rPr>
          <w:rFonts w:ascii="仿宋_GB2312" w:eastAsia="仿宋_GB2312" w:cs="仿宋_GB2312"/>
          <w:spacing w:val="6"/>
          <w:sz w:val="32"/>
          <w:szCs w:val="32"/>
        </w:rPr>
      </w:pPr>
    </w:p>
    <w:p>
      <w:pPr>
        <w:rPr>
          <w:rFonts w:ascii="仿宋_GB2312" w:eastAsia="仿宋_GB2312" w:cs="仿宋_GB2312"/>
          <w:spacing w:val="6"/>
          <w:sz w:val="32"/>
          <w:szCs w:val="32"/>
        </w:rPr>
      </w:pPr>
    </w:p>
    <w:p>
      <w:pPr>
        <w:pStyle w:val="2"/>
        <w:ind w:firstLine="332"/>
        <w:rPr>
          <w:rFonts w:ascii="仿宋_GB2312" w:eastAsia="仿宋_GB2312" w:cs="仿宋_GB2312"/>
          <w:spacing w:val="6"/>
          <w:sz w:val="32"/>
          <w:szCs w:val="32"/>
        </w:rPr>
      </w:pPr>
    </w:p>
    <w:p>
      <w:pPr>
        <w:rPr>
          <w:rFonts w:ascii="仿宋_GB2312" w:eastAsia="仿宋_GB2312" w:cs="仿宋_GB2312"/>
          <w:spacing w:val="6"/>
          <w:sz w:val="32"/>
          <w:szCs w:val="32"/>
        </w:rPr>
      </w:pPr>
    </w:p>
    <w:p>
      <w:pPr>
        <w:pStyle w:val="2"/>
        <w:ind w:firstLine="332"/>
        <w:rPr>
          <w:rFonts w:ascii="仿宋_GB2312" w:eastAsia="仿宋_GB2312" w:cs="仿宋_GB2312"/>
          <w:spacing w:val="6"/>
          <w:sz w:val="32"/>
          <w:szCs w:val="32"/>
        </w:rPr>
      </w:pPr>
    </w:p>
    <w:p>
      <w:pPr>
        <w:rPr>
          <w:rFonts w:ascii="仿宋_GB2312" w:eastAsia="仿宋_GB2312" w:cs="仿宋_GB2312"/>
          <w:spacing w:val="6"/>
          <w:sz w:val="32"/>
          <w:szCs w:val="32"/>
        </w:rPr>
      </w:pPr>
    </w:p>
    <w:p>
      <w:pPr>
        <w:pStyle w:val="2"/>
        <w:ind w:firstLine="332"/>
        <w:rPr>
          <w:rFonts w:ascii="仿宋_GB2312" w:eastAsia="仿宋_GB2312" w:cs="仿宋_GB2312"/>
          <w:spacing w:val="6"/>
          <w:sz w:val="32"/>
          <w:szCs w:val="32"/>
        </w:rPr>
      </w:pPr>
    </w:p>
    <w:p>
      <w:pPr>
        <w:rPr>
          <w:rFonts w:ascii="仿宋_GB2312" w:eastAsia="仿宋_GB2312" w:cs="仿宋_GB2312"/>
          <w:spacing w:val="6"/>
          <w:sz w:val="32"/>
          <w:szCs w:val="32"/>
        </w:rPr>
      </w:pPr>
    </w:p>
    <w:p>
      <w:pPr>
        <w:pStyle w:val="2"/>
        <w:ind w:firstLine="332"/>
        <w:rPr>
          <w:rFonts w:ascii="仿宋_GB2312" w:eastAsia="仿宋_GB2312" w:cs="仿宋_GB2312"/>
          <w:spacing w:val="6"/>
          <w:sz w:val="32"/>
          <w:szCs w:val="32"/>
        </w:rPr>
      </w:pPr>
    </w:p>
    <w:p>
      <w:pPr>
        <w:rPr>
          <w:rFonts w:ascii="仿宋_GB2312" w:eastAsia="仿宋_GB2312" w:cs="仿宋_GB2312"/>
          <w:spacing w:val="6"/>
          <w:sz w:val="32"/>
          <w:szCs w:val="32"/>
        </w:rPr>
        <w:sectPr>
          <w:type w:val="continuous"/>
          <w:pgSz w:w="11906" w:h="16838"/>
          <w:pgMar w:top="1588" w:right="1701" w:bottom="1474" w:left="1701" w:header="851" w:footer="992" w:gutter="0"/>
          <w:cols w:space="720" w:num="1"/>
          <w:docGrid w:type="lines" w:linePitch="312" w:charSpace="0"/>
        </w:sectPr>
      </w:pPr>
    </w:p>
    <w:p>
      <w:pPr>
        <w:pStyle w:val="5"/>
        <w:overflowPunct w:val="0"/>
        <w:spacing w:line="600" w:lineRule="exact"/>
        <w:ind w:left="0"/>
        <w:jc w:val="left"/>
        <w:rPr>
          <w:rFonts w:ascii="仿宋_GB2312" w:eastAsia="仿宋_GB2312" w:cs="仿宋_GB2312"/>
          <w:sz w:val="32"/>
          <w:szCs w:val="32"/>
        </w:rPr>
      </w:pPr>
      <w:r>
        <w:rPr>
          <w:rFonts w:hint="eastAsia" w:ascii="仿宋_GB2312" w:eastAsia="仿宋_GB2312"/>
          <w:sz w:val="28"/>
          <w:szCs w:val="28"/>
        </w:rPr>
        <w:pict>
          <v:shape id="_x0000_s2100" o:spid="_x0000_s2100" o:spt="202" type="#_x0000_t202" style="position:absolute;left:0pt;margin-left:718.55pt;margin-top:-14.05pt;height:475.2pt;width:33pt;z-index:251683840;mso-width-relative:page;mso-height-relative:page;" stroked="f" coordsize="21600,21600">
            <v:path/>
            <v:fill focussize="0,0"/>
            <v:stroke on="f" joinstyle="miter"/>
            <v:imagedata o:title=""/>
            <o:lock v:ext="edit"/>
            <v:textbox style="layout-flow:vertical;">
              <w:txbxContent>
                <w:p>
                  <w:pPr>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cs="仿宋_GB2312"/>
          <w:sz w:val="32"/>
          <w:szCs w:val="32"/>
        </w:rPr>
        <w:t>附件1</w:t>
      </w:r>
    </w:p>
    <w:p>
      <w:pPr>
        <w:jc w:val="center"/>
        <w:rPr>
          <w:rFonts w:ascii="方正大标宋_GBK" w:eastAsia="方正大标宋_GBK"/>
          <w:sz w:val="40"/>
          <w:szCs w:val="40"/>
        </w:rPr>
      </w:pPr>
      <w:r>
        <w:rPr>
          <w:rFonts w:hint="eastAsia" w:ascii="方正大标宋_GBK" w:eastAsia="方正大标宋_GBK"/>
          <w:sz w:val="40"/>
          <w:szCs w:val="40"/>
        </w:rPr>
        <w:t>全市各县市区2021年获省政府真抓实干督查激励表扬情况统计表</w:t>
      </w:r>
    </w:p>
    <w:tbl>
      <w:tblPr>
        <w:tblStyle w:val="10"/>
        <w:tblW w:w="14816" w:type="dxa"/>
        <w:tblInd w:w="-415"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2100"/>
        <w:gridCol w:w="8928"/>
        <w:gridCol w:w="2683"/>
        <w:gridCol w:w="110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7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黑体" w:eastAsia="黑体"/>
                <w:sz w:val="30"/>
                <w:szCs w:val="30"/>
              </w:rPr>
            </w:pPr>
            <w:r>
              <w:rPr>
                <w:rFonts w:hint="eastAsia" w:ascii="黑体" w:eastAsia="黑体"/>
                <w:sz w:val="30"/>
                <w:szCs w:val="30"/>
              </w:rPr>
              <w:t>县市区</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黑体" w:eastAsia="黑体"/>
                <w:sz w:val="30"/>
                <w:szCs w:val="30"/>
              </w:rPr>
            </w:pPr>
            <w:r>
              <w:rPr>
                <w:rFonts w:hint="eastAsia" w:ascii="黑体" w:eastAsia="黑体"/>
                <w:sz w:val="30"/>
                <w:szCs w:val="30"/>
              </w:rPr>
              <w:t>获奖事项</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黑体" w:eastAsia="黑体"/>
                <w:sz w:val="30"/>
                <w:szCs w:val="30"/>
              </w:rPr>
            </w:pPr>
            <w:r>
              <w:rPr>
                <w:rFonts w:hint="eastAsia" w:ascii="黑体" w:eastAsia="黑体"/>
                <w:sz w:val="30"/>
                <w:szCs w:val="30"/>
              </w:rPr>
              <w:t>获奖金额（万元）</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黑体" w:eastAsia="黑体"/>
                <w:sz w:val="30"/>
                <w:szCs w:val="30"/>
              </w:rPr>
            </w:pPr>
            <w:r>
              <w:rPr>
                <w:rFonts w:hint="eastAsia" w:ascii="黑体" w:eastAsia="黑体"/>
                <w:sz w:val="30"/>
                <w:szCs w:val="30"/>
              </w:rPr>
              <w:t>排名</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69"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江永县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5</w:t>
            </w:r>
            <w:r>
              <w:rPr>
                <w:rFonts w:ascii="仿宋_GB2312" w:eastAsia="仿宋_GB2312"/>
                <w:kern w:val="0"/>
                <w:sz w:val="28"/>
                <w:szCs w:val="28"/>
              </w:rPr>
              <w:t>次</w:t>
            </w:r>
            <w:r>
              <w:rPr>
                <w:rFonts w:hint="eastAsia" w:ascii="仿宋_GB2312" w:eastAsia="仿宋_GB2312"/>
                <w:kern w:val="0"/>
                <w:sz w:val="28"/>
                <w:szCs w:val="28"/>
              </w:rPr>
              <w:t>（自然资源管理、促进就业和社会保障、“放管服”改革、信访“三无”、典型经验：蔬菜产业）</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350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1</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04"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零陵区</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4</w:t>
            </w:r>
            <w:r>
              <w:rPr>
                <w:rFonts w:ascii="仿宋_GB2312" w:eastAsia="仿宋_GB2312"/>
                <w:kern w:val="0"/>
                <w:sz w:val="28"/>
                <w:szCs w:val="28"/>
              </w:rPr>
              <w:t>次</w:t>
            </w:r>
            <w:r>
              <w:rPr>
                <w:rFonts w:hint="eastAsia" w:ascii="仿宋_GB2312" w:eastAsia="仿宋_GB2312"/>
                <w:kern w:val="0"/>
                <w:sz w:val="28"/>
                <w:szCs w:val="28"/>
              </w:rPr>
              <w:t>（开放高地、公立医院改革、根</w:t>
            </w:r>
            <w:r>
              <w:rPr>
                <w:rFonts w:ascii="仿宋_GB2312" w:eastAsia="仿宋_GB2312"/>
                <w:kern w:val="0"/>
                <w:sz w:val="28"/>
                <w:szCs w:val="28"/>
              </w:rPr>
              <w:t>治拖欠农民工</w:t>
            </w:r>
            <w:r>
              <w:rPr>
                <w:rFonts w:hint="eastAsia" w:ascii="仿宋_GB2312" w:eastAsia="仿宋_GB2312"/>
                <w:kern w:val="0"/>
                <w:sz w:val="28"/>
                <w:szCs w:val="28"/>
              </w:rPr>
              <w:t>工资、人居环境整治）</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550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祁阳市</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4</w:t>
            </w:r>
            <w:r>
              <w:rPr>
                <w:rFonts w:ascii="仿宋_GB2312" w:eastAsia="仿宋_GB2312"/>
                <w:kern w:val="0"/>
                <w:sz w:val="28"/>
                <w:szCs w:val="28"/>
              </w:rPr>
              <w:t>次</w:t>
            </w:r>
            <w:r>
              <w:rPr>
                <w:rFonts w:hint="eastAsia" w:ascii="仿宋_GB2312" w:eastAsia="仿宋_GB2312"/>
                <w:kern w:val="0"/>
                <w:sz w:val="28"/>
                <w:szCs w:val="28"/>
              </w:rPr>
              <w:t>（开放高地、信访“三无”、“双创”、典型经验：教育改革）</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300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东安县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4</w:t>
            </w:r>
            <w:r>
              <w:rPr>
                <w:rFonts w:ascii="仿宋_GB2312" w:eastAsia="仿宋_GB2312"/>
                <w:kern w:val="0"/>
                <w:sz w:val="28"/>
                <w:szCs w:val="28"/>
              </w:rPr>
              <w:t>次</w:t>
            </w:r>
            <w:r>
              <w:rPr>
                <w:rFonts w:hint="eastAsia" w:ascii="仿宋_GB2312" w:eastAsia="仿宋_GB2312"/>
                <w:kern w:val="0"/>
                <w:sz w:val="28"/>
                <w:szCs w:val="28"/>
              </w:rPr>
              <w:t>（高质量发展、省控断面水质、水利工作、信访“三无”）</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400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道县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4</w:t>
            </w:r>
            <w:r>
              <w:rPr>
                <w:rFonts w:ascii="仿宋_GB2312" w:eastAsia="仿宋_GB2312"/>
                <w:kern w:val="0"/>
                <w:sz w:val="28"/>
                <w:szCs w:val="28"/>
              </w:rPr>
              <w:t>次</w:t>
            </w:r>
            <w:r>
              <w:rPr>
                <w:rFonts w:hint="eastAsia" w:ascii="仿宋_GB2312" w:eastAsia="仿宋_GB2312"/>
                <w:kern w:val="0"/>
                <w:sz w:val="28"/>
                <w:szCs w:val="28"/>
              </w:rPr>
              <w:t>（质量工作、高标准农田建设、财政管理、典型经验：粮食安全）</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350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双牌县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3</w:t>
            </w:r>
            <w:r>
              <w:rPr>
                <w:rFonts w:ascii="仿宋_GB2312" w:eastAsia="仿宋_GB2312"/>
                <w:kern w:val="0"/>
                <w:sz w:val="28"/>
                <w:szCs w:val="28"/>
              </w:rPr>
              <w:t>次</w:t>
            </w:r>
            <w:r>
              <w:rPr>
                <w:rFonts w:hint="eastAsia" w:ascii="仿宋_GB2312" w:eastAsia="仿宋_GB2312"/>
                <w:kern w:val="0"/>
                <w:sz w:val="28"/>
                <w:szCs w:val="28"/>
              </w:rPr>
              <w:t>（文化旅游、固定资产投资、信访“三无”）</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300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6</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江华县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3</w:t>
            </w:r>
            <w:r>
              <w:rPr>
                <w:rFonts w:ascii="仿宋_GB2312" w:eastAsia="仿宋_GB2312"/>
                <w:kern w:val="0"/>
                <w:sz w:val="28"/>
                <w:szCs w:val="28"/>
              </w:rPr>
              <w:t>次</w:t>
            </w:r>
            <w:r>
              <w:rPr>
                <w:rFonts w:hint="eastAsia" w:ascii="仿宋_GB2312" w:eastAsia="仿宋_GB2312"/>
                <w:kern w:val="0"/>
                <w:sz w:val="28"/>
                <w:szCs w:val="28"/>
              </w:rPr>
              <w:t>（科技创新、园区建设、典型经验：发展园区产业）</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300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6</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18"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宁远县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3</w:t>
            </w:r>
            <w:r>
              <w:rPr>
                <w:rFonts w:ascii="仿宋_GB2312" w:eastAsia="仿宋_GB2312"/>
                <w:kern w:val="0"/>
                <w:sz w:val="28"/>
                <w:szCs w:val="28"/>
              </w:rPr>
              <w:t>次</w:t>
            </w:r>
            <w:r>
              <w:rPr>
                <w:rFonts w:hint="eastAsia" w:ascii="仿宋_GB2312" w:eastAsia="仿宋_GB2312"/>
                <w:kern w:val="0"/>
                <w:sz w:val="28"/>
                <w:szCs w:val="28"/>
              </w:rPr>
              <w:t>（财政管理、食品安全、营商环境改善）</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450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6</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2"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新田县</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2</w:t>
            </w:r>
            <w:r>
              <w:rPr>
                <w:rFonts w:ascii="仿宋_GB2312" w:eastAsia="仿宋_GB2312"/>
                <w:kern w:val="0"/>
                <w:sz w:val="28"/>
                <w:szCs w:val="28"/>
              </w:rPr>
              <w:t>次</w:t>
            </w:r>
            <w:r>
              <w:rPr>
                <w:rFonts w:hint="eastAsia" w:ascii="仿宋_GB2312" w:eastAsia="仿宋_GB2312"/>
                <w:kern w:val="0"/>
                <w:sz w:val="28"/>
                <w:szCs w:val="28"/>
              </w:rPr>
              <w:t>（养老服务、典型经验：教育改革）</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9</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冷水滩区</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1</w:t>
            </w:r>
            <w:r>
              <w:rPr>
                <w:rFonts w:ascii="仿宋_GB2312" w:eastAsia="仿宋_GB2312"/>
                <w:kern w:val="0"/>
                <w:sz w:val="28"/>
                <w:szCs w:val="28"/>
              </w:rPr>
              <w:t>次</w:t>
            </w:r>
            <w:r>
              <w:rPr>
                <w:rFonts w:hint="eastAsia" w:ascii="仿宋_GB2312" w:eastAsia="仿宋_GB2312"/>
                <w:kern w:val="0"/>
                <w:sz w:val="28"/>
                <w:szCs w:val="28"/>
              </w:rPr>
              <w:t>（粮食安全省长责任制）</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200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10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trHeight w:val="340" w:hRule="atLeast"/>
        </w:trPr>
        <w:tc>
          <w:tcPr>
            <w:tcW w:w="2100" w:type="dxa"/>
            <w:tcBorders>
              <w:top w:val="single" w:color="auto" w:sz="4" w:space="0"/>
              <w:left w:val="single" w:color="auto" w:sz="4" w:space="0"/>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回龙圩管理区</w:t>
            </w:r>
          </w:p>
        </w:tc>
        <w:tc>
          <w:tcPr>
            <w:tcW w:w="8928" w:type="dxa"/>
            <w:tcBorders>
              <w:top w:val="single" w:color="auto" w:sz="4" w:space="0"/>
              <w:left w:val="nil"/>
              <w:bottom w:val="single" w:color="auto" w:sz="4" w:space="0"/>
              <w:right w:val="single" w:color="auto" w:sz="4" w:space="0"/>
              <w:tl2br w:val="nil"/>
              <w:tr2bl w:val="nil"/>
            </w:tcBorders>
            <w:vAlign w:val="center"/>
          </w:tcPr>
          <w:p>
            <w:pPr>
              <w:widowControl/>
              <w:spacing w:line="300" w:lineRule="exact"/>
              <w:ind w:right="135"/>
              <w:jc w:val="left"/>
              <w:textAlignment w:val="baseline"/>
              <w:rPr>
                <w:rFonts w:ascii="仿宋_GB2312" w:eastAsia="仿宋_GB2312"/>
                <w:kern w:val="0"/>
                <w:sz w:val="28"/>
                <w:szCs w:val="28"/>
              </w:rPr>
            </w:pPr>
            <w:r>
              <w:rPr>
                <w:rFonts w:hint="eastAsia" w:ascii="仿宋_GB2312" w:eastAsia="仿宋_GB2312"/>
                <w:kern w:val="0"/>
                <w:sz w:val="28"/>
                <w:szCs w:val="28"/>
              </w:rPr>
              <w:t>1</w:t>
            </w:r>
            <w:r>
              <w:rPr>
                <w:rFonts w:ascii="仿宋_GB2312" w:eastAsia="仿宋_GB2312"/>
                <w:kern w:val="0"/>
                <w:sz w:val="28"/>
                <w:szCs w:val="28"/>
              </w:rPr>
              <w:t>次</w:t>
            </w:r>
            <w:r>
              <w:rPr>
                <w:rFonts w:hint="eastAsia" w:ascii="仿宋_GB2312" w:eastAsia="仿宋_GB2312"/>
                <w:kern w:val="0"/>
                <w:sz w:val="28"/>
                <w:szCs w:val="28"/>
              </w:rPr>
              <w:t>（信访“三无”）</w:t>
            </w:r>
          </w:p>
        </w:tc>
        <w:tc>
          <w:tcPr>
            <w:tcW w:w="2683"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50</w:t>
            </w:r>
          </w:p>
        </w:tc>
        <w:tc>
          <w:tcPr>
            <w:tcW w:w="1105" w:type="dxa"/>
            <w:tcBorders>
              <w:top w:val="single" w:color="auto" w:sz="4" w:space="0"/>
              <w:left w:val="nil"/>
              <w:bottom w:val="single" w:color="auto" w:sz="4" w:space="0"/>
              <w:right w:val="single" w:color="auto" w:sz="4" w:space="0"/>
              <w:tl2br w:val="nil"/>
              <w:tr2bl w:val="nil"/>
            </w:tcBorders>
            <w:vAlign w:val="center"/>
          </w:tcPr>
          <w:p>
            <w:pPr>
              <w:widowControl/>
              <w:ind w:right="135"/>
              <w:jc w:val="center"/>
              <w:rPr>
                <w:rFonts w:ascii="仿宋_GB2312" w:eastAsia="仿宋_GB2312"/>
                <w:sz w:val="28"/>
                <w:szCs w:val="28"/>
              </w:rPr>
            </w:pPr>
            <w:r>
              <w:rPr>
                <w:rFonts w:hint="eastAsia" w:ascii="仿宋_GB2312" w:eastAsia="仿宋_GB2312"/>
                <w:sz w:val="28"/>
                <w:szCs w:val="28"/>
              </w:rPr>
              <w:t>10</w:t>
            </w:r>
          </w:p>
        </w:tc>
      </w:tr>
    </w:tbl>
    <w:p>
      <w:pPr>
        <w:pStyle w:val="5"/>
        <w:overflowPunct w:val="0"/>
        <w:spacing w:line="600" w:lineRule="exact"/>
        <w:ind w:left="0"/>
        <w:jc w:val="left"/>
        <w:rPr>
          <w:rFonts w:ascii="黑体" w:eastAsia="黑体"/>
          <w:sz w:val="32"/>
          <w:szCs w:val="32"/>
        </w:rPr>
        <w:sectPr>
          <w:pgSz w:w="16840" w:h="11907" w:orient="landscape"/>
          <w:pgMar w:top="1361" w:right="1440" w:bottom="1474" w:left="1440" w:header="851" w:footer="992" w:gutter="0"/>
          <w:cols w:space="720" w:num="1"/>
          <w:docGrid w:type="lines" w:linePitch="312" w:charSpace="0"/>
        </w:sectPr>
      </w:pPr>
    </w:p>
    <w:p>
      <w:pPr>
        <w:pStyle w:val="5"/>
        <w:overflowPunct w:val="0"/>
        <w:spacing w:line="600" w:lineRule="exact"/>
        <w:ind w:left="0"/>
        <w:jc w:val="left"/>
        <w:rPr>
          <w:rFonts w:ascii="仿宋_GB2312" w:eastAsia="仿宋_GB2312"/>
          <w:spacing w:val="-14"/>
          <w:sz w:val="44"/>
          <w:szCs w:val="44"/>
        </w:rPr>
      </w:pPr>
      <w:r>
        <w:rPr>
          <w:rFonts w:hint="eastAsia" w:ascii="黑体" w:eastAsia="黑体"/>
          <w:color w:val="000000"/>
          <w:sz w:val="24"/>
          <w:szCs w:val="24"/>
        </w:rPr>
        <w:pict>
          <v:shape id="_x0000_s2101" o:spid="_x0000_s2101" o:spt="202" type="#_x0000_t202" style="position:absolute;left:0pt;margin-left:728.8pt;margin-top:-28.85pt;height:474.8pt;width:33.05pt;z-index:251684864;mso-width-relative:page;mso-height-relative:page;" stroked="f" coordsize="21600,21600">
            <v:path/>
            <v:fill focussize="0,0"/>
            <v:stroke on="f" joinstyle="miter"/>
            <v:imagedata o:title=""/>
            <o:lock v:ext="edit"/>
            <v:textbox style="layout-flow:vertical;">
              <w:txbxContent>
                <w:p>
                  <w:pPr>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sz w:val="32"/>
          <w:szCs w:val="32"/>
        </w:rPr>
        <w:t>附件2</w:t>
      </w:r>
    </w:p>
    <w:p>
      <w:pPr>
        <w:spacing w:line="500" w:lineRule="exact"/>
        <w:jc w:val="center"/>
        <w:textAlignment w:val="baseline"/>
        <w:rPr>
          <w:rFonts w:ascii="方正大标宋_GBK" w:eastAsia="方正大标宋_GBK" w:cs="楷体"/>
          <w:spacing w:val="-14"/>
          <w:sz w:val="40"/>
          <w:szCs w:val="40"/>
        </w:rPr>
      </w:pPr>
      <w:r>
        <w:rPr>
          <w:rFonts w:hint="eastAsia" w:ascii="方正大标宋_GBK" w:eastAsia="方正大标宋_GBK" w:cs="楷体"/>
          <w:spacing w:val="-14"/>
          <w:sz w:val="40"/>
          <w:szCs w:val="40"/>
        </w:rPr>
        <w:t>永州市获得省政府2021年真抓实干督查激励表扬情况表</w:t>
      </w:r>
    </w:p>
    <w:p>
      <w:pPr>
        <w:pStyle w:val="5"/>
      </w:pPr>
    </w:p>
    <w:tbl>
      <w:tblPr>
        <w:tblStyle w:val="10"/>
        <w:tblW w:w="15355" w:type="dxa"/>
        <w:jc w:val="center"/>
        <w:tblLayout w:type="fixed"/>
        <w:tblCellMar>
          <w:top w:w="0" w:type="dxa"/>
          <w:left w:w="108" w:type="dxa"/>
          <w:bottom w:w="0" w:type="dxa"/>
          <w:right w:w="108" w:type="dxa"/>
        </w:tblCellMar>
      </w:tblPr>
      <w:tblGrid>
        <w:gridCol w:w="493"/>
        <w:gridCol w:w="1689"/>
        <w:gridCol w:w="923"/>
        <w:gridCol w:w="1737"/>
        <w:gridCol w:w="1456"/>
        <w:gridCol w:w="1171"/>
        <w:gridCol w:w="1172"/>
        <w:gridCol w:w="1718"/>
        <w:gridCol w:w="1297"/>
        <w:gridCol w:w="1573"/>
        <w:gridCol w:w="1121"/>
        <w:gridCol w:w="1005"/>
      </w:tblGrid>
      <w:tr>
        <w:tblPrEx>
          <w:tblCellMar>
            <w:top w:w="0" w:type="dxa"/>
            <w:left w:w="108" w:type="dxa"/>
            <w:bottom w:w="0" w:type="dxa"/>
            <w:right w:w="108" w:type="dxa"/>
          </w:tblCellMar>
        </w:tblPrEx>
        <w:trPr>
          <w:trHeight w:val="387" w:hRule="atLeast"/>
          <w:tblHeader/>
          <w:jc w:val="center"/>
        </w:trPr>
        <w:tc>
          <w:tcPr>
            <w:tcW w:w="493"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olor w:val="000000"/>
                <w:sz w:val="24"/>
                <w:szCs w:val="24"/>
              </w:rPr>
            </w:pPr>
            <w:r>
              <w:rPr>
                <w:rFonts w:hint="eastAsia" w:ascii="黑体" w:eastAsia="黑体"/>
                <w:color w:val="000000"/>
                <w:sz w:val="24"/>
                <w:szCs w:val="24"/>
              </w:rPr>
              <w:t>序号</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省实施单位</w:t>
            </w:r>
          </w:p>
        </w:tc>
        <w:tc>
          <w:tcPr>
            <w:tcW w:w="6459" w:type="dxa"/>
            <w:gridSpan w:val="5"/>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s="仿宋_GB2312"/>
                <w:color w:val="000000"/>
                <w:kern w:val="0"/>
                <w:sz w:val="24"/>
                <w:szCs w:val="24"/>
              </w:rPr>
            </w:pPr>
            <w:r>
              <w:rPr>
                <w:rFonts w:hint="eastAsia" w:ascii="黑体" w:eastAsia="黑体" w:cs="仿宋_GB2312"/>
                <w:color w:val="000000"/>
                <w:kern w:val="0"/>
                <w:sz w:val="24"/>
                <w:szCs w:val="24"/>
              </w:rPr>
              <w:t>设奖情况</w:t>
            </w:r>
          </w:p>
        </w:tc>
        <w:tc>
          <w:tcPr>
            <w:tcW w:w="1718"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olor w:val="000000"/>
                <w:sz w:val="24"/>
                <w:szCs w:val="24"/>
              </w:rPr>
            </w:pPr>
            <w:r>
              <w:rPr>
                <w:rFonts w:hint="eastAsia" w:ascii="黑体" w:eastAsia="黑体"/>
                <w:color w:val="000000"/>
                <w:kern w:val="0"/>
                <w:sz w:val="24"/>
                <w:szCs w:val="24"/>
              </w:rPr>
              <w:t>市直牵头单位</w:t>
            </w:r>
          </w:p>
        </w:tc>
        <w:tc>
          <w:tcPr>
            <w:tcW w:w="4996" w:type="dxa"/>
            <w:gridSpan w:val="4"/>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获奖情况</w:t>
            </w:r>
          </w:p>
        </w:tc>
      </w:tr>
      <w:tr>
        <w:tblPrEx>
          <w:tblCellMar>
            <w:top w:w="0" w:type="dxa"/>
            <w:left w:w="108" w:type="dxa"/>
            <w:bottom w:w="0" w:type="dxa"/>
            <w:right w:w="108" w:type="dxa"/>
          </w:tblCellMar>
        </w:tblPrEx>
        <w:trPr>
          <w:trHeight w:val="296" w:hRule="atLeast"/>
          <w:tblHeader/>
          <w:jc w:val="center"/>
        </w:trPr>
        <w:tc>
          <w:tcPr>
            <w:tcW w:w="493"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tc>
        <w:tc>
          <w:tcPr>
            <w:tcW w:w="1689" w:type="dxa"/>
            <w:vMerge w:val="continue"/>
            <w:tcBorders>
              <w:top w:val="single" w:color="auto" w:sz="4" w:space="0"/>
              <w:left w:val="nil"/>
              <w:bottom w:val="nil"/>
              <w:right w:val="single" w:color="auto" w:sz="4" w:space="0"/>
              <w:tl2br w:val="nil"/>
              <w:tr2bl w:val="nil"/>
            </w:tcBorders>
            <w:noWrap/>
            <w:vAlign w:val="center"/>
          </w:tcPr>
          <w:p/>
        </w:tc>
        <w:tc>
          <w:tcPr>
            <w:tcW w:w="2660" w:type="dxa"/>
            <w:gridSpan w:val="2"/>
            <w:vMerge w:val="restart"/>
            <w:tcBorders>
              <w:top w:val="single" w:color="auto" w:sz="4" w:space="0"/>
              <w:left w:val="single" w:color="auto" w:sz="4" w:space="0"/>
              <w:bottom w:val="nil"/>
              <w:right w:val="single" w:color="auto" w:sz="4" w:space="0"/>
              <w:tl2br w:val="nil"/>
              <w:tr2bl w:val="nil"/>
            </w:tcBorders>
            <w:noWrap/>
            <w:vAlign w:val="center"/>
          </w:tcPr>
          <w:p>
            <w:pPr>
              <w:widowControl/>
              <w:spacing w:line="300" w:lineRule="exact"/>
              <w:jc w:val="center"/>
              <w:textAlignment w:val="center"/>
              <w:rPr>
                <w:rFonts w:ascii="黑体" w:eastAsia="黑体" w:cs="仿宋_GB2312"/>
                <w:color w:val="000000"/>
                <w:kern w:val="0"/>
                <w:sz w:val="24"/>
                <w:szCs w:val="24"/>
              </w:rPr>
            </w:pPr>
            <w:r>
              <w:rPr>
                <w:rFonts w:hint="eastAsia" w:ascii="黑体" w:eastAsia="黑体" w:cs="仿宋_GB2312"/>
                <w:color w:val="000000"/>
                <w:kern w:val="0"/>
                <w:sz w:val="24"/>
                <w:szCs w:val="24"/>
              </w:rPr>
              <w:t>激励事项（奖项）</w:t>
            </w:r>
          </w:p>
        </w:tc>
        <w:tc>
          <w:tcPr>
            <w:tcW w:w="1456"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s="仿宋_GB2312"/>
                <w:color w:val="000000"/>
                <w:kern w:val="0"/>
                <w:sz w:val="24"/>
                <w:szCs w:val="24"/>
              </w:rPr>
            </w:pPr>
            <w:r>
              <w:rPr>
                <w:rFonts w:hint="eastAsia" w:ascii="黑体" w:eastAsia="黑体" w:cs="仿宋_GB2312"/>
                <w:color w:val="000000"/>
                <w:kern w:val="0"/>
                <w:sz w:val="24"/>
                <w:szCs w:val="24"/>
              </w:rPr>
              <w:t>激励指标</w:t>
            </w:r>
          </w:p>
        </w:tc>
        <w:tc>
          <w:tcPr>
            <w:tcW w:w="2343"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rPr>
            </w:pPr>
            <w:r>
              <w:rPr>
                <w:rFonts w:hint="eastAsia" w:ascii="黑体" w:eastAsia="黑体"/>
                <w:color w:val="000000"/>
                <w:kern w:val="0"/>
                <w:sz w:val="24"/>
                <w:szCs w:val="24"/>
              </w:rPr>
              <w:t>激励金额（万元）</w:t>
            </w:r>
          </w:p>
        </w:tc>
        <w:tc>
          <w:tcPr>
            <w:tcW w:w="1718" w:type="dxa"/>
            <w:vMerge w:val="continue"/>
            <w:tcBorders>
              <w:top w:val="single" w:color="auto" w:sz="4" w:space="0"/>
              <w:left w:val="nil"/>
              <w:bottom w:val="nil"/>
              <w:right w:val="single" w:color="auto" w:sz="4" w:space="0"/>
              <w:tl2br w:val="nil"/>
              <w:tr2bl w:val="nil"/>
            </w:tcBorders>
            <w:noWrap/>
            <w:vAlign w:val="center"/>
          </w:tcPr>
          <w:p/>
        </w:tc>
        <w:tc>
          <w:tcPr>
            <w:tcW w:w="1297"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市本级</w:t>
            </w:r>
          </w:p>
        </w:tc>
        <w:tc>
          <w:tcPr>
            <w:tcW w:w="1573"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县市区</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总金额  （万元）</w:t>
            </w:r>
          </w:p>
        </w:tc>
        <w:tc>
          <w:tcPr>
            <w:tcW w:w="1005" w:type="dxa"/>
            <w:vMerge w:val="restart"/>
            <w:tcBorders>
              <w:right w:val="single" w:color="auto" w:sz="4" w:space="0"/>
            </w:tcBorders>
            <w:vAlign w:val="center"/>
          </w:tcPr>
          <w:p>
            <w:pPr>
              <w:widowControl/>
              <w:spacing w:line="300" w:lineRule="exact"/>
              <w:jc w:val="center"/>
              <w:textAlignment w:val="center"/>
              <w:rPr>
                <w:rFonts w:ascii="黑体" w:eastAsia="黑体"/>
                <w:color w:val="000000"/>
                <w:kern w:val="0"/>
                <w:sz w:val="24"/>
                <w:szCs w:val="24"/>
              </w:rPr>
            </w:pPr>
            <w:r>
              <w:rPr>
                <w:rFonts w:hint="eastAsia" w:ascii="黑体" w:eastAsia="黑体"/>
                <w:color w:val="000000"/>
                <w:kern w:val="0"/>
                <w:sz w:val="24"/>
                <w:szCs w:val="24"/>
              </w:rPr>
              <w:t>占比</w:t>
            </w:r>
          </w:p>
        </w:tc>
      </w:tr>
      <w:tr>
        <w:tblPrEx>
          <w:tblCellMar>
            <w:top w:w="0" w:type="dxa"/>
            <w:left w:w="108" w:type="dxa"/>
            <w:bottom w:w="0" w:type="dxa"/>
            <w:right w:w="108" w:type="dxa"/>
          </w:tblCellMar>
        </w:tblPrEx>
        <w:trPr>
          <w:trHeight w:val="289" w:hRule="atLeast"/>
          <w:tblHeader/>
          <w:jc w:val="center"/>
        </w:trPr>
        <w:tc>
          <w:tcPr>
            <w:tcW w:w="493"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tc>
        <w:tc>
          <w:tcPr>
            <w:tcW w:w="1689" w:type="dxa"/>
            <w:vMerge w:val="continue"/>
            <w:tcBorders>
              <w:top w:val="single" w:color="auto" w:sz="4" w:space="0"/>
              <w:left w:val="nil"/>
              <w:bottom w:val="nil"/>
              <w:right w:val="single" w:color="auto" w:sz="4" w:space="0"/>
              <w:tl2br w:val="nil"/>
              <w:tr2bl w:val="nil"/>
            </w:tcBorders>
            <w:noWrap/>
            <w:vAlign w:val="center"/>
          </w:tcPr>
          <w:p/>
        </w:tc>
        <w:tc>
          <w:tcPr>
            <w:tcW w:w="2660" w:type="dxa"/>
            <w:gridSpan w:val="2"/>
            <w:vMerge w:val="continue"/>
            <w:tcBorders>
              <w:top w:val="single" w:color="auto" w:sz="4" w:space="0"/>
              <w:left w:val="single" w:color="auto" w:sz="4" w:space="0"/>
              <w:bottom w:val="nil"/>
              <w:right w:val="single" w:color="auto" w:sz="4" w:space="0"/>
              <w:tl2br w:val="nil"/>
              <w:tr2bl w:val="nil"/>
            </w:tcBorders>
            <w:noWrap/>
            <w:vAlign w:val="center"/>
          </w:tcPr>
          <w:p/>
        </w:tc>
        <w:tc>
          <w:tcPr>
            <w:tcW w:w="1456" w:type="dxa"/>
            <w:vMerge w:val="continue"/>
            <w:tcBorders>
              <w:top w:val="single" w:color="auto" w:sz="4" w:space="0"/>
              <w:left w:val="nil"/>
              <w:bottom w:val="nil"/>
              <w:right w:val="single" w:color="auto" w:sz="4" w:space="0"/>
              <w:tl2br w:val="nil"/>
              <w:tr2bl w:val="nil"/>
            </w:tcBorders>
            <w:noWrap/>
            <w:vAlign w:val="center"/>
          </w:tcPr>
          <w:p/>
        </w:tc>
        <w:tc>
          <w:tcPr>
            <w:tcW w:w="1171"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ascii="黑体" w:eastAsia="黑体"/>
                <w:color w:val="000000"/>
                <w:kern w:val="0"/>
                <w:sz w:val="24"/>
                <w:szCs w:val="24"/>
              </w:rPr>
              <w:t>单项</w:t>
            </w:r>
          </w:p>
        </w:tc>
        <w:tc>
          <w:tcPr>
            <w:tcW w:w="1172"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center"/>
              <w:rPr>
                <w:rFonts w:ascii="黑体" w:eastAsia="黑体"/>
                <w:color w:val="000000"/>
                <w:kern w:val="0"/>
                <w:sz w:val="24"/>
                <w:szCs w:val="24"/>
              </w:rPr>
            </w:pPr>
            <w:r>
              <w:rPr>
                <w:rFonts w:ascii="黑体" w:eastAsia="黑体"/>
                <w:color w:val="000000"/>
                <w:kern w:val="0"/>
                <w:sz w:val="24"/>
                <w:szCs w:val="24"/>
              </w:rPr>
              <w:t>合计</w:t>
            </w:r>
          </w:p>
        </w:tc>
        <w:tc>
          <w:tcPr>
            <w:tcW w:w="1718" w:type="dxa"/>
            <w:vMerge w:val="continue"/>
            <w:tcBorders>
              <w:top w:val="single" w:color="auto" w:sz="4" w:space="0"/>
              <w:left w:val="nil"/>
              <w:bottom w:val="nil"/>
              <w:right w:val="single" w:color="auto" w:sz="4" w:space="0"/>
              <w:tl2br w:val="nil"/>
              <w:tr2bl w:val="nil"/>
            </w:tcBorders>
            <w:noWrap/>
            <w:vAlign w:val="center"/>
          </w:tcPr>
          <w:p/>
        </w:tc>
        <w:tc>
          <w:tcPr>
            <w:tcW w:w="1297" w:type="dxa"/>
            <w:vMerge w:val="continue"/>
            <w:tcBorders>
              <w:top w:val="single" w:color="auto" w:sz="4" w:space="0"/>
              <w:left w:val="nil"/>
              <w:bottom w:val="nil"/>
              <w:right w:val="single" w:color="auto" w:sz="4" w:space="0"/>
              <w:tl2br w:val="nil"/>
              <w:tr2bl w:val="nil"/>
            </w:tcBorders>
            <w:noWrap/>
            <w:vAlign w:val="center"/>
          </w:tcPr>
          <w:p/>
        </w:tc>
        <w:tc>
          <w:tcPr>
            <w:tcW w:w="1573" w:type="dxa"/>
            <w:vMerge w:val="continue"/>
            <w:tcBorders>
              <w:top w:val="single" w:color="auto" w:sz="4" w:space="0"/>
              <w:left w:val="nil"/>
              <w:bottom w:val="nil"/>
              <w:right w:val="single" w:color="auto" w:sz="4" w:space="0"/>
              <w:tl2br w:val="nil"/>
              <w:tr2bl w:val="nil"/>
            </w:tcBorders>
            <w:noWrap/>
            <w:vAlign w:val="center"/>
          </w:tcP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right w:val="single" w:color="auto" w:sz="4" w:space="0"/>
            </w:tcBorders>
            <w:vAlign w:val="center"/>
          </w:tcPr>
          <w:p/>
        </w:tc>
      </w:tr>
      <w:tr>
        <w:tblPrEx>
          <w:tblCellMar>
            <w:top w:w="0" w:type="dxa"/>
            <w:left w:w="108" w:type="dxa"/>
            <w:bottom w:w="0" w:type="dxa"/>
            <w:right w:w="108" w:type="dxa"/>
          </w:tblCellMar>
        </w:tblPrEx>
        <w:trPr>
          <w:trHeight w:val="669"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center"/>
              <w:rPr>
                <w:rFonts w:ascii="仿宋_GB2312" w:eastAsia="仿宋_GB2312"/>
                <w:color w:val="000000"/>
                <w:kern w:val="0"/>
                <w:sz w:val="24"/>
                <w:szCs w:val="24"/>
              </w:rPr>
            </w:pPr>
            <w:r>
              <w:rPr>
                <w:rFonts w:hint="eastAsia" w:ascii="仿宋_GB2312" w:eastAsia="仿宋_GB2312"/>
                <w:color w:val="000000"/>
                <w:kern w:val="0"/>
                <w:sz w:val="24"/>
                <w:szCs w:val="24"/>
              </w:rPr>
              <w:t>1</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省政务局</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深化“放管服”改革</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p>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900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3500</w:t>
            </w:r>
          </w:p>
        </w:tc>
        <w:tc>
          <w:tcPr>
            <w:tcW w:w="1718"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市行政审批服务局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江永县    （50万）</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350</w:t>
            </w:r>
          </w:p>
        </w:tc>
        <w:tc>
          <w:tcPr>
            <w:tcW w:w="1005"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w:t>
            </w:r>
            <w:r>
              <w:rPr>
                <w:rFonts w:ascii="仿宋_GB2312" w:eastAsia="仿宋_GB2312"/>
                <w:color w:val="000000"/>
                <w:kern w:val="0"/>
                <w:sz w:val="24"/>
                <w:szCs w:val="24"/>
              </w:rPr>
              <w:t>0.0</w:t>
            </w:r>
            <w:r>
              <w:rPr>
                <w:rFonts w:hint="eastAsia" w:ascii="仿宋_GB2312" w:eastAsia="仿宋_GB2312"/>
                <w:color w:val="000000"/>
                <w:kern w:val="0"/>
                <w:sz w:val="24"/>
                <w:szCs w:val="24"/>
              </w:rPr>
              <w:t>%</w:t>
            </w:r>
          </w:p>
        </w:tc>
      </w:tr>
      <w:tr>
        <w:tblPrEx>
          <w:tblCellMar>
            <w:top w:w="0" w:type="dxa"/>
            <w:left w:w="108" w:type="dxa"/>
            <w:bottom w:w="0" w:type="dxa"/>
            <w:right w:w="108" w:type="dxa"/>
          </w:tblCellMar>
        </w:tblPrEx>
        <w:trPr>
          <w:trHeight w:val="710" w:hRule="atLeast"/>
          <w:jc w:val="center"/>
        </w:trPr>
        <w:tc>
          <w:tcPr>
            <w:tcW w:w="493" w:type="dxa"/>
            <w:vMerge w:val="restart"/>
            <w:tcBorders>
              <w:top w:val="nil"/>
              <w:left w:val="single" w:color="auto" w:sz="4" w:space="0"/>
              <w:right w:val="single" w:color="auto" w:sz="4" w:space="0"/>
              <w:tl2br w:val="nil"/>
              <w:tr2bl w:val="nil"/>
            </w:tcBorders>
            <w:noWrap/>
            <w:vAlign w:val="center"/>
          </w:tcPr>
          <w:p>
            <w:pPr>
              <w:widowControl/>
              <w:spacing w:line="300" w:lineRule="exact"/>
              <w:jc w:val="center"/>
              <w:textAlignment w:val="center"/>
              <w:rPr>
                <w:rFonts w:ascii="仿宋_GB2312" w:eastAsia="仿宋_GB2312"/>
                <w:color w:val="000000"/>
                <w:kern w:val="0"/>
                <w:sz w:val="24"/>
                <w:szCs w:val="24"/>
              </w:rPr>
            </w:pPr>
            <w:r>
              <w:rPr>
                <w:rFonts w:hint="eastAsia" w:ascii="仿宋_GB2312" w:eastAsia="仿宋_GB2312"/>
                <w:color w:val="000000"/>
                <w:kern w:val="0"/>
                <w:sz w:val="24"/>
                <w:szCs w:val="24"/>
              </w:rPr>
              <w:t>2</w:t>
            </w:r>
          </w:p>
        </w:tc>
        <w:tc>
          <w:tcPr>
            <w:tcW w:w="1689" w:type="dxa"/>
            <w:vMerge w:val="restart"/>
            <w:tcBorders>
              <w:top w:val="nil"/>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省发改委</w:t>
            </w:r>
          </w:p>
        </w:tc>
        <w:tc>
          <w:tcPr>
            <w:tcW w:w="923" w:type="dxa"/>
            <w:vMerge w:val="restart"/>
            <w:tcBorders>
              <w:top w:val="nil"/>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营商环境改善</w:t>
            </w: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营商环境改善</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r>
              <w:rPr>
                <w:rFonts w:ascii="仿宋_GB2312" w:eastAsia="仿宋_GB2312"/>
                <w:color w:val="000000"/>
                <w:kern w:val="0"/>
                <w:sz w:val="24"/>
                <w:szCs w:val="24"/>
              </w:rPr>
              <w:t xml:space="preserve"> </w:t>
            </w:r>
          </w:p>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宁远县   （100万）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right w:val="single" w:color="auto" w:sz="4" w:space="0"/>
              <w:tl2br w:val="nil"/>
              <w:tr2bl w:val="nil"/>
            </w:tcBorders>
            <w:noWrap/>
            <w:vAlign w:val="center"/>
          </w:tcPr>
          <w:p/>
        </w:tc>
        <w:tc>
          <w:tcPr>
            <w:tcW w:w="1689" w:type="dxa"/>
            <w:vMerge w:val="continue"/>
            <w:tcBorders>
              <w:left w:val="nil"/>
              <w:right w:val="single" w:color="auto" w:sz="4" w:space="0"/>
              <w:tl2br w:val="nil"/>
              <w:tr2bl w:val="nil"/>
            </w:tcBorders>
            <w:noWrap/>
            <w:vAlign w:val="center"/>
          </w:tcPr>
          <w:p/>
        </w:tc>
        <w:tc>
          <w:tcPr>
            <w:tcW w:w="923" w:type="dxa"/>
            <w:vMerge w:val="continue"/>
            <w:tcBorders>
              <w:top w:val="nil"/>
              <w:left w:val="nil"/>
              <w:bottom w:val="nil"/>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社会信用建设</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 xml:space="preserve">永州   </w:t>
            </w:r>
            <w:r>
              <w:rPr>
                <w:rFonts w:ascii="仿宋_GB2312" w:eastAsia="仿宋_GB2312"/>
                <w:color w:val="000000"/>
                <w:kern w:val="0"/>
                <w:sz w:val="24"/>
                <w:szCs w:val="24"/>
              </w:rPr>
              <w:t xml:space="preserve">  </w:t>
            </w:r>
            <w:r>
              <w:rPr>
                <w:rFonts w:hint="eastAsia" w:ascii="仿宋_GB2312" w:eastAsia="仿宋_GB2312"/>
                <w:color w:val="000000"/>
                <w:kern w:val="0"/>
                <w:sz w:val="24"/>
                <w:szCs w:val="24"/>
              </w:rPr>
              <w:t>（200万）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未设奖</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727" w:hRule="atLeast"/>
          <w:jc w:val="center"/>
        </w:trPr>
        <w:tc>
          <w:tcPr>
            <w:tcW w:w="493" w:type="dxa"/>
            <w:vMerge w:val="continue"/>
            <w:tcBorders>
              <w:left w:val="single" w:color="auto" w:sz="4" w:space="0"/>
              <w:right w:val="single" w:color="auto" w:sz="4" w:space="0"/>
              <w:tl2br w:val="nil"/>
              <w:tr2bl w:val="nil"/>
            </w:tcBorders>
            <w:noWrap/>
            <w:vAlign w:val="center"/>
          </w:tcPr>
          <w:p/>
        </w:tc>
        <w:tc>
          <w:tcPr>
            <w:tcW w:w="1689" w:type="dxa"/>
            <w:vMerge w:val="continue"/>
            <w:tcBorders>
              <w:left w:val="nil"/>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固定资产投资</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r>
              <w:rPr>
                <w:rFonts w:ascii="仿宋_GB2312" w:eastAsia="仿宋_GB2312"/>
                <w:color w:val="000000"/>
                <w:kern w:val="0"/>
                <w:sz w:val="24"/>
                <w:szCs w:val="24"/>
              </w:rPr>
              <w:t xml:space="preserve">  </w:t>
            </w:r>
            <w:r>
              <w:rPr>
                <w:rFonts w:hint="eastAsia" w:ascii="仿宋_GB2312" w:eastAsia="仿宋_GB2312"/>
                <w:color w:val="000000"/>
                <w:kern w:val="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1800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4200</w:t>
            </w:r>
          </w:p>
        </w:tc>
        <w:tc>
          <w:tcPr>
            <w:tcW w:w="1718"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市发改委</w:t>
            </w:r>
          </w:p>
        </w:tc>
        <w:tc>
          <w:tcPr>
            <w:tcW w:w="1297"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双牌     （100万）</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3</w:t>
            </w:r>
            <w:r>
              <w:rPr>
                <w:rFonts w:hint="eastAsia" w:ascii="仿宋_GB2312" w:eastAsia="仿宋_GB2312"/>
                <w:color w:val="000000"/>
                <w:kern w:val="0"/>
                <w:sz w:val="24"/>
                <w:szCs w:val="24"/>
              </w:rPr>
              <w:t>00</w:t>
            </w:r>
          </w:p>
        </w:tc>
        <w:tc>
          <w:tcPr>
            <w:tcW w:w="1005"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7.1</w:t>
            </w:r>
            <w:r>
              <w:rPr>
                <w:rFonts w:hint="eastAsia" w:ascii="仿宋_GB2312" w:eastAsia="仿宋_GB2312"/>
                <w:color w:val="000000"/>
                <w:kern w:val="0"/>
                <w:sz w:val="24"/>
                <w:szCs w:val="24"/>
              </w:rPr>
              <w:t>%</w:t>
            </w:r>
          </w:p>
        </w:tc>
      </w:tr>
      <w:tr>
        <w:tblPrEx>
          <w:tblCellMar>
            <w:top w:w="0" w:type="dxa"/>
            <w:left w:w="108" w:type="dxa"/>
            <w:bottom w:w="0" w:type="dxa"/>
            <w:right w:w="108" w:type="dxa"/>
          </w:tblCellMar>
        </w:tblPrEx>
        <w:trPr>
          <w:trHeight w:val="522" w:hRule="atLeast"/>
          <w:jc w:val="center"/>
        </w:trPr>
        <w:tc>
          <w:tcPr>
            <w:tcW w:w="493" w:type="dxa"/>
            <w:vMerge w:val="continue"/>
            <w:tcBorders>
              <w:left w:val="single" w:color="auto" w:sz="4" w:space="0"/>
              <w:right w:val="single" w:color="auto" w:sz="4" w:space="0"/>
              <w:tl2br w:val="nil"/>
              <w:tr2bl w:val="nil"/>
            </w:tcBorders>
            <w:noWrap/>
            <w:vAlign w:val="center"/>
          </w:tcPr>
          <w:p/>
        </w:tc>
        <w:tc>
          <w:tcPr>
            <w:tcW w:w="1689" w:type="dxa"/>
            <w:vMerge w:val="continue"/>
            <w:tcBorders>
              <w:left w:val="nil"/>
              <w:right w:val="single" w:color="auto" w:sz="4" w:space="0"/>
              <w:tl2br w:val="nil"/>
              <w:tr2bl w:val="nil"/>
            </w:tcBorders>
            <w:noWrap/>
            <w:vAlign w:val="center"/>
          </w:tcPr>
          <w:p/>
        </w:tc>
        <w:tc>
          <w:tcPr>
            <w:tcW w:w="2660" w:type="dxa"/>
            <w:gridSpan w:val="2"/>
            <w:tcBorders>
              <w:top w:val="nil"/>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项目建设</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single" w:color="auto" w:sz="4" w:space="0"/>
              <w:left w:val="nil"/>
              <w:bottom w:val="nil"/>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未设奖</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right w:val="single" w:color="auto" w:sz="4" w:space="0"/>
              <w:tl2br w:val="nil"/>
              <w:tr2bl w:val="nil"/>
            </w:tcBorders>
            <w:noWrap/>
            <w:vAlign w:val="center"/>
          </w:tcPr>
          <w:p/>
        </w:tc>
        <w:tc>
          <w:tcPr>
            <w:tcW w:w="1689" w:type="dxa"/>
            <w:vMerge w:val="continue"/>
            <w:tcBorders>
              <w:left w:val="nil"/>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园区发展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6个园区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600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single" w:color="auto" w:sz="4" w:space="0"/>
              <w:left w:val="nil"/>
              <w:bottom w:val="nil"/>
              <w:right w:val="single" w:color="auto" w:sz="4" w:space="0"/>
              <w:tl2br w:val="nil"/>
              <w:tr2bl w:val="nil"/>
            </w:tcBorders>
            <w:noWrap/>
            <w:vAlign w:val="center"/>
          </w:tcPr>
          <w:p/>
        </w:tc>
        <w:tc>
          <w:tcPr>
            <w:tcW w:w="1297" w:type="dxa"/>
            <w:vMerge w:val="restart"/>
            <w:tcBorders>
              <w:top w:val="nil"/>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江华高新区（100万）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836" w:hRule="atLeast"/>
          <w:jc w:val="center"/>
        </w:trPr>
        <w:tc>
          <w:tcPr>
            <w:tcW w:w="493" w:type="dxa"/>
            <w:vMerge w:val="continue"/>
            <w:tcBorders>
              <w:left w:val="single" w:color="auto" w:sz="4" w:space="0"/>
              <w:right w:val="single" w:color="auto" w:sz="4" w:space="0"/>
              <w:tl2br w:val="nil"/>
              <w:tr2bl w:val="nil"/>
            </w:tcBorders>
            <w:noWrap/>
            <w:vAlign w:val="center"/>
          </w:tcPr>
          <w:p/>
        </w:tc>
        <w:tc>
          <w:tcPr>
            <w:tcW w:w="1689" w:type="dxa"/>
            <w:vMerge w:val="continue"/>
            <w:tcBorders>
              <w:left w:val="nil"/>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w:t>
            </w:r>
            <w:r>
              <w:rPr>
                <w:rFonts w:hint="eastAsia" w:ascii="仿宋_GB2312" w:eastAsia="仿宋_GB2312"/>
                <w:color w:val="000000"/>
                <w:kern w:val="0"/>
                <w:sz w:val="24"/>
                <w:szCs w:val="24"/>
              </w:rPr>
              <w:t>双创</w:t>
            </w:r>
            <w:r>
              <w:rPr>
                <w:rFonts w:ascii="仿宋_GB2312" w:eastAsia="仿宋_GB2312"/>
                <w:color w:val="000000"/>
                <w:kern w:val="0"/>
                <w:sz w:val="24"/>
                <w:szCs w:val="24"/>
              </w:rPr>
              <w:t>”发展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4个双创示范基地</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297" w:type="dxa"/>
            <w:vMerge w:val="continue"/>
            <w:tcBorders>
              <w:top w:val="nil"/>
              <w:left w:val="nil"/>
              <w:bottom w:val="single" w:color="auto" w:sz="4" w:space="0"/>
              <w:right w:val="single" w:color="auto" w:sz="4" w:space="0"/>
              <w:tl2br w:val="nil"/>
              <w:tr2bl w:val="nil"/>
            </w:tcBorders>
            <w:noWrap/>
            <w:vAlign w:val="center"/>
          </w:tcP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祁阳高新区（100万）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877"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center"/>
              <w:rPr>
                <w:rFonts w:ascii="仿宋_GB2312" w:eastAsia="仿宋_GB2312"/>
                <w:color w:val="000000"/>
                <w:kern w:val="0"/>
                <w:sz w:val="24"/>
                <w:szCs w:val="24"/>
              </w:rPr>
            </w:pPr>
          </w:p>
        </w:tc>
        <w:tc>
          <w:tcPr>
            <w:tcW w:w="1689" w:type="dxa"/>
            <w:vMerge w:val="continue"/>
            <w:tcBorders>
              <w:left w:val="nil"/>
              <w:bottom w:val="single" w:color="auto" w:sz="4" w:space="0"/>
              <w:right w:val="single" w:color="auto" w:sz="4" w:space="0"/>
              <w:tl2br w:val="nil"/>
              <w:tr2bl w:val="nil"/>
            </w:tcBorders>
            <w:noWrap/>
            <w:vAlign w:val="center"/>
          </w:tcPr>
          <w:p>
            <w:pPr>
              <w:widowControl/>
              <w:spacing w:line="300" w:lineRule="exact"/>
              <w:textAlignment w:val="baseline"/>
              <w:rPr>
                <w:rFonts w:ascii="仿宋_GB2312" w:eastAsia="仿宋_GB2312"/>
                <w:color w:val="000000"/>
                <w:kern w:val="0"/>
                <w:sz w:val="24"/>
                <w:szCs w:val="24"/>
              </w:rPr>
            </w:p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受国务院办公厅表扬</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3</w:t>
            </w:r>
            <w:r>
              <w:rPr>
                <w:rFonts w:hint="eastAsia" w:ascii="仿宋_GB2312" w:eastAsia="仿宋_GB2312"/>
                <w:color w:val="000000"/>
                <w:kern w:val="0"/>
                <w:sz w:val="24"/>
                <w:szCs w:val="24"/>
              </w:rPr>
              <w:t>个市州</w:t>
            </w:r>
          </w:p>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6</w:t>
            </w:r>
            <w:r>
              <w:rPr>
                <w:rFonts w:hint="eastAsia" w:ascii="仿宋_GB2312" w:eastAsia="仿宋_GB2312"/>
                <w:color w:val="000000"/>
                <w:kern w:val="0"/>
                <w:sz w:val="24"/>
                <w:szCs w:val="24"/>
              </w:rPr>
              <w:t>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600</w:t>
            </w:r>
          </w:p>
        </w:tc>
        <w:tc>
          <w:tcPr>
            <w:tcW w:w="1172" w:type="dxa"/>
            <w:tcBorders>
              <w:top w:val="single" w:color="auto" w:sz="4" w:space="0"/>
              <w:left w:val="nil"/>
              <w:bottom w:val="single" w:color="auto" w:sz="4" w:space="0"/>
              <w:right w:val="single" w:color="auto" w:sz="4" w:space="0"/>
              <w:tl2br w:val="nil"/>
              <w:tr2bl w:val="nil"/>
            </w:tcBorders>
            <w:noWrap/>
            <w:vAlign w:val="center"/>
          </w:tcPr>
          <w:p>
            <w:pPr>
              <w:spacing w:line="300" w:lineRule="exact"/>
              <w:jc w:val="center"/>
              <w:textAlignment w:val="baseline"/>
            </w:pPr>
          </w:p>
        </w:tc>
        <w:tc>
          <w:tcPr>
            <w:tcW w:w="1718" w:type="dxa"/>
            <w:tcBorders>
              <w:top w:val="single" w:color="auto" w:sz="4" w:space="0"/>
              <w:left w:val="nil"/>
              <w:bottom w:val="single" w:color="auto" w:sz="4" w:space="0"/>
              <w:right w:val="single" w:color="auto" w:sz="4" w:space="0"/>
              <w:tl2br w:val="nil"/>
              <w:tr2bl w:val="nil"/>
            </w:tcBorders>
            <w:noWrap/>
            <w:vAlign w:val="center"/>
          </w:tcPr>
          <w:p>
            <w:pPr>
              <w:spacing w:line="300" w:lineRule="exact"/>
              <w:jc w:val="center"/>
              <w:textAlignment w:val="baseline"/>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121" w:type="dxa"/>
            <w:tcBorders>
              <w:top w:val="single" w:color="auto" w:sz="4" w:space="0"/>
              <w:left w:val="nil"/>
              <w:bottom w:val="single" w:color="auto" w:sz="4" w:space="0"/>
              <w:right w:val="single" w:color="auto" w:sz="4" w:space="0"/>
              <w:tl2br w:val="nil"/>
              <w:tr2bl w:val="nil"/>
            </w:tcBorders>
            <w:noWrap/>
            <w:vAlign w:val="center"/>
          </w:tcPr>
          <w:p>
            <w:pPr>
              <w:spacing w:line="300" w:lineRule="exact"/>
              <w:jc w:val="center"/>
              <w:textAlignment w:val="baseline"/>
            </w:pPr>
          </w:p>
        </w:tc>
        <w:tc>
          <w:tcPr>
            <w:tcW w:w="1005" w:type="dxa"/>
            <w:tcBorders>
              <w:top w:val="single" w:color="auto" w:sz="4" w:space="0"/>
              <w:left w:val="nil"/>
              <w:bottom w:val="single" w:color="auto" w:sz="4" w:space="0"/>
              <w:right w:val="single" w:color="auto" w:sz="4" w:space="0"/>
              <w:tl2br w:val="nil"/>
              <w:tr2bl w:val="nil"/>
            </w:tcBorders>
            <w:noWrap/>
            <w:vAlign w:val="center"/>
          </w:tcPr>
          <w:p>
            <w:pPr>
              <w:spacing w:line="300" w:lineRule="exact"/>
              <w:textAlignment w:val="baseline"/>
            </w:pPr>
          </w:p>
        </w:tc>
      </w:tr>
      <w:tr>
        <w:tblPrEx>
          <w:tblCellMar>
            <w:top w:w="0" w:type="dxa"/>
            <w:left w:w="108" w:type="dxa"/>
            <w:bottom w:w="0" w:type="dxa"/>
            <w:right w:w="108" w:type="dxa"/>
          </w:tblCellMar>
        </w:tblPrEx>
        <w:trPr>
          <w:trHeight w:val="534"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3</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省粮食和物资储备局</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粮食安全</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p>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w:t>
            </w:r>
            <w:r>
              <w:rPr>
                <w:rFonts w:ascii="仿宋_GB2312" w:eastAsia="仿宋_GB2312"/>
                <w:color w:val="000000"/>
                <w:kern w:val="0"/>
                <w:sz w:val="24"/>
                <w:szCs w:val="24"/>
              </w:rPr>
              <w:t>0</w:t>
            </w:r>
            <w:r>
              <w:rPr>
                <w:rFonts w:hint="eastAsia" w:ascii="仿宋_GB2312" w:eastAsia="仿宋_GB2312"/>
                <w:color w:val="000000"/>
                <w:kern w:val="0"/>
                <w:sz w:val="24"/>
                <w:szCs w:val="24"/>
              </w:rPr>
              <w:t>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3</w:t>
            </w:r>
            <w:r>
              <w:rPr>
                <w:rFonts w:ascii="仿宋_GB2312" w:eastAsia="仿宋_GB2312"/>
                <w:color w:val="000000"/>
                <w:kern w:val="0"/>
                <w:sz w:val="24"/>
                <w:szCs w:val="24"/>
              </w:rPr>
              <w:t>6</w:t>
            </w:r>
            <w:r>
              <w:rPr>
                <w:rFonts w:hint="eastAsia" w:ascii="仿宋_GB2312" w:eastAsia="仿宋_GB2312"/>
                <w:color w:val="000000"/>
                <w:kern w:val="0"/>
                <w:sz w:val="24"/>
                <w:szCs w:val="24"/>
              </w:rPr>
              <w:t>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3600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市发改委    市农业农村局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冷水滩   （200万）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200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pict>
                <v:shape id="_x0000_s2102" o:spid="_x0000_s2102" o:spt="202" type="#_x0000_t202" style="position:absolute;left:0pt;margin-left:50.35pt;margin-top:-83.45pt;height:475.2pt;width:33pt;z-index:251685888;mso-width-relative:page;mso-height-relative:page;" stroked="f" coordsize="21600,21600">
                  <v:path/>
                  <v:fill focussize="0,0"/>
                  <v:stroke on="f" joinstyle="miter"/>
                  <v:imagedata o:title=""/>
                  <o:lock v:ext="edit"/>
                  <v:textbox style="layout-flow:vertical;">
                    <w:txbxContent>
                      <w:p>
                        <w:pPr>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color w:val="000000"/>
                <w:kern w:val="0"/>
                <w:sz w:val="24"/>
                <w:szCs w:val="24"/>
              </w:rPr>
              <w:t>5.</w:t>
            </w:r>
            <w:r>
              <w:rPr>
                <w:rFonts w:ascii="仿宋_GB2312" w:eastAsia="仿宋_GB2312"/>
                <w:color w:val="000000"/>
                <w:kern w:val="0"/>
                <w:sz w:val="24"/>
                <w:szCs w:val="24"/>
              </w:rPr>
              <w:t>5</w:t>
            </w:r>
            <w:r>
              <w:rPr>
                <w:rFonts w:hint="eastAsia" w:ascii="仿宋_GB2312" w:eastAsia="仿宋_GB2312"/>
                <w:color w:val="000000"/>
                <w:kern w:val="0"/>
                <w:sz w:val="24"/>
                <w:szCs w:val="24"/>
              </w:rPr>
              <w:t>%</w:t>
            </w:r>
          </w:p>
        </w:tc>
      </w:tr>
      <w:tr>
        <w:tblPrEx>
          <w:tblCellMar>
            <w:top w:w="0" w:type="dxa"/>
            <w:left w:w="108" w:type="dxa"/>
            <w:bottom w:w="0" w:type="dxa"/>
            <w:right w:w="108" w:type="dxa"/>
          </w:tblCellMar>
        </w:tblPrEx>
        <w:trPr>
          <w:trHeight w:val="428" w:hRule="atLeast"/>
          <w:jc w:val="center"/>
        </w:trPr>
        <w:tc>
          <w:tcPr>
            <w:tcW w:w="493" w:type="dxa"/>
            <w:vMerge w:val="restart"/>
            <w:tcBorders>
              <w:top w:val="nil"/>
              <w:left w:val="single" w:color="auto" w:sz="4" w:space="0"/>
              <w:bottom w:val="nil"/>
              <w:right w:val="single" w:color="auto" w:sz="4" w:space="0"/>
              <w:tl2br w:val="nil"/>
              <w:tr2bl w:val="nil"/>
            </w:tcBorders>
            <w:noWrap/>
            <w:vAlign w:val="center"/>
          </w:tcPr>
          <w:p>
            <w:pPr>
              <w:widowControl/>
              <w:spacing w:line="300" w:lineRule="exact"/>
              <w:jc w:val="center"/>
              <w:textAlignment w:val="center"/>
              <w:rPr>
                <w:rFonts w:ascii="仿宋_GB2312" w:eastAsia="仿宋_GB2312"/>
                <w:color w:val="000000"/>
                <w:kern w:val="0"/>
                <w:sz w:val="24"/>
                <w:szCs w:val="24"/>
              </w:rPr>
            </w:pPr>
            <w:r>
              <w:rPr>
                <w:rFonts w:hint="eastAsia" w:ascii="仿宋_GB2312" w:eastAsia="仿宋_GB2312"/>
                <w:color w:val="000000"/>
                <w:kern w:val="0"/>
                <w:sz w:val="24"/>
                <w:szCs w:val="24"/>
              </w:rPr>
              <w:t>4</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省工业和信息化厅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先进制造业高地</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r>
              <w:rPr>
                <w:rFonts w:ascii="仿宋_GB2312" w:eastAsia="仿宋_GB2312"/>
                <w:color w:val="000000"/>
                <w:kern w:val="0"/>
                <w:sz w:val="24"/>
                <w:szCs w:val="24"/>
              </w:rPr>
              <w:t xml:space="preserve">  </w:t>
            </w:r>
            <w:r>
              <w:rPr>
                <w:rFonts w:hint="eastAsia" w:ascii="仿宋_GB2312" w:eastAsia="仿宋_GB2312"/>
                <w:color w:val="000000"/>
                <w:kern w:val="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3000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5200</w:t>
            </w:r>
          </w:p>
        </w:tc>
        <w:tc>
          <w:tcPr>
            <w:tcW w:w="1718" w:type="dxa"/>
            <w:vMerge w:val="restart"/>
            <w:tcBorders>
              <w:top w:val="single" w:color="auto" w:sz="4" w:space="0"/>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市工信局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200</w:t>
            </w:r>
          </w:p>
        </w:tc>
        <w:tc>
          <w:tcPr>
            <w:tcW w:w="1005" w:type="dxa"/>
            <w:vMerge w:val="restart"/>
            <w:tcBorders>
              <w:top w:val="single" w:color="auto" w:sz="4" w:space="0"/>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3.8</w:t>
            </w:r>
            <w:r>
              <w:rPr>
                <w:rFonts w:hint="eastAsia" w:ascii="仿宋_GB2312" w:eastAsia="仿宋_GB2312"/>
                <w:color w:val="000000"/>
                <w:sz w:val="24"/>
                <w:szCs w:val="24"/>
              </w:rPr>
              <w:t>%</w:t>
            </w:r>
          </w:p>
        </w:tc>
      </w:tr>
      <w:tr>
        <w:tblPrEx>
          <w:tblCellMar>
            <w:top w:w="0" w:type="dxa"/>
            <w:left w:w="108" w:type="dxa"/>
            <w:bottom w:w="0" w:type="dxa"/>
            <w:right w:w="108" w:type="dxa"/>
          </w:tblCellMar>
        </w:tblPrEx>
        <w:trPr>
          <w:trHeight w:val="535" w:hRule="atLeast"/>
          <w:jc w:val="center"/>
        </w:trPr>
        <w:tc>
          <w:tcPr>
            <w:tcW w:w="493" w:type="dxa"/>
            <w:vMerge w:val="continue"/>
            <w:tcBorders>
              <w:top w:val="nil"/>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pPr>
              <w:spacing w:line="240" w:lineRule="exact"/>
            </w:p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企业账款清理</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2个市州</w:t>
            </w:r>
          </w:p>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5个县市区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900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sz w:val="24"/>
                <w:szCs w:val="24"/>
              </w:rPr>
              <w:t xml:space="preserve">  </w:t>
            </w:r>
            <w:r>
              <w:rPr>
                <w:rFonts w:hint="eastAsia" w:ascii="仿宋_GB2312" w:eastAsia="仿宋_GB2312"/>
                <w:color w:val="000000"/>
                <w:kern w:val="0"/>
                <w:sz w:val="24"/>
                <w:szCs w:val="24"/>
              </w:rPr>
              <w:t>（200万）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005" w:type="dxa"/>
            <w:vMerge w:val="continue"/>
            <w:tcBorders>
              <w:left w:val="nil"/>
              <w:bottom w:val="single" w:color="auto" w:sz="4" w:space="0"/>
              <w:right w:val="single" w:color="auto" w:sz="4" w:space="0"/>
              <w:tl2br w:val="nil"/>
              <w:tr2bl w:val="nil"/>
            </w:tcBorders>
            <w:noWrap/>
            <w:vAlign w:val="center"/>
          </w:tcPr>
          <w:p>
            <w:pPr>
              <w:spacing w:line="240" w:lineRule="exact"/>
            </w:pPr>
          </w:p>
        </w:tc>
      </w:tr>
      <w:tr>
        <w:tblPrEx>
          <w:tblCellMar>
            <w:top w:w="0" w:type="dxa"/>
            <w:left w:w="108" w:type="dxa"/>
            <w:bottom w:w="0" w:type="dxa"/>
            <w:right w:w="108" w:type="dxa"/>
          </w:tblCellMar>
        </w:tblPrEx>
        <w:trPr>
          <w:trHeight w:val="501"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pacing w:val="-18"/>
                <w:sz w:val="24"/>
                <w:szCs w:val="24"/>
              </w:rPr>
            </w:pPr>
            <w:r>
              <w:rPr>
                <w:rFonts w:hint="eastAsia" w:ascii="仿宋_GB2312" w:eastAsia="仿宋_GB2312"/>
                <w:color w:val="000000"/>
                <w:spacing w:val="-18"/>
                <w:sz w:val="24"/>
                <w:szCs w:val="24"/>
              </w:rPr>
              <w:t>省委军民融合办</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军民融合发展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r>
              <w:rPr>
                <w:rFonts w:ascii="仿宋_GB2312" w:eastAsia="仿宋_GB2312"/>
                <w:color w:val="000000"/>
                <w:kern w:val="0"/>
                <w:sz w:val="24"/>
                <w:szCs w:val="24"/>
              </w:rPr>
              <w:t xml:space="preserve">   </w:t>
            </w:r>
            <w:r>
              <w:rPr>
                <w:rFonts w:hint="eastAsia" w:ascii="仿宋_GB2312" w:eastAsia="仿宋_GB2312"/>
                <w:color w:val="000000"/>
                <w:kern w:val="0"/>
                <w:sz w:val="24"/>
                <w:szCs w:val="24"/>
              </w:rPr>
              <w:t>5个园区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1300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005" w:type="dxa"/>
            <w:vMerge w:val="continue"/>
            <w:tcBorders>
              <w:left w:val="nil"/>
              <w:bottom w:val="single" w:color="auto" w:sz="4" w:space="0"/>
              <w:right w:val="single" w:color="auto" w:sz="4" w:space="0"/>
              <w:tl2br w:val="nil"/>
              <w:tr2bl w:val="nil"/>
            </w:tcBorders>
            <w:noWrap/>
            <w:vAlign w:val="center"/>
          </w:tcPr>
          <w:p>
            <w:pPr>
              <w:spacing w:line="240" w:lineRule="exact"/>
            </w:pPr>
          </w:p>
        </w:tc>
      </w:tr>
      <w:tr>
        <w:tblPrEx>
          <w:tblCellMar>
            <w:top w:w="0" w:type="dxa"/>
            <w:left w:w="108" w:type="dxa"/>
            <w:bottom w:w="0" w:type="dxa"/>
            <w:right w:w="108" w:type="dxa"/>
          </w:tblCellMar>
        </w:tblPrEx>
        <w:trPr>
          <w:trHeight w:val="453" w:hRule="atLeast"/>
          <w:jc w:val="center"/>
        </w:trPr>
        <w:tc>
          <w:tcPr>
            <w:tcW w:w="493"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6</w:t>
            </w:r>
          </w:p>
        </w:tc>
        <w:tc>
          <w:tcPr>
            <w:tcW w:w="1689"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省科技厅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科技创新</w:t>
            </w:r>
            <w:r>
              <w:rPr>
                <w:rFonts w:ascii="仿宋_GB2312" w:eastAsia="仿宋_GB2312"/>
                <w:color w:val="000000"/>
                <w:sz w:val="24"/>
                <w:szCs w:val="24"/>
              </w:rPr>
              <w:t>高地</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r>
              <w:rPr>
                <w:rFonts w:ascii="仿宋_GB2312" w:eastAsia="仿宋_GB2312"/>
                <w:color w:val="000000"/>
                <w:sz w:val="24"/>
                <w:szCs w:val="24"/>
              </w:rPr>
              <w:t xml:space="preserve">    </w:t>
            </w:r>
            <w:r>
              <w:rPr>
                <w:rFonts w:hint="eastAsia" w:ascii="仿宋_GB2312" w:eastAsia="仿宋_GB2312"/>
                <w:color w:val="000000"/>
                <w:sz w:val="24"/>
                <w:szCs w:val="24"/>
              </w:rPr>
              <w:t>6个县市区</w:t>
            </w:r>
            <w:r>
              <w:rPr>
                <w:rFonts w:ascii="仿宋_GB2312" w:eastAsia="仿宋_GB2312"/>
                <w:color w:val="000000"/>
                <w:sz w:val="24"/>
                <w:szCs w:val="24"/>
              </w:rPr>
              <w:t xml:space="preserve">   </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52</w:t>
            </w:r>
            <w:r>
              <w:rPr>
                <w:rFonts w:hint="eastAsia" w:ascii="仿宋_GB2312" w:eastAsia="仿宋_GB2312"/>
                <w:color w:val="000000"/>
                <w:sz w:val="24"/>
                <w:szCs w:val="24"/>
              </w:rPr>
              <w:t>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6300</w:t>
            </w:r>
          </w:p>
        </w:tc>
        <w:tc>
          <w:tcPr>
            <w:tcW w:w="1718"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市科技局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200</w:t>
            </w:r>
          </w:p>
        </w:tc>
        <w:tc>
          <w:tcPr>
            <w:tcW w:w="1005"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3.2%</w:t>
            </w:r>
          </w:p>
        </w:tc>
      </w:tr>
      <w:tr>
        <w:tblPrEx>
          <w:tblCellMar>
            <w:top w:w="0" w:type="dxa"/>
            <w:left w:w="108" w:type="dxa"/>
            <w:bottom w:w="0" w:type="dxa"/>
            <w:right w:w="108" w:type="dxa"/>
          </w:tblCellMar>
        </w:tblPrEx>
        <w:trPr>
          <w:trHeight w:val="308" w:hRule="atLeast"/>
          <w:jc w:val="center"/>
        </w:trPr>
        <w:tc>
          <w:tcPr>
            <w:tcW w:w="493"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tc>
        <w:tc>
          <w:tcPr>
            <w:tcW w:w="1689"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高质量发展高新区</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4个高新区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1100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718"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江华高新区</w:t>
            </w:r>
            <w:r>
              <w:rPr>
                <w:rFonts w:hint="eastAsia" w:ascii="仿宋_GB2312" w:eastAsia="仿宋_GB2312"/>
                <w:color w:val="000000"/>
                <w:kern w:val="0"/>
                <w:sz w:val="24"/>
                <w:szCs w:val="24"/>
              </w:rPr>
              <w:t>（200万）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pPr>
              <w:spacing w:line="240" w:lineRule="exact"/>
            </w:pPr>
          </w:p>
        </w:tc>
      </w:tr>
      <w:tr>
        <w:tblPrEx>
          <w:tblCellMar>
            <w:top w:w="0" w:type="dxa"/>
            <w:left w:w="108" w:type="dxa"/>
            <w:bottom w:w="0" w:type="dxa"/>
            <w:right w:w="108" w:type="dxa"/>
          </w:tblCellMar>
        </w:tblPrEx>
        <w:trPr>
          <w:trHeight w:val="625"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7</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省商务厅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打造内陆改革开放高地</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r>
              <w:rPr>
                <w:rFonts w:ascii="仿宋_GB2312" w:eastAsia="仿宋_GB2312"/>
                <w:color w:val="000000"/>
                <w:sz w:val="24"/>
                <w:szCs w:val="24"/>
              </w:rPr>
              <w:t xml:space="preserve">   </w:t>
            </w: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1800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1800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市商务局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零陵、祁阳</w:t>
            </w:r>
            <w:r>
              <w:rPr>
                <w:rFonts w:ascii="仿宋_GB2312" w:eastAsia="仿宋_GB2312"/>
                <w:color w:val="000000"/>
                <w:sz w:val="24"/>
                <w:szCs w:val="24"/>
              </w:rPr>
              <w:t xml:space="preserve"> </w:t>
            </w:r>
            <w:r>
              <w:rPr>
                <w:rFonts w:hint="eastAsia" w:ascii="仿宋_GB2312" w:eastAsia="仿宋_GB2312"/>
                <w:color w:val="000000"/>
                <w:sz w:val="24"/>
                <w:szCs w:val="24"/>
              </w:rPr>
              <w:t> </w:t>
            </w:r>
            <w:r>
              <w:rPr>
                <w:rFonts w:hint="eastAsia" w:ascii="仿宋_GB2312" w:eastAsia="仿宋_GB2312"/>
                <w:color w:val="000000"/>
                <w:kern w:val="0"/>
                <w:sz w:val="24"/>
                <w:szCs w:val="24"/>
              </w:rPr>
              <w:t>（各100万）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11.1%</w:t>
            </w:r>
          </w:p>
        </w:tc>
      </w:tr>
      <w:tr>
        <w:tblPrEx>
          <w:tblCellMar>
            <w:top w:w="0" w:type="dxa"/>
            <w:left w:w="108" w:type="dxa"/>
            <w:bottom w:w="0" w:type="dxa"/>
            <w:right w:w="108" w:type="dxa"/>
          </w:tblCellMar>
        </w:tblPrEx>
        <w:trPr>
          <w:trHeight w:val="537" w:hRule="atLeast"/>
          <w:jc w:val="center"/>
        </w:trPr>
        <w:tc>
          <w:tcPr>
            <w:tcW w:w="493" w:type="dxa"/>
            <w:vMerge w:val="restart"/>
            <w:tcBorders>
              <w:top w:val="nil"/>
              <w:left w:val="single" w:color="auto" w:sz="4" w:space="0"/>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8</w:t>
            </w:r>
          </w:p>
        </w:tc>
        <w:tc>
          <w:tcPr>
            <w:tcW w:w="1689" w:type="dxa"/>
            <w:vMerge w:val="restart"/>
            <w:tcBorders>
              <w:top w:val="nil"/>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省农业农村厅</w:t>
            </w:r>
          </w:p>
        </w:tc>
        <w:tc>
          <w:tcPr>
            <w:tcW w:w="923" w:type="dxa"/>
            <w:vMerge w:val="restart"/>
            <w:tcBorders>
              <w:top w:val="nil"/>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乡村振兴</w:t>
            </w: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“六大强农”行动</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w:t>
            </w:r>
          </w:p>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指标性奖励</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3000（高标准农田建设项未计入）</w:t>
            </w:r>
          </w:p>
        </w:tc>
        <w:tc>
          <w:tcPr>
            <w:tcW w:w="1718" w:type="dxa"/>
            <w:vMerge w:val="restart"/>
            <w:tcBorders>
              <w:top w:val="nil"/>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市农业农村局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ascii="仿宋_GB2312" w:eastAsia="仿宋_GB2312"/>
                <w:color w:val="000000"/>
                <w:sz w:val="24"/>
                <w:szCs w:val="24"/>
              </w:rPr>
              <w:t>4</w:t>
            </w:r>
            <w:r>
              <w:rPr>
                <w:rFonts w:hint="eastAsia" w:ascii="仿宋_GB2312" w:eastAsia="仿宋_GB2312"/>
                <w:color w:val="000000"/>
                <w:sz w:val="24"/>
                <w:szCs w:val="24"/>
              </w:rPr>
              <w:t>00</w:t>
            </w:r>
            <w:r>
              <w:rPr>
                <w:rFonts w:ascii="仿宋_GB2312" w:eastAsia="仿宋_GB2312"/>
                <w:color w:val="000000"/>
                <w:sz w:val="24"/>
                <w:szCs w:val="24"/>
              </w:rPr>
              <w:t>（高标准农田建设项未计入）</w:t>
            </w:r>
          </w:p>
        </w:tc>
        <w:tc>
          <w:tcPr>
            <w:tcW w:w="1005" w:type="dxa"/>
            <w:vMerge w:val="restart"/>
            <w:tcBorders>
              <w:top w:val="single" w:color="auto" w:sz="4" w:space="0"/>
              <w:left w:val="nil"/>
              <w:bottom w:val="nil"/>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13.3%</w:t>
            </w:r>
            <w:r>
              <w:rPr>
                <w:rFonts w:ascii="仿宋_GB2312" w:eastAsia="仿宋_GB2312"/>
                <w:color w:val="000000"/>
                <w:sz w:val="24"/>
                <w:szCs w:val="24"/>
              </w:rPr>
              <w:t>（高标准农田建设项未计入）</w:t>
            </w:r>
          </w:p>
        </w:tc>
      </w:tr>
      <w:tr>
        <w:tblPrEx>
          <w:tblCellMar>
            <w:top w:w="0" w:type="dxa"/>
            <w:left w:w="108" w:type="dxa"/>
            <w:bottom w:w="0" w:type="dxa"/>
            <w:right w:w="108" w:type="dxa"/>
          </w:tblCellMar>
        </w:tblPrEx>
        <w:trPr>
          <w:trHeight w:val="601" w:hRule="atLeast"/>
          <w:jc w:val="center"/>
        </w:trPr>
        <w:tc>
          <w:tcPr>
            <w:tcW w:w="493" w:type="dxa"/>
            <w:vMerge w:val="continue"/>
            <w:tcBorders>
              <w:top w:val="nil"/>
              <w:left w:val="single" w:color="auto" w:sz="4" w:space="0"/>
              <w:bottom w:val="nil"/>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nil"/>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特色千亿产业</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nil"/>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383" w:hRule="atLeast"/>
          <w:jc w:val="center"/>
        </w:trPr>
        <w:tc>
          <w:tcPr>
            <w:tcW w:w="493" w:type="dxa"/>
            <w:vMerge w:val="continue"/>
            <w:tcBorders>
              <w:top w:val="nil"/>
              <w:left w:val="single" w:color="auto" w:sz="4" w:space="0"/>
              <w:bottom w:val="nil"/>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nil"/>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生猪保供</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nil"/>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（200万）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349" w:hRule="atLeast"/>
          <w:jc w:val="center"/>
        </w:trPr>
        <w:tc>
          <w:tcPr>
            <w:tcW w:w="493" w:type="dxa"/>
            <w:vMerge w:val="continue"/>
            <w:tcBorders>
              <w:top w:val="nil"/>
              <w:left w:val="single" w:color="auto" w:sz="4" w:space="0"/>
              <w:bottom w:val="nil"/>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nil"/>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长江重点水域禁捕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top w:val="nil"/>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250" w:hRule="atLeast"/>
          <w:jc w:val="center"/>
        </w:trPr>
        <w:tc>
          <w:tcPr>
            <w:tcW w:w="493" w:type="dxa"/>
            <w:vMerge w:val="continue"/>
            <w:tcBorders>
              <w:top w:val="nil"/>
              <w:left w:val="single" w:color="auto" w:sz="4" w:space="0"/>
              <w:bottom w:val="nil"/>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农村人居环境整治</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2个市州</w:t>
            </w:r>
          </w:p>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pacing w:val="-6"/>
                <w:sz w:val="24"/>
                <w:szCs w:val="24"/>
              </w:rPr>
            </w:pPr>
            <w:r>
              <w:rPr>
                <w:rFonts w:hint="eastAsia" w:ascii="仿宋_GB2312" w:eastAsia="仿宋_GB2312"/>
                <w:color w:val="000000"/>
                <w:spacing w:val="-6"/>
                <w:sz w:val="24"/>
                <w:szCs w:val="24"/>
              </w:rPr>
              <w:t>1400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pPr>
              <w:spacing w:line="260" w:lineRule="exact"/>
            </w:pPr>
          </w:p>
        </w:tc>
        <w:tc>
          <w:tcPr>
            <w:tcW w:w="1718" w:type="dxa"/>
            <w:vMerge w:val="continue"/>
            <w:tcBorders>
              <w:top w:val="nil"/>
              <w:left w:val="nil"/>
              <w:bottom w:val="single" w:color="auto" w:sz="4" w:space="0"/>
              <w:right w:val="single" w:color="auto" w:sz="4" w:space="0"/>
              <w:tl2br w:val="nil"/>
              <w:tr2bl w:val="nil"/>
            </w:tcBorders>
            <w:noWrap/>
            <w:vAlign w:val="center"/>
          </w:tcPr>
          <w:p>
            <w:pPr>
              <w:spacing w:line="260" w:lineRule="exact"/>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零陵     </w:t>
            </w:r>
            <w:r>
              <w:rPr>
                <w:rFonts w:hint="eastAsia" w:ascii="仿宋_GB2312" w:eastAsia="仿宋_GB2312"/>
                <w:color w:val="000000"/>
                <w:kern w:val="0"/>
                <w:sz w:val="24"/>
                <w:szCs w:val="24"/>
              </w:rPr>
              <w:t>（200万）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671" w:hRule="atLeast"/>
          <w:jc w:val="center"/>
        </w:trPr>
        <w:tc>
          <w:tcPr>
            <w:tcW w:w="493" w:type="dxa"/>
            <w:vMerge w:val="continue"/>
            <w:tcBorders>
              <w:top w:val="nil"/>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高标准农田建设</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年度中央和省资金5%</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pPr>
              <w:spacing w:line="260" w:lineRule="exact"/>
            </w:pPr>
          </w:p>
        </w:tc>
        <w:tc>
          <w:tcPr>
            <w:tcW w:w="1718" w:type="dxa"/>
            <w:vMerge w:val="continue"/>
            <w:tcBorders>
              <w:top w:val="nil"/>
              <w:left w:val="nil"/>
              <w:bottom w:val="single" w:color="auto" w:sz="4" w:space="0"/>
              <w:right w:val="single" w:color="auto" w:sz="4" w:space="0"/>
              <w:tl2br w:val="nil"/>
              <w:tr2bl w:val="nil"/>
            </w:tcBorders>
            <w:noWrap/>
            <w:vAlign w:val="center"/>
          </w:tcPr>
          <w:p>
            <w:pPr>
              <w:spacing w:line="260" w:lineRule="exact"/>
            </w:p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道县</w:t>
            </w:r>
            <w:r>
              <w:rPr>
                <w:rFonts w:ascii="仿宋_GB2312" w:eastAsia="仿宋_GB2312"/>
                <w:color w:val="000000"/>
                <w:sz w:val="24"/>
                <w:szCs w:val="24"/>
              </w:rPr>
              <w:t>（</w:t>
            </w:r>
            <w:r>
              <w:rPr>
                <w:rFonts w:hint="eastAsia" w:ascii="仿宋_GB2312" w:eastAsia="仿宋_GB2312"/>
                <w:color w:val="000000"/>
                <w:sz w:val="24"/>
                <w:szCs w:val="24"/>
              </w:rPr>
              <w:t>年度中央和省资金5%</w:t>
            </w:r>
            <w:r>
              <w:rPr>
                <w:rFonts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711"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9</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省财政厅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财政管理改革</w:t>
            </w:r>
          </w:p>
        </w:tc>
        <w:tc>
          <w:tcPr>
            <w:tcW w:w="1456" w:type="dxa"/>
            <w:tcBorders>
              <w:top w:val="single" w:color="auto" w:sz="4" w:space="0"/>
              <w:left w:val="nil"/>
              <w:bottom w:val="single" w:color="auto" w:sz="4" w:space="0"/>
              <w:right w:val="single" w:color="auto" w:sz="4" w:space="0"/>
              <w:tl2br w:val="nil"/>
              <w:tr2bl w:val="nil"/>
            </w:tcBorders>
            <w:noWrap/>
            <w:vAlign w:val="center"/>
          </w:tcPr>
          <w:p>
            <w:pPr>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5000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市财政局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（500万）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宁远、道县</w:t>
            </w:r>
            <w:r>
              <w:rPr>
                <w:rFonts w:ascii="仿宋_GB2312" w:eastAsia="仿宋_GB2312"/>
                <w:color w:val="000000"/>
                <w:sz w:val="24"/>
                <w:szCs w:val="24"/>
              </w:rPr>
              <w:t xml:space="preserve"> </w:t>
            </w:r>
            <w:r>
              <w:rPr>
                <w:rFonts w:hint="eastAsia" w:ascii="仿宋_GB2312" w:eastAsia="仿宋_GB2312"/>
                <w:color w:val="000000"/>
                <w:sz w:val="24"/>
                <w:szCs w:val="24"/>
              </w:rPr>
              <w:t> </w:t>
            </w:r>
            <w:r>
              <w:rPr>
                <w:rFonts w:hint="eastAsia" w:ascii="仿宋_GB2312" w:eastAsia="仿宋_GB2312"/>
                <w:color w:val="000000"/>
                <w:kern w:val="0"/>
                <w:sz w:val="24"/>
                <w:szCs w:val="24"/>
              </w:rPr>
              <w:t>（各300万）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1100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pict>
                <v:shape id="_x0000_s2103" o:spid="_x0000_s2103" o:spt="202" type="#_x0000_t202" style="position:absolute;left:0pt;margin-left:50.35pt;margin-top:-87.35pt;height:475.2pt;width:33pt;z-index:251686912;mso-width-relative:page;mso-height-relative:page;" stroked="f" coordsize="21600,21600">
                  <v:path/>
                  <v:fill focussize="0,0"/>
                  <v:stroke on="f" joinstyle="miter"/>
                  <v:imagedata o:title=""/>
                  <o:lock v:ext="edit"/>
                  <v:textbox style="layout-flow:vertical;">
                    <w:txbxContent>
                      <w:p>
                        <w:pPr>
                          <w:ind w:firstLine="210" w:firstLineChars="100"/>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color w:val="000000"/>
                <w:sz w:val="24"/>
                <w:szCs w:val="24"/>
              </w:rPr>
              <w:t>22.0%</w:t>
            </w:r>
          </w:p>
        </w:tc>
      </w:tr>
      <w:tr>
        <w:tblPrEx>
          <w:tblCellMar>
            <w:top w:w="0" w:type="dxa"/>
            <w:left w:w="108" w:type="dxa"/>
            <w:bottom w:w="0" w:type="dxa"/>
            <w:right w:w="108" w:type="dxa"/>
          </w:tblCellMar>
        </w:tblPrEx>
        <w:trPr>
          <w:trHeight w:val="1223" w:hRule="atLeast"/>
          <w:jc w:val="center"/>
        </w:trPr>
        <w:tc>
          <w:tcPr>
            <w:tcW w:w="493" w:type="dxa"/>
            <w:vMerge w:val="restart"/>
            <w:tcBorders>
              <w:top w:val="single" w:color="auto" w:sz="4" w:space="0"/>
              <w:left w:val="single" w:color="auto" w:sz="4" w:space="0"/>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省自然资源厅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自然资源管理</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用地指标</w:t>
            </w:r>
            <w:r>
              <w:rPr>
                <w:rFonts w:ascii="仿宋_GB2312" w:eastAsia="仿宋_GB2312"/>
                <w:color w:val="000000"/>
                <w:sz w:val="24"/>
                <w:szCs w:val="24"/>
              </w:rPr>
              <w:t>奖励：</w:t>
            </w:r>
            <w:r>
              <w:rPr>
                <w:rFonts w:hint="eastAsia" w:ascii="仿宋_GB2312" w:eastAsia="仿宋_GB2312"/>
                <w:color w:val="000000"/>
                <w:sz w:val="24"/>
                <w:szCs w:val="24"/>
              </w:rPr>
              <w:t>市300亩</w:t>
            </w:r>
            <w:r>
              <w:rPr>
                <w:rFonts w:ascii="仿宋_GB2312" w:eastAsia="仿宋_GB2312"/>
                <w:color w:val="000000"/>
                <w:sz w:val="24"/>
                <w:szCs w:val="24"/>
              </w:rPr>
              <w:t>，</w:t>
            </w:r>
            <w:r>
              <w:rPr>
                <w:rFonts w:hint="eastAsia" w:ascii="仿宋_GB2312" w:eastAsia="仿宋_GB2312"/>
                <w:color w:val="000000"/>
                <w:sz w:val="24"/>
                <w:szCs w:val="24"/>
              </w:rPr>
              <w:t>县100亩</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2200亩用地指标</w:t>
            </w:r>
          </w:p>
        </w:tc>
        <w:tc>
          <w:tcPr>
            <w:tcW w:w="1718"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市自然资源和规划局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sz w:val="24"/>
                <w:szCs w:val="24"/>
              </w:rPr>
              <w:t xml:space="preserve">  </w:t>
            </w:r>
            <w:r>
              <w:rPr>
                <w:rFonts w:hint="eastAsia" w:ascii="仿宋_GB2312" w:eastAsia="仿宋_GB2312"/>
                <w:color w:val="000000"/>
                <w:kern w:val="0"/>
                <w:sz w:val="24"/>
                <w:szCs w:val="24"/>
              </w:rPr>
              <w:t>（300亩）</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江永     </w:t>
            </w:r>
            <w:r>
              <w:rPr>
                <w:rFonts w:hint="eastAsia" w:ascii="仿宋_GB2312" w:eastAsia="仿宋_GB2312"/>
                <w:color w:val="000000"/>
                <w:kern w:val="0"/>
                <w:sz w:val="24"/>
                <w:szCs w:val="24"/>
              </w:rPr>
              <w:t>（100亩）</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400亩用地指标</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18.2%</w:t>
            </w:r>
          </w:p>
        </w:tc>
      </w:tr>
      <w:tr>
        <w:tblPrEx>
          <w:tblCellMar>
            <w:top w:w="0" w:type="dxa"/>
            <w:left w:w="108" w:type="dxa"/>
            <w:bottom w:w="0" w:type="dxa"/>
            <w:right w:w="108" w:type="dxa"/>
          </w:tblCellMar>
        </w:tblPrEx>
        <w:trPr>
          <w:trHeight w:val="606"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耕地占补平衡</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1700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1700</w:t>
            </w: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r>
      <w:tr>
        <w:tblPrEx>
          <w:tblCellMar>
            <w:top w:w="0" w:type="dxa"/>
            <w:left w:w="108" w:type="dxa"/>
            <w:bottom w:w="0" w:type="dxa"/>
            <w:right w:w="108" w:type="dxa"/>
          </w:tblCellMar>
        </w:tblPrEx>
        <w:trPr>
          <w:trHeight w:val="716" w:hRule="atLeast"/>
          <w:jc w:val="center"/>
        </w:trPr>
        <w:tc>
          <w:tcPr>
            <w:tcW w:w="493" w:type="dxa"/>
            <w:vMerge w:val="restart"/>
            <w:tcBorders>
              <w:top w:val="single" w:color="auto" w:sz="4" w:space="0"/>
              <w:left w:val="single" w:color="auto" w:sz="4" w:space="0"/>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11</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省住房和城乡建设厅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城乡环境基础设施</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2</w:t>
            </w:r>
            <w:r>
              <w:rPr>
                <w:rFonts w:hint="eastAsia" w:ascii="仿宋_GB2312" w:eastAsia="仿宋_GB2312"/>
                <w:color w:val="000000"/>
                <w:sz w:val="24"/>
                <w:szCs w:val="24"/>
              </w:rPr>
              <w:t>个市州</w:t>
            </w:r>
          </w:p>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5</w:t>
            </w:r>
            <w:r>
              <w:rPr>
                <w:rFonts w:hint="eastAsia" w:ascii="仿宋_GB2312" w:eastAsia="仿宋_GB2312"/>
                <w:color w:val="000000"/>
                <w:sz w:val="24"/>
                <w:szCs w:val="24"/>
              </w:rPr>
              <w:t>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11</w:t>
            </w:r>
            <w:r>
              <w:rPr>
                <w:rFonts w:hint="eastAsia" w:ascii="仿宋_GB2312" w:eastAsia="仿宋_GB2312"/>
                <w:color w:val="000000"/>
                <w:sz w:val="24"/>
                <w:szCs w:val="24"/>
              </w:rPr>
              <w:t>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3300</w:t>
            </w:r>
          </w:p>
        </w:tc>
        <w:tc>
          <w:tcPr>
            <w:tcW w:w="1718"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市住建局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（300万）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300</w:t>
            </w:r>
          </w:p>
        </w:tc>
        <w:tc>
          <w:tcPr>
            <w:tcW w:w="1005"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9.1%</w:t>
            </w:r>
          </w:p>
        </w:tc>
      </w:tr>
      <w:tr>
        <w:tblPrEx>
          <w:tblCellMar>
            <w:top w:w="0" w:type="dxa"/>
            <w:left w:w="108" w:type="dxa"/>
            <w:bottom w:w="0" w:type="dxa"/>
            <w:right w:w="108" w:type="dxa"/>
          </w:tblCellMar>
        </w:tblPrEx>
        <w:trPr>
          <w:trHeight w:val="664" w:hRule="atLeast"/>
          <w:jc w:val="center"/>
        </w:trPr>
        <w:tc>
          <w:tcPr>
            <w:tcW w:w="493" w:type="dxa"/>
            <w:vMerge w:val="continue"/>
            <w:tcBorders>
              <w:left w:val="single" w:color="auto" w:sz="4" w:space="0"/>
              <w:bottom w:val="nil"/>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城市更新行动</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4</w:t>
            </w:r>
            <w:r>
              <w:rPr>
                <w:rFonts w:hint="eastAsia" w:ascii="仿宋_GB2312" w:eastAsia="仿宋_GB2312"/>
                <w:color w:val="000000"/>
                <w:sz w:val="24"/>
                <w:szCs w:val="24"/>
              </w:rPr>
              <w:t>个市州</w:t>
            </w:r>
          </w:p>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10</w:t>
            </w:r>
            <w:r>
              <w:rPr>
                <w:rFonts w:hint="eastAsia" w:ascii="仿宋_GB2312" w:eastAsia="仿宋_GB2312"/>
                <w:color w:val="000000"/>
                <w:sz w:val="24"/>
                <w:szCs w:val="24"/>
              </w:rPr>
              <w:t>个县市区</w:t>
            </w:r>
          </w:p>
        </w:tc>
        <w:tc>
          <w:tcPr>
            <w:tcW w:w="1171" w:type="dxa"/>
            <w:tcBorders>
              <w:top w:val="nil"/>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2200</w:t>
            </w:r>
          </w:p>
        </w:tc>
        <w:tc>
          <w:tcPr>
            <w:tcW w:w="1172" w:type="dxa"/>
            <w:vMerge w:val="continue"/>
            <w:tcBorders>
              <w:top w:val="single" w:color="auto" w:sz="4" w:space="0"/>
              <w:left w:val="nil"/>
              <w:bottom w:val="nil"/>
              <w:right w:val="single" w:color="auto" w:sz="4" w:space="0"/>
              <w:tl2br w:val="nil"/>
              <w:tr2bl w:val="nil"/>
            </w:tcBorders>
            <w:noWrap/>
            <w:vAlign w:val="center"/>
          </w:tcPr>
          <w:p/>
        </w:tc>
        <w:tc>
          <w:tcPr>
            <w:tcW w:w="1718" w:type="dxa"/>
            <w:vMerge w:val="continue"/>
            <w:tcBorders>
              <w:left w:val="nil"/>
              <w:bottom w:val="nil"/>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766"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12</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省交通运输厅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交通建设</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4000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市交通运输局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r>
      <w:tr>
        <w:tblPrEx>
          <w:tblCellMar>
            <w:top w:w="0" w:type="dxa"/>
            <w:left w:w="108" w:type="dxa"/>
            <w:bottom w:w="0" w:type="dxa"/>
            <w:right w:w="108" w:type="dxa"/>
          </w:tblCellMar>
        </w:tblPrEx>
        <w:trPr>
          <w:trHeight w:val="848" w:hRule="atLeast"/>
          <w:jc w:val="center"/>
        </w:trPr>
        <w:tc>
          <w:tcPr>
            <w:tcW w:w="493" w:type="dxa"/>
            <w:vMerge w:val="restart"/>
            <w:tcBorders>
              <w:top w:val="single" w:color="auto" w:sz="4" w:space="0"/>
              <w:left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13</w:t>
            </w:r>
          </w:p>
        </w:tc>
        <w:tc>
          <w:tcPr>
            <w:tcW w:w="1689" w:type="dxa"/>
            <w:vMerge w:val="restart"/>
            <w:tcBorders>
              <w:top w:val="single" w:color="auto" w:sz="4" w:space="0"/>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省市场监管局</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商事制度改革和知识产权保护</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900</w:t>
            </w:r>
          </w:p>
        </w:tc>
        <w:tc>
          <w:tcPr>
            <w:tcW w:w="1172" w:type="dxa"/>
            <w:vMerge w:val="restart"/>
            <w:tcBorders>
              <w:top w:val="single" w:color="auto" w:sz="4" w:space="0"/>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1800</w:t>
            </w:r>
          </w:p>
        </w:tc>
        <w:tc>
          <w:tcPr>
            <w:tcW w:w="1718" w:type="dxa"/>
            <w:vMerge w:val="restart"/>
            <w:tcBorders>
              <w:top w:val="single" w:color="auto" w:sz="4" w:space="0"/>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市市场监管局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restart"/>
            <w:tcBorders>
              <w:top w:val="single" w:color="auto" w:sz="4" w:space="0"/>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005" w:type="dxa"/>
            <w:vMerge w:val="restart"/>
            <w:tcBorders>
              <w:top w:val="single" w:color="auto" w:sz="4" w:space="0"/>
              <w:left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5.6%</w:t>
            </w:r>
          </w:p>
        </w:tc>
      </w:tr>
      <w:tr>
        <w:tblPrEx>
          <w:tblCellMar>
            <w:top w:w="0" w:type="dxa"/>
            <w:left w:w="108" w:type="dxa"/>
            <w:bottom w:w="0" w:type="dxa"/>
            <w:right w:w="108" w:type="dxa"/>
          </w:tblCellMar>
        </w:tblPrEx>
        <w:trPr>
          <w:trHeight w:val="1116"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质量工作和食品安全</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900</w:t>
            </w:r>
          </w:p>
        </w:tc>
        <w:tc>
          <w:tcPr>
            <w:tcW w:w="1172" w:type="dxa"/>
            <w:vMerge w:val="continue"/>
            <w:tcBorders>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道县、宁远（各50万）</w:t>
            </w:r>
          </w:p>
        </w:tc>
        <w:tc>
          <w:tcPr>
            <w:tcW w:w="1121" w:type="dxa"/>
            <w:vMerge w:val="continue"/>
            <w:tcBorders>
              <w:left w:val="nil"/>
              <w:bottom w:val="single" w:color="auto" w:sz="4" w:space="0"/>
              <w:right w:val="single" w:color="auto" w:sz="4" w:space="0"/>
              <w:tl2br w:val="nil"/>
              <w:tr2bl w:val="nil"/>
            </w:tcBorders>
            <w:noWrap/>
            <w:vAlign w:val="center"/>
          </w:tcPr>
          <w:p/>
        </w:tc>
        <w:tc>
          <w:tcPr>
            <w:tcW w:w="1005" w:type="dxa"/>
            <w:vMerge w:val="continue"/>
            <w:tcBorders>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842"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14</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pacing w:val="-18"/>
                <w:sz w:val="24"/>
                <w:szCs w:val="24"/>
              </w:rPr>
            </w:pPr>
            <w:r>
              <w:rPr>
                <w:rFonts w:hint="eastAsia" w:ascii="仿宋_GB2312" w:eastAsia="仿宋_GB2312"/>
                <w:color w:val="000000"/>
                <w:spacing w:val="-18"/>
                <w:sz w:val="24"/>
                <w:szCs w:val="24"/>
              </w:rPr>
              <w:t>省文化和旅游厅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公共文化和旅游</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rPr>
            </w:pPr>
            <w:r>
              <w:rPr>
                <w:rFonts w:ascii="仿宋_GB2312" w:eastAsia="仿宋_GB2312"/>
                <w:color w:val="000000"/>
                <w:sz w:val="24"/>
                <w:szCs w:val="24"/>
              </w:rPr>
              <w:t>4</w:t>
            </w:r>
            <w:r>
              <w:rPr>
                <w:rFonts w:hint="eastAsia" w:ascii="仿宋_GB2312" w:eastAsia="仿宋_GB2312"/>
                <w:color w:val="000000"/>
                <w:sz w:val="24"/>
                <w:szCs w:val="24"/>
              </w:rPr>
              <w:t>个市州</w:t>
            </w:r>
            <w:r>
              <w:rPr>
                <w:rFonts w:ascii="仿宋_GB2312" w:eastAsia="仿宋_GB2312"/>
                <w:color w:val="000000"/>
                <w:sz w:val="24"/>
                <w:szCs w:val="24"/>
              </w:rPr>
              <w:t xml:space="preserve">  10</w:t>
            </w:r>
            <w:r>
              <w:rPr>
                <w:rFonts w:hint="eastAsia" w:ascii="仿宋_GB2312" w:eastAsia="仿宋_GB2312"/>
                <w:color w:val="000000"/>
                <w:sz w:val="24"/>
                <w:szCs w:val="24"/>
              </w:rPr>
              <w:t>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2200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2200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市文旅广体局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双牌     </w:t>
            </w:r>
            <w:r>
              <w:rPr>
                <w:rFonts w:hint="eastAsia" w:ascii="仿宋_GB2312" w:eastAsia="仿宋_GB2312"/>
                <w:color w:val="000000"/>
                <w:kern w:val="0"/>
                <w:sz w:val="24"/>
                <w:szCs w:val="24"/>
              </w:rPr>
              <w:t>（100万）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pict>
                <v:shape id="_x0000_s2104" o:spid="_x0000_s2104" o:spt="202" type="#_x0000_t202" style="position:absolute;left:0pt;margin-left:50.1pt;margin-top:-81.95pt;height:475.2pt;width:28.9pt;z-index:251687936;mso-width-relative:page;mso-height-relative:page;" stroked="f" coordsize="21600,21600">
                  <v:path/>
                  <v:fill focussize="0,0"/>
                  <v:stroke on="f" joinstyle="miter"/>
                  <v:imagedata o:title=""/>
                  <o:lock v:ext="edit"/>
                  <v:textbox style="layout-flow:vertical;">
                    <w:txbxContent>
                      <w:p>
                        <w:pPr>
                          <w:ind w:firstLine="210" w:firstLineChars="100"/>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color w:val="000000"/>
                <w:sz w:val="24"/>
                <w:szCs w:val="24"/>
              </w:rPr>
              <w:t>4.5%</w:t>
            </w:r>
          </w:p>
        </w:tc>
      </w:tr>
      <w:tr>
        <w:tblPrEx>
          <w:tblCellMar>
            <w:top w:w="0" w:type="dxa"/>
            <w:left w:w="108" w:type="dxa"/>
            <w:bottom w:w="0" w:type="dxa"/>
            <w:right w:w="108" w:type="dxa"/>
          </w:tblCellMar>
        </w:tblPrEx>
        <w:trPr>
          <w:trHeight w:val="787" w:hRule="atLeast"/>
          <w:jc w:val="center"/>
        </w:trPr>
        <w:tc>
          <w:tcPr>
            <w:tcW w:w="493" w:type="dxa"/>
            <w:vMerge w:val="restart"/>
            <w:tcBorders>
              <w:top w:val="nil"/>
              <w:left w:val="single" w:color="auto" w:sz="4" w:space="0"/>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15</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省人力资源社会保障厅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就业创业和社保</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r>
              <w:rPr>
                <w:rFonts w:ascii="仿宋_GB2312" w:eastAsia="仿宋_GB2312"/>
                <w:color w:val="000000"/>
                <w:sz w:val="24"/>
                <w:szCs w:val="24"/>
              </w:rPr>
              <w:t xml:space="preserve">  </w:t>
            </w: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3600</w:t>
            </w:r>
          </w:p>
        </w:tc>
        <w:tc>
          <w:tcPr>
            <w:tcW w:w="1172"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4950</w:t>
            </w:r>
          </w:p>
        </w:tc>
        <w:tc>
          <w:tcPr>
            <w:tcW w:w="1718"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市人社局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江永      </w:t>
            </w:r>
            <w:r>
              <w:rPr>
                <w:rFonts w:hint="eastAsia" w:ascii="仿宋_GB2312" w:eastAsia="仿宋_GB2312"/>
                <w:color w:val="000000"/>
                <w:kern w:val="0"/>
                <w:sz w:val="24"/>
                <w:szCs w:val="24"/>
              </w:rPr>
              <w:t>（200万）</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350</w:t>
            </w:r>
          </w:p>
        </w:tc>
        <w:tc>
          <w:tcPr>
            <w:tcW w:w="1005" w:type="dxa"/>
            <w:vMerge w:val="restart"/>
            <w:tcBorders>
              <w:top w:val="nil"/>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7.</w:t>
            </w:r>
            <w:r>
              <w:rPr>
                <w:rFonts w:ascii="仿宋_GB2312" w:eastAsia="仿宋_GB2312"/>
                <w:color w:val="000000"/>
                <w:sz w:val="24"/>
                <w:szCs w:val="24"/>
              </w:rPr>
              <w:t>1</w:t>
            </w:r>
            <w:r>
              <w:rPr>
                <w:rFonts w:hint="eastAsia" w:ascii="仿宋_GB2312" w:eastAsia="仿宋_GB2312"/>
                <w:color w:val="000000"/>
                <w:sz w:val="24"/>
                <w:szCs w:val="24"/>
              </w:rPr>
              <w:t>%</w:t>
            </w:r>
          </w:p>
        </w:tc>
      </w:tr>
      <w:tr>
        <w:tblPrEx>
          <w:tblCellMar>
            <w:top w:w="0" w:type="dxa"/>
            <w:left w:w="108" w:type="dxa"/>
            <w:bottom w:w="0" w:type="dxa"/>
            <w:right w:w="108" w:type="dxa"/>
          </w:tblCellMar>
        </w:tblPrEx>
        <w:trPr>
          <w:trHeight w:val="861" w:hRule="atLeast"/>
          <w:jc w:val="center"/>
        </w:trPr>
        <w:tc>
          <w:tcPr>
            <w:tcW w:w="493" w:type="dxa"/>
            <w:vMerge w:val="continue"/>
            <w:tcBorders>
              <w:top w:val="nil"/>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根治拖欠农民工工资</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2个市州</w:t>
            </w:r>
          </w:p>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w:t>
            </w:r>
            <w:r>
              <w:rPr>
                <w:rFonts w:ascii="仿宋_GB2312" w:eastAsia="仿宋_GB2312"/>
                <w:color w:val="000000"/>
                <w:sz w:val="24"/>
                <w:szCs w:val="24"/>
              </w:rPr>
              <w:t>3</w:t>
            </w:r>
            <w:r>
              <w:rPr>
                <w:rFonts w:hint="eastAsia" w:ascii="仿宋_GB2312" w:eastAsia="仿宋_GB2312"/>
                <w:color w:val="000000"/>
                <w:sz w:val="24"/>
                <w:szCs w:val="24"/>
              </w:rPr>
              <w:t>50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零陵     </w:t>
            </w:r>
            <w:r>
              <w:rPr>
                <w:rFonts w:hint="eastAsia" w:ascii="仿宋_GB2312" w:eastAsia="仿宋_GB2312"/>
                <w:color w:val="000000"/>
                <w:kern w:val="0"/>
                <w:sz w:val="24"/>
                <w:szCs w:val="24"/>
              </w:rPr>
              <w:t>（150万）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nil"/>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703" w:hRule="atLeast"/>
          <w:jc w:val="center"/>
        </w:trPr>
        <w:tc>
          <w:tcPr>
            <w:tcW w:w="493"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16</w:t>
            </w:r>
          </w:p>
        </w:tc>
        <w:tc>
          <w:tcPr>
            <w:tcW w:w="1689"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省生态环境厅</w:t>
            </w:r>
          </w:p>
        </w:tc>
        <w:tc>
          <w:tcPr>
            <w:tcW w:w="923"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生态环境保护</w:t>
            </w:r>
          </w:p>
        </w:tc>
        <w:tc>
          <w:tcPr>
            <w:tcW w:w="1737"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污染防治夏季攻势</w:t>
            </w:r>
          </w:p>
        </w:tc>
        <w:tc>
          <w:tcPr>
            <w:tcW w:w="1456"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w:t>
            </w:r>
          </w:p>
        </w:tc>
        <w:tc>
          <w:tcPr>
            <w:tcW w:w="1171"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500</w:t>
            </w:r>
          </w:p>
        </w:tc>
        <w:tc>
          <w:tcPr>
            <w:tcW w:w="1172"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3000</w:t>
            </w:r>
          </w:p>
        </w:tc>
        <w:tc>
          <w:tcPr>
            <w:tcW w:w="1718"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市生态环境局</w:t>
            </w:r>
          </w:p>
        </w:tc>
        <w:tc>
          <w:tcPr>
            <w:tcW w:w="1297"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vMerge w:val="restart"/>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005"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3.3%</w:t>
            </w: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环境空气质量</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    3个县市区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土壤污染防治</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631"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国控、省控考核断面水质</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1个市州    3个县市区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800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tcBorders>
              <w:top w:val="nil"/>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东安     </w:t>
            </w:r>
            <w:r>
              <w:rPr>
                <w:rFonts w:hint="eastAsia" w:ascii="仿宋_GB2312" w:eastAsia="仿宋_GB2312"/>
                <w:color w:val="000000"/>
                <w:kern w:val="0"/>
                <w:sz w:val="24"/>
                <w:szCs w:val="24"/>
              </w:rPr>
              <w:t>（100万）</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实践创新基地</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vMerge w:val="restart"/>
            <w:tcBorders>
              <w:top w:val="single" w:color="auto" w:sz="4" w:space="0"/>
              <w:left w:val="nil"/>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681"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nil"/>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农村环境综合治理</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vMerge w:val="continue"/>
            <w:tcBorders>
              <w:left w:val="nil"/>
              <w:bottom w:val="nil"/>
              <w:right w:val="single" w:color="auto" w:sz="4" w:space="0"/>
              <w:tl2br w:val="nil"/>
              <w:tr2bl w:val="nil"/>
            </w:tcBorders>
            <w:noWrap/>
            <w:vAlign w:val="center"/>
          </w:tcP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nil"/>
              <w:right w:val="single" w:color="auto" w:sz="4" w:space="0"/>
              <w:tl2br w:val="nil"/>
              <w:tr2bl w:val="nil"/>
            </w:tcBorders>
            <w:noWrap/>
            <w:vAlign w:val="center"/>
          </w:tcPr>
          <w:p/>
        </w:tc>
      </w:tr>
      <w:tr>
        <w:tblPrEx>
          <w:tblCellMar>
            <w:top w:w="0" w:type="dxa"/>
            <w:left w:w="108" w:type="dxa"/>
            <w:bottom w:w="0" w:type="dxa"/>
            <w:right w:w="108" w:type="dxa"/>
          </w:tblCellMar>
        </w:tblPrEx>
        <w:trPr>
          <w:trHeight w:val="589" w:hRule="atLeast"/>
          <w:jc w:val="center"/>
        </w:trPr>
        <w:tc>
          <w:tcPr>
            <w:tcW w:w="493" w:type="dxa"/>
            <w:vMerge w:val="continue"/>
            <w:tcBorders>
              <w:left w:val="single" w:color="auto" w:sz="4" w:space="0"/>
              <w:bottom w:val="single" w:color="auto" w:sz="4" w:space="0"/>
              <w:right w:val="single" w:color="auto" w:sz="4" w:space="0"/>
              <w:tl2br w:val="nil"/>
              <w:tr2bl w:val="nil"/>
            </w:tcBorders>
            <w:noWrap/>
            <w:vAlign w:val="center"/>
          </w:tcPr>
          <w:p/>
        </w:tc>
        <w:tc>
          <w:tcPr>
            <w:tcW w:w="1689" w:type="dxa"/>
            <w:vMerge w:val="continue"/>
            <w:tcBorders>
              <w:left w:val="nil"/>
              <w:bottom w:val="single" w:color="auto" w:sz="4" w:space="0"/>
              <w:right w:val="single" w:color="auto" w:sz="4" w:space="0"/>
              <w:tl2br w:val="nil"/>
              <w:tr2bl w:val="nil"/>
            </w:tcBorders>
            <w:noWrap/>
            <w:vAlign w:val="center"/>
          </w:tcPr>
          <w:p/>
        </w:tc>
        <w:tc>
          <w:tcPr>
            <w:tcW w:w="923"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3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生态文明建设</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172"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718" w:type="dxa"/>
            <w:vMerge w:val="continue"/>
            <w:tcBorders>
              <w:left w:val="nil"/>
              <w:bottom w:val="single" w:color="auto" w:sz="4" w:space="0"/>
              <w:right w:val="single" w:color="auto" w:sz="4" w:space="0"/>
              <w:tl2br w:val="nil"/>
              <w:tr2bl w:val="nil"/>
            </w:tcBorders>
            <w:noWrap/>
            <w:vAlign w:val="center"/>
          </w:tcPr>
          <w:p/>
        </w:tc>
        <w:tc>
          <w:tcPr>
            <w:tcW w:w="1297" w:type="dxa"/>
            <w:vMerge w:val="continue"/>
            <w:tcBorders>
              <w:left w:val="nil"/>
              <w:bottom w:val="single" w:color="auto" w:sz="4" w:space="0"/>
              <w:right w:val="single" w:color="auto" w:sz="4" w:space="0"/>
              <w:tl2br w:val="nil"/>
              <w:tr2bl w:val="nil"/>
            </w:tcBorders>
            <w:noWrap/>
            <w:vAlign w:val="center"/>
          </w:tcP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vMerge w:val="continue"/>
            <w:tcBorders>
              <w:top w:val="single" w:color="auto" w:sz="4" w:space="0"/>
              <w:left w:val="nil"/>
              <w:bottom w:val="single" w:color="auto" w:sz="4" w:space="0"/>
              <w:right w:val="single" w:color="auto" w:sz="4" w:space="0"/>
              <w:tl2br w:val="nil"/>
              <w:tr2bl w:val="nil"/>
            </w:tcBorders>
            <w:noWrap/>
            <w:vAlign w:val="center"/>
          </w:tcPr>
          <w:p/>
        </w:tc>
        <w:tc>
          <w:tcPr>
            <w:tcW w:w="1005" w:type="dxa"/>
            <w:vMerge w:val="continue"/>
            <w:tcBorders>
              <w:top w:val="single" w:color="auto" w:sz="4" w:space="0"/>
              <w:left w:val="nil"/>
              <w:bottom w:val="single" w:color="auto" w:sz="4" w:space="0"/>
              <w:right w:val="single" w:color="auto" w:sz="4" w:space="0"/>
              <w:tl2br w:val="nil"/>
              <w:tr2bl w:val="nil"/>
            </w:tcBorders>
            <w:noWrap/>
            <w:vAlign w:val="center"/>
          </w:tcPr>
          <w:p/>
        </w:tc>
      </w:tr>
      <w:tr>
        <w:tblPrEx>
          <w:tblCellMar>
            <w:top w:w="0" w:type="dxa"/>
            <w:left w:w="108" w:type="dxa"/>
            <w:bottom w:w="0" w:type="dxa"/>
            <w:right w:w="108" w:type="dxa"/>
          </w:tblCellMar>
        </w:tblPrEx>
        <w:trPr>
          <w:trHeight w:val="526"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17</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省水利厅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河长制湖长制</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市水利局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东安      </w:t>
            </w:r>
            <w:r>
              <w:rPr>
                <w:rFonts w:hint="eastAsia" w:ascii="仿宋_GB2312" w:eastAsia="仿宋_GB2312"/>
                <w:color w:val="000000"/>
                <w:kern w:val="0"/>
                <w:sz w:val="24"/>
                <w:szCs w:val="24"/>
              </w:rPr>
              <w:t>（</w:t>
            </w:r>
            <w:r>
              <w:rPr>
                <w:rFonts w:ascii="仿宋_GB2312" w:eastAsia="仿宋_GB2312"/>
                <w:color w:val="000000"/>
                <w:kern w:val="0"/>
                <w:sz w:val="24"/>
                <w:szCs w:val="24"/>
              </w:rPr>
              <w:t>1</w:t>
            </w:r>
            <w:r>
              <w:rPr>
                <w:rFonts w:hint="eastAsia" w:ascii="仿宋_GB2312" w:eastAsia="仿宋_GB2312"/>
                <w:color w:val="000000"/>
                <w:kern w:val="0"/>
                <w:sz w:val="24"/>
                <w:szCs w:val="24"/>
              </w:rPr>
              <w:t>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3.3%</w:t>
            </w:r>
          </w:p>
        </w:tc>
      </w:tr>
      <w:tr>
        <w:tblPrEx>
          <w:tblCellMar>
            <w:top w:w="0" w:type="dxa"/>
            <w:left w:w="108" w:type="dxa"/>
            <w:bottom w:w="0" w:type="dxa"/>
            <w:right w:w="108" w:type="dxa"/>
          </w:tblCellMar>
        </w:tblPrEx>
        <w:trPr>
          <w:trHeight w:val="615"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18</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省教育厅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教育改革发展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5000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市教育局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（500万）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500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r>
      <w:tr>
        <w:tblPrEx>
          <w:tblCellMar>
            <w:top w:w="0" w:type="dxa"/>
            <w:left w:w="108" w:type="dxa"/>
            <w:bottom w:w="0" w:type="dxa"/>
            <w:right w:w="108" w:type="dxa"/>
          </w:tblCellMar>
        </w:tblPrEx>
        <w:trPr>
          <w:trHeight w:val="490"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19</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省民政厅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养老服务</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ascii="仿宋_GB2312" w:eastAsia="仿宋_GB2312"/>
                <w:color w:val="000000"/>
                <w:sz w:val="24"/>
                <w:szCs w:val="24"/>
              </w:rPr>
              <w:t>4</w:t>
            </w:r>
            <w:r>
              <w:rPr>
                <w:rFonts w:hint="eastAsia" w:ascii="仿宋_GB2312" w:eastAsia="仿宋_GB2312"/>
                <w:color w:val="000000"/>
                <w:sz w:val="24"/>
                <w:szCs w:val="24"/>
              </w:rPr>
              <w:t>个市州</w:t>
            </w:r>
            <w:r>
              <w:rPr>
                <w:rFonts w:ascii="仿宋_GB2312" w:eastAsia="仿宋_GB2312"/>
                <w:color w:val="000000"/>
                <w:sz w:val="24"/>
                <w:szCs w:val="24"/>
              </w:rPr>
              <w:t xml:space="preserve">  10</w:t>
            </w:r>
            <w:r>
              <w:rPr>
                <w:rFonts w:hint="eastAsia" w:ascii="仿宋_GB2312" w:eastAsia="仿宋_GB2312"/>
                <w:color w:val="000000"/>
                <w:sz w:val="24"/>
                <w:szCs w:val="24"/>
              </w:rPr>
              <w:t>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4000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市民政局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（500万）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新田     </w:t>
            </w:r>
            <w:r>
              <w:rPr>
                <w:rFonts w:hint="eastAsia" w:ascii="仿宋_GB2312" w:eastAsia="仿宋_GB2312"/>
                <w:color w:val="000000"/>
                <w:kern w:val="0"/>
                <w:sz w:val="24"/>
                <w:szCs w:val="24"/>
              </w:rPr>
              <w:t>（200万）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700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17.5%</w:t>
            </w:r>
          </w:p>
        </w:tc>
      </w:tr>
      <w:tr>
        <w:tblPrEx>
          <w:tblCellMar>
            <w:top w:w="0" w:type="dxa"/>
            <w:left w:w="108" w:type="dxa"/>
            <w:bottom w:w="0" w:type="dxa"/>
            <w:right w:w="108" w:type="dxa"/>
          </w:tblCellMar>
        </w:tblPrEx>
        <w:trPr>
          <w:trHeight w:val="677"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pict>
                <v:shape id="_x0000_s2105" o:spid="_x0000_s2105" o:spt="202" type="#_x0000_t202" style="position:absolute;left:0pt;margin-left:765.75pt;margin-top:-162.65pt;height:475.2pt;width:33pt;z-index:251688960;mso-width-relative:page;mso-height-relative:page;" stroked="f" coordsize="21600,21600">
                  <v:path/>
                  <v:fill focussize="0,0"/>
                  <v:stroke on="f" joinstyle="miter"/>
                  <v:imagedata o:title=""/>
                  <o:lock v:ext="edit"/>
                  <v:textbox style="layout-flow:vertical;">
                    <w:txbxContent>
                      <w:p>
                        <w:pPr>
                          <w:rPr>
                            <w:u w:val="single"/>
                          </w:rPr>
                        </w:pPr>
                        <w:r>
                          <w:rPr>
                            <w:rFonts w:hint="eastAsia"/>
                            <w:u w:val="single"/>
                          </w:rPr>
                          <w:t>县人民政府办公室文件                  双牌县人民政府公报             2022年第1-2期</w:t>
                        </w:r>
                        <w:r>
                          <w:rPr>
                            <w:rFonts w:hint="eastAsia"/>
                          </w:rPr>
                          <w:t xml:space="preserve"> </w:t>
                        </w:r>
                      </w:p>
                    </w:txbxContent>
                  </v:textbox>
                </v:shape>
              </w:pict>
            </w:r>
            <w:r>
              <w:rPr>
                <w:rFonts w:hint="eastAsia" w:ascii="仿宋_GB2312" w:eastAsia="仿宋_GB2312"/>
                <w:color w:val="000000"/>
                <w:sz w:val="24"/>
                <w:szCs w:val="24"/>
              </w:rPr>
              <w:t>20</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2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省卫生健康委</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公立医院综合改革和医疗保障制度改革</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4个市州</w:t>
            </w:r>
          </w:p>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1480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1480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市卫健委</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零陵     </w:t>
            </w:r>
            <w:r>
              <w:rPr>
                <w:rFonts w:hint="eastAsia" w:ascii="仿宋_GB2312" w:eastAsia="仿宋_GB2312"/>
                <w:color w:val="000000"/>
                <w:kern w:val="0"/>
                <w:sz w:val="24"/>
                <w:szCs w:val="24"/>
              </w:rPr>
              <w:t>（100万）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6.8%</w:t>
            </w:r>
          </w:p>
        </w:tc>
      </w:tr>
      <w:tr>
        <w:tblPrEx>
          <w:tblCellMar>
            <w:top w:w="0" w:type="dxa"/>
            <w:left w:w="108" w:type="dxa"/>
            <w:bottom w:w="0" w:type="dxa"/>
            <w:right w:w="108" w:type="dxa"/>
          </w:tblCellMar>
        </w:tblPrEx>
        <w:trPr>
          <w:trHeight w:val="555"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21</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省应急厅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安全生产工作</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26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6个市州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1800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1800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市应急管理局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 xml:space="preserve">永州  </w:t>
            </w:r>
            <w:r>
              <w:rPr>
                <w:rFonts w:ascii="仿宋_GB2312" w:eastAsia="仿宋_GB2312"/>
                <w:color w:val="000000"/>
                <w:sz w:val="24"/>
                <w:szCs w:val="24"/>
              </w:rPr>
              <w:t xml:space="preserve">   </w:t>
            </w:r>
            <w:r>
              <w:rPr>
                <w:rFonts w:hint="eastAsia" w:ascii="仿宋_GB2312" w:eastAsia="仿宋_GB2312"/>
                <w:color w:val="000000"/>
                <w:kern w:val="0"/>
                <w:sz w:val="24"/>
                <w:szCs w:val="24"/>
              </w:rPr>
              <w:t>（300万）</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16.7%</w:t>
            </w:r>
          </w:p>
        </w:tc>
      </w:tr>
      <w:tr>
        <w:tblPrEx>
          <w:tblCellMar>
            <w:top w:w="0" w:type="dxa"/>
            <w:left w:w="108" w:type="dxa"/>
            <w:bottom w:w="0" w:type="dxa"/>
            <w:right w:w="108" w:type="dxa"/>
          </w:tblCellMar>
        </w:tblPrEx>
        <w:trPr>
          <w:trHeight w:val="642"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22</w:t>
            </w:r>
          </w:p>
        </w:tc>
        <w:tc>
          <w:tcPr>
            <w:tcW w:w="1689" w:type="dxa"/>
            <w:tcBorders>
              <w:top w:val="nil"/>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省公安厅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交通问题顽瘴痼疾集中整治工作</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6个市州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600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600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市公安局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0</w:t>
            </w:r>
          </w:p>
        </w:tc>
      </w:tr>
      <w:tr>
        <w:tblPrEx>
          <w:tblCellMar>
            <w:top w:w="0" w:type="dxa"/>
            <w:left w:w="108" w:type="dxa"/>
            <w:bottom w:w="0" w:type="dxa"/>
            <w:right w:w="108" w:type="dxa"/>
          </w:tblCellMar>
        </w:tblPrEx>
        <w:trPr>
          <w:trHeight w:val="837"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23</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省信访局</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信访“三无”创建</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3</w:t>
            </w:r>
            <w:r>
              <w:rPr>
                <w:rFonts w:ascii="仿宋_GB2312" w:eastAsia="仿宋_GB2312"/>
                <w:color w:val="000000"/>
                <w:sz w:val="24"/>
                <w:szCs w:val="24"/>
              </w:rPr>
              <w:t>4</w:t>
            </w:r>
            <w:r>
              <w:rPr>
                <w:rFonts w:hint="eastAsia" w:ascii="仿宋_GB2312" w:eastAsia="仿宋_GB2312"/>
                <w:color w:val="000000"/>
                <w:sz w:val="24"/>
                <w:szCs w:val="24"/>
              </w:rPr>
              <w:t>个县市区 1</w:t>
            </w:r>
            <w:r>
              <w:rPr>
                <w:rFonts w:ascii="仿宋_GB2312" w:eastAsia="仿宋_GB2312"/>
                <w:color w:val="000000"/>
                <w:sz w:val="24"/>
                <w:szCs w:val="24"/>
              </w:rPr>
              <w:t>1</w:t>
            </w:r>
            <w:r>
              <w:rPr>
                <w:rFonts w:hint="eastAsia" w:ascii="仿宋_GB2312" w:eastAsia="仿宋_GB2312"/>
                <w:color w:val="000000"/>
                <w:sz w:val="24"/>
                <w:szCs w:val="24"/>
              </w:rPr>
              <w:t>个管理区及园区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3950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3950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市信访局</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祁阳、东安、双牌、江永、回龙圩（县区100万，管理区50万）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450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11.3%</w:t>
            </w:r>
          </w:p>
        </w:tc>
      </w:tr>
      <w:tr>
        <w:tblPrEx>
          <w:tblCellMar>
            <w:top w:w="0" w:type="dxa"/>
            <w:left w:w="108" w:type="dxa"/>
            <w:bottom w:w="0" w:type="dxa"/>
            <w:right w:w="108" w:type="dxa"/>
          </w:tblCellMar>
        </w:tblPrEx>
        <w:trPr>
          <w:trHeight w:val="1200" w:hRule="atLeast"/>
          <w:jc w:val="center"/>
        </w:trPr>
        <w:tc>
          <w:tcPr>
            <w:tcW w:w="493" w:type="dxa"/>
            <w:tcBorders>
              <w:top w:val="nil"/>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hint="eastAsia" w:ascii="仿宋_GB2312" w:eastAsia="仿宋_GB2312"/>
                <w:color w:val="000000"/>
                <w:sz w:val="24"/>
                <w:szCs w:val="24"/>
              </w:rPr>
              <w:t>24</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省政府办公厅</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典型经验做法推广</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40个</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无</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无</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市政府办</w:t>
            </w:r>
          </w:p>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r>
              <w:rPr>
                <w:rFonts w:ascii="仿宋_GB2312" w:eastAsia="仿宋_GB2312"/>
                <w:color w:val="000000"/>
                <w:kern w:val="0"/>
                <w:sz w:val="24"/>
                <w:szCs w:val="24"/>
              </w:rPr>
              <w:t>市政府</w:t>
            </w:r>
            <w:r>
              <w:rPr>
                <w:rFonts w:hint="eastAsia" w:ascii="仿宋_GB2312" w:eastAsia="仿宋_GB2312"/>
                <w:color w:val="000000"/>
                <w:kern w:val="0"/>
                <w:sz w:val="24"/>
                <w:szCs w:val="24"/>
              </w:rPr>
              <w:t>督查室）</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永州</w:t>
            </w:r>
          </w:p>
          <w:p>
            <w:pPr>
              <w:widowControl/>
              <w:spacing w:line="300" w:lineRule="exact"/>
              <w:textAlignment w:val="baseline"/>
              <w:rPr>
                <w:rFonts w:ascii="仿宋_GB2312" w:eastAsia="仿宋_GB2312"/>
                <w:color w:val="000000"/>
                <w:kern w:val="0"/>
                <w:sz w:val="24"/>
              </w:rPr>
            </w:pPr>
            <w:r>
              <w:rPr>
                <w:rFonts w:hint="eastAsia" w:ascii="仿宋_GB2312" w:eastAsia="仿宋_GB2312"/>
                <w:color w:val="000000"/>
                <w:kern w:val="0"/>
                <w:sz w:val="24"/>
                <w:szCs w:val="24"/>
              </w:rPr>
              <w:t>（</w:t>
            </w:r>
            <w:r>
              <w:rPr>
                <w:rFonts w:hint="eastAsia" w:ascii="仿宋_GB2312" w:eastAsia="仿宋_GB2312" w:cs="仿宋_GB2312"/>
                <w:color w:val="000000"/>
                <w:kern w:val="0"/>
                <w:sz w:val="24"/>
              </w:rPr>
              <w:t>稳就业</w:t>
            </w:r>
            <w:r>
              <w:rPr>
                <w:rFonts w:ascii="仿宋_GB2312" w:eastAsia="仿宋_GB2312" w:cs="仿宋_GB2312"/>
                <w:color w:val="000000"/>
                <w:kern w:val="0"/>
                <w:sz w:val="24"/>
              </w:rPr>
              <w:t>、</w:t>
            </w:r>
            <w:r>
              <w:rPr>
                <w:rFonts w:hint="eastAsia" w:ascii="仿宋_GB2312" w:eastAsia="仿宋_GB2312" w:cs="仿宋_GB2312"/>
                <w:color w:val="000000"/>
                <w:kern w:val="0"/>
                <w:sz w:val="24"/>
              </w:rPr>
              <w:t>四好农村路</w:t>
            </w:r>
            <w:r>
              <w:rPr>
                <w:rFonts w:hint="eastAsia" w:ascii="仿宋_GB2312" w:eastAsia="仿宋_GB2312"/>
                <w:color w:val="000000"/>
                <w:kern w:val="0"/>
                <w:sz w:val="24"/>
              </w:rPr>
              <w:t>）</w:t>
            </w:r>
            <w:r>
              <w:rPr>
                <w:rFonts w:hint="eastAsia" w:ascii="仿宋_GB2312" w:eastAsia="仿宋_GB2312"/>
                <w:color w:val="000000"/>
                <w:kern w:val="0"/>
                <w:sz w:val="24"/>
                <w:szCs w:val="24"/>
              </w:rPr>
              <w:t xml:space="preserve"> </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祁阳、道县、江华、江永、新田（5次）</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无</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24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Cs w:val="21"/>
              </w:rPr>
              <w:t>17.5%，与长沙等5个市州并列第一</w:t>
            </w:r>
          </w:p>
        </w:tc>
      </w:tr>
      <w:tr>
        <w:tblPrEx>
          <w:tblCellMar>
            <w:top w:w="0" w:type="dxa"/>
            <w:left w:w="108" w:type="dxa"/>
            <w:bottom w:w="0" w:type="dxa"/>
            <w:right w:w="108" w:type="dxa"/>
          </w:tblCellMar>
        </w:tblPrEx>
        <w:trPr>
          <w:trHeight w:val="607" w:hRule="atLeast"/>
          <w:jc w:val="center"/>
        </w:trPr>
        <w:tc>
          <w:tcPr>
            <w:tcW w:w="493" w:type="dxa"/>
            <w:tcBorders>
              <w:top w:val="single" w:color="auto" w:sz="4" w:space="0"/>
              <w:left w:val="single" w:color="auto" w:sz="4" w:space="0"/>
              <w:bottom w:val="nil"/>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sz w:val="24"/>
                <w:szCs w:val="24"/>
              </w:rPr>
            </w:pPr>
            <w:r>
              <w:rPr>
                <w:rFonts w:ascii="仿宋_GB2312" w:eastAsia="仿宋_GB2312"/>
                <w:color w:val="000000"/>
                <w:sz w:val="24"/>
                <w:szCs w:val="24"/>
              </w:rPr>
              <w:t>25</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省政府办公</w:t>
            </w:r>
            <w:r>
              <w:rPr>
                <w:rFonts w:ascii="仿宋_GB2312" w:eastAsia="仿宋_GB2312"/>
                <w:color w:val="000000"/>
                <w:kern w:val="0"/>
                <w:sz w:val="24"/>
                <w:szCs w:val="24"/>
              </w:rPr>
              <w:t>厅</w:t>
            </w:r>
            <w:r>
              <w:rPr>
                <w:rFonts w:hint="eastAsia" w:ascii="仿宋_GB2312" w:eastAsia="仿宋_GB2312"/>
                <w:color w:val="000000"/>
                <w:kern w:val="0"/>
                <w:sz w:val="24"/>
                <w:szCs w:val="24"/>
              </w:rPr>
              <w:t>省发改委</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推动高质量发展</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10个县市区</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1000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市政府办</w:t>
            </w:r>
          </w:p>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市发改委</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未设奖</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东安县   （100万）</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10%</w:t>
            </w:r>
          </w:p>
        </w:tc>
      </w:tr>
      <w:tr>
        <w:tblPrEx>
          <w:tblCellMar>
            <w:top w:w="0" w:type="dxa"/>
            <w:left w:w="108" w:type="dxa"/>
            <w:bottom w:w="0" w:type="dxa"/>
            <w:right w:w="108" w:type="dxa"/>
          </w:tblCellMar>
        </w:tblPrEx>
        <w:trPr>
          <w:trHeight w:val="392" w:hRule="atLeast"/>
          <w:jc w:val="center"/>
        </w:trPr>
        <w:tc>
          <w:tcPr>
            <w:tcW w:w="493" w:type="dxa"/>
            <w:tcBorders>
              <w:top w:val="single" w:color="auto" w:sz="4" w:space="0"/>
              <w:left w:val="single" w:color="auto" w:sz="4" w:space="0"/>
              <w:bottom w:val="single" w:color="auto" w:sz="4" w:space="0"/>
              <w:right w:val="single" w:color="auto" w:sz="4" w:space="0"/>
              <w:tl2br w:val="nil"/>
              <w:tr2bl w:val="nil"/>
            </w:tcBorders>
            <w:noWrap/>
            <w:vAlign w:val="center"/>
          </w:tcPr>
          <w:p>
            <w:pPr>
              <w:widowControl/>
              <w:spacing w:line="300" w:lineRule="exact"/>
              <w:jc w:val="center"/>
              <w:textAlignment w:val="center"/>
              <w:rPr>
                <w:rFonts w:ascii="仿宋_GB2312" w:eastAsia="仿宋_GB2312"/>
                <w:color w:val="000000"/>
                <w:kern w:val="0"/>
                <w:sz w:val="24"/>
                <w:szCs w:val="24"/>
              </w:rPr>
            </w:pPr>
            <w:r>
              <w:rPr>
                <w:rFonts w:ascii="仿宋_GB2312" w:eastAsia="仿宋_GB2312"/>
                <w:color w:val="000000"/>
                <w:kern w:val="0"/>
                <w:sz w:val="24"/>
                <w:szCs w:val="24"/>
              </w:rPr>
              <w:t>26</w:t>
            </w:r>
          </w:p>
        </w:tc>
        <w:tc>
          <w:tcPr>
            <w:tcW w:w="1689"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省地方金融监管局</w:t>
            </w:r>
          </w:p>
        </w:tc>
        <w:tc>
          <w:tcPr>
            <w:tcW w:w="2660" w:type="dxa"/>
            <w:gridSpan w:val="2"/>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金融服务</w:t>
            </w:r>
          </w:p>
        </w:tc>
        <w:tc>
          <w:tcPr>
            <w:tcW w:w="1456"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4个市州</w:t>
            </w:r>
          </w:p>
        </w:tc>
        <w:tc>
          <w:tcPr>
            <w:tcW w:w="117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1200</w:t>
            </w:r>
          </w:p>
        </w:tc>
        <w:tc>
          <w:tcPr>
            <w:tcW w:w="1172"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1200</w:t>
            </w:r>
          </w:p>
        </w:tc>
        <w:tc>
          <w:tcPr>
            <w:tcW w:w="1718"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市政府办</w:t>
            </w:r>
          </w:p>
        </w:tc>
        <w:tc>
          <w:tcPr>
            <w:tcW w:w="1297"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w:t>
            </w:r>
          </w:p>
        </w:tc>
        <w:tc>
          <w:tcPr>
            <w:tcW w:w="1573"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hint="eastAsia" w:ascii="仿宋_GB2312" w:eastAsia="仿宋_GB2312"/>
                <w:color w:val="000000"/>
                <w:kern w:val="0"/>
                <w:sz w:val="24"/>
                <w:szCs w:val="24"/>
              </w:rPr>
              <w:t>未设奖</w:t>
            </w:r>
          </w:p>
        </w:tc>
        <w:tc>
          <w:tcPr>
            <w:tcW w:w="1121"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0</w:t>
            </w:r>
          </w:p>
        </w:tc>
        <w:tc>
          <w:tcPr>
            <w:tcW w:w="1005" w:type="dxa"/>
            <w:tcBorders>
              <w:top w:val="single" w:color="auto" w:sz="4" w:space="0"/>
              <w:left w:val="nil"/>
              <w:bottom w:val="single" w:color="auto" w:sz="4" w:space="0"/>
              <w:right w:val="single" w:color="auto" w:sz="4" w:space="0"/>
              <w:tl2br w:val="nil"/>
              <w:tr2bl w:val="nil"/>
            </w:tcBorders>
            <w:noWrap/>
            <w:vAlign w:val="center"/>
          </w:tcPr>
          <w:p>
            <w:pPr>
              <w:widowControl/>
              <w:spacing w:line="300" w:lineRule="exact"/>
              <w:jc w:val="center"/>
              <w:textAlignment w:val="baseline"/>
              <w:rPr>
                <w:rFonts w:ascii="仿宋_GB2312" w:eastAsia="仿宋_GB2312"/>
                <w:color w:val="000000"/>
                <w:kern w:val="0"/>
                <w:sz w:val="24"/>
                <w:szCs w:val="24"/>
              </w:rPr>
            </w:pPr>
            <w:r>
              <w:rPr>
                <w:rFonts w:ascii="仿宋_GB2312" w:eastAsia="仿宋_GB2312"/>
                <w:color w:val="000000"/>
                <w:kern w:val="0"/>
                <w:sz w:val="24"/>
                <w:szCs w:val="24"/>
              </w:rPr>
              <w:t>0</w:t>
            </w:r>
          </w:p>
        </w:tc>
      </w:tr>
    </w:tbl>
    <w:p>
      <w:pPr>
        <w:sectPr>
          <w:type w:val="continuous"/>
          <w:pgSz w:w="16838" w:h="11906" w:orient="landscape"/>
          <w:pgMar w:top="1701" w:right="1701" w:bottom="1701" w:left="1474" w:header="851" w:footer="992" w:gutter="0"/>
          <w:cols w:space="720" w:num="1"/>
          <w:docGrid w:type="lines" w:linePitch="312" w:charSpace="0"/>
        </w:sectPr>
      </w:pPr>
    </w:p>
    <w:p>
      <w:pPr>
        <w:spacing w:line="560" w:lineRule="exact"/>
        <w:jc w:val="center"/>
        <w:rPr>
          <w:rFonts w:ascii="方正大标宋_GBK" w:hAnsi="方正小标宋_GBK" w:eastAsia="方正大标宋_GBK" w:cs="方正小标宋_GBK"/>
          <w:sz w:val="44"/>
          <w:szCs w:val="44"/>
        </w:rPr>
      </w:pPr>
      <w:r>
        <w:pict>
          <v:shape id="_x0000_s2050" o:spid="_x0000_s2050" o:spt="202" type="#_x0000_t202" style="position:absolute;left:0pt;margin-left:-29.3pt;margin-top:-46.5pt;height:33.75pt;width:495.5pt;z-index:251681792;mso-width-relative:page;mso-height-relative:page;" stroked="f" coordsize="21600,21600" o:gfxdata="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ygw2k9cAAAAKAQAADwAA&#10;AAAAAAABACAAAAA4AAAAZHJzL2Rvd25yZXYueG1sUEsBAhQAFAAAAAgAh07iQAZKKj86AgAAUQQA&#10;AA4AAAAAAAAAAQAgAAAAPAEAAGRycy9lMm9Eb2MueG1sUEsFBgAAAAAGAAYAWQEAAOgFAAAAAA==&#10;">
            <v:path/>
            <v:fill focussize="0,0"/>
            <v:stroke on="f" weight="0.5pt" joinstyle="miter"/>
            <v:imagedata o:title=""/>
            <o:lock v:ext="edit"/>
            <v:textbox>
              <w:txbxContent>
                <w:p>
                  <w:pPr>
                    <w:rPr>
                      <w:u w:val="single"/>
                    </w:rPr>
                  </w:pPr>
                  <w:r>
                    <w:rPr>
                      <w:u w:val="single"/>
                    </w:rPr>
                    <w:t xml:space="preserve">人事任免             </w:t>
                  </w:r>
                  <w:r>
                    <w:rPr>
                      <w:rFonts w:hint="eastAsia"/>
                      <w:u w:val="single"/>
                    </w:rPr>
                    <w:t xml:space="preserve">  </w:t>
                  </w:r>
                  <w:r>
                    <w:rPr>
                      <w:u w:val="single"/>
                    </w:rPr>
                    <w:t xml:space="preserve">         双牌县人民政府</w:t>
                  </w:r>
                  <w:r>
                    <w:rPr>
                      <w:rFonts w:hint="eastAsia"/>
                      <w:u w:val="single"/>
                    </w:rPr>
                    <w:t>公报</w:t>
                  </w:r>
                  <w:r>
                    <w:rPr>
                      <w:u w:val="single"/>
                    </w:rPr>
                    <w:t xml:space="preserve">                 </w:t>
                  </w:r>
                  <w:r>
                    <w:rPr>
                      <w:rFonts w:hint="eastAsia"/>
                      <w:u w:val="single"/>
                    </w:rPr>
                    <w:t xml:space="preserve">        </w:t>
                  </w:r>
                  <w:r>
                    <w:rPr>
                      <w:u w:val="single"/>
                    </w:rPr>
                    <w:t>2022年第1</w:t>
                  </w:r>
                  <w:r>
                    <w:rPr>
                      <w:rFonts w:hint="eastAsia"/>
                      <w:u w:val="single"/>
                    </w:rPr>
                    <w:t>-2</w:t>
                  </w:r>
                  <w:r>
                    <w:rPr>
                      <w:u w:val="single"/>
                    </w:rPr>
                    <w:t>期</w:t>
                  </w:r>
                </w:p>
              </w:txbxContent>
            </v:textbox>
          </v:shape>
        </w:pict>
      </w:r>
      <w:r>
        <w:rPr>
          <w:rFonts w:hint="eastAsia" w:ascii="方正大标宋_GBK" w:hAnsi="方正小标宋_GBK" w:eastAsia="方正大标宋_GBK" w:cs="方正小标宋_GBK"/>
          <w:sz w:val="44"/>
          <w:szCs w:val="44"/>
        </w:rPr>
        <w:t>双牌县人民政府</w:t>
      </w:r>
    </w:p>
    <w:p>
      <w:pPr>
        <w:spacing w:line="600" w:lineRule="exact"/>
        <w:jc w:val="center"/>
        <w:rPr>
          <w:rFonts w:ascii="方正大标宋_GBK" w:hAnsi="方正小标宋_GBK" w:eastAsia="方正大标宋_GBK" w:cs="方正小标宋_GBK"/>
          <w:sz w:val="44"/>
          <w:szCs w:val="44"/>
        </w:rPr>
      </w:pPr>
      <w:r>
        <w:rPr>
          <w:rFonts w:hint="eastAsia" w:ascii="方正大标宋_GBK" w:hAnsi="方正小标宋_GBK" w:eastAsia="方正大标宋_GBK" w:cs="方正小标宋_GBK"/>
          <w:sz w:val="44"/>
          <w:szCs w:val="44"/>
        </w:rPr>
        <w:t>关于汤政成等同志职务任免的通知</w:t>
      </w:r>
    </w:p>
    <w:p>
      <w:pPr>
        <w:pStyle w:val="2"/>
        <w:ind w:firstLine="320"/>
        <w:jc w:val="center"/>
      </w:pPr>
      <w:r>
        <w:rPr>
          <w:rFonts w:hint="eastAsia" w:ascii="仿宋_GB2312" w:eastAsia="仿宋_GB2312" w:cs="Times New Roman"/>
          <w:sz w:val="32"/>
          <w:szCs w:val="32"/>
        </w:rPr>
        <w:t>双政人〔20</w:t>
      </w:r>
      <w:r>
        <w:rPr>
          <w:rFonts w:hint="eastAsia" w:ascii="仿宋_GB2312" w:eastAsia="仿宋_GB2312"/>
          <w:sz w:val="32"/>
          <w:szCs w:val="32"/>
        </w:rPr>
        <w:t>22</w:t>
      </w:r>
      <w:r>
        <w:rPr>
          <w:rFonts w:hint="eastAsia" w:ascii="仿宋_GB2312" w:eastAsia="仿宋_GB2312" w:cs="Times New Roman"/>
          <w:sz w:val="32"/>
          <w:szCs w:val="32"/>
        </w:rPr>
        <w:t>〕1号</w:t>
      </w:r>
    </w:p>
    <w:p>
      <w:pPr>
        <w:spacing w:line="440" w:lineRule="exact"/>
        <w:jc w:val="center"/>
        <w:rPr>
          <w:rFonts w:ascii="方正小标宋_GBK" w:hAnsi="方正小标宋_GBK" w:eastAsia="方正小标宋_GBK" w:cs="方正小标宋_GBK"/>
          <w:sz w:val="44"/>
          <w:szCs w:val="44"/>
        </w:rPr>
      </w:pPr>
    </w:p>
    <w:p>
      <w:p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各乡镇人民政府，阳明山管理局，县直各单位：</w:t>
      </w:r>
    </w:p>
    <w:p>
      <w:pPr>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根据县委双委干〔202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双委干〔202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双委干〔202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号文件提名，经县人民政府党组研究</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决定</w:t>
      </w:r>
      <w:r>
        <w:rPr>
          <w:rFonts w:ascii="仿宋_GB2312" w:hAnsi="仿宋_GB2312" w:eastAsia="仿宋_GB2312" w:cs="仿宋_GB2312"/>
          <w:sz w:val="32"/>
          <w:szCs w:val="32"/>
        </w:rPr>
        <w:t>任命</w:t>
      </w:r>
      <w:r>
        <w:rPr>
          <w:rFonts w:hint="eastAsia" w:ascii="仿宋_GB2312" w:hAnsi="仿宋_GB2312" w:eastAsia="仿宋_GB2312" w:cs="仿宋_GB2312"/>
          <w:sz w:val="32"/>
          <w:szCs w:val="32"/>
        </w:rPr>
        <w:t>：</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汤政成同志为县统计局总统计师；</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胡飞同志为县泷泊林场场长(试用期一年）；</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决定免去：</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龚建华同志的县政府办副主任职务；</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唐尉力同志的县政府办优化办主任职务;</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盘利利同志的县泷泊林场场长职务；</w:t>
      </w:r>
    </w:p>
    <w:p>
      <w:pPr>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蒋业勋同志的县政府发展研究中心主任职务。</w:t>
      </w:r>
    </w:p>
    <w:p>
      <w:pPr>
        <w:spacing w:line="520" w:lineRule="exact"/>
        <w:ind w:firstLine="640"/>
        <w:rPr>
          <w:rFonts w:hint="eastAsia" w:ascii="仿宋_GB2312" w:hAnsi="仿宋_GB2312" w:eastAsia="仿宋_GB2312" w:cs="仿宋_GB2312"/>
          <w:sz w:val="32"/>
          <w:szCs w:val="32"/>
        </w:rPr>
      </w:pPr>
    </w:p>
    <w:p>
      <w:pPr>
        <w:pStyle w:val="2"/>
        <w:ind w:firstLine="210"/>
      </w:pPr>
    </w:p>
    <w:p>
      <w:pPr>
        <w:spacing w:line="54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双牌县人民政府</w:t>
      </w:r>
    </w:p>
    <w:p>
      <w:pPr>
        <w:spacing w:line="540" w:lineRule="exact"/>
        <w:ind w:firstLine="640"/>
        <w:rPr>
          <w:sz w:val="44"/>
          <w:szCs w:val="44"/>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2022年2月17日</w:t>
      </w:r>
    </w:p>
    <w:p/>
    <w:p>
      <w:pPr>
        <w:pStyle w:val="2"/>
        <w:ind w:firstLine="210"/>
      </w:pPr>
    </w:p>
    <w:p>
      <w:pPr>
        <w:pStyle w:val="2"/>
        <w:ind w:firstLine="210"/>
      </w:pPr>
    </w:p>
    <w:sectPr>
      <w:pgSz w:w="11906" w:h="16838"/>
      <w:pgMar w:top="1701" w:right="1701" w:bottom="147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swiss"/>
    <w:pitch w:val="default"/>
    <w:sig w:usb0="E0002EFF" w:usb1="C000785B" w:usb2="00000009" w:usb3="00000000" w:csb0="400001FF" w:csb1="FFFF0000"/>
  </w:font>
  <w:font w:name="方正大标宋_GBK">
    <w:panose1 w:val="02000000000000000000"/>
    <w:charset w:val="86"/>
    <w:family w:val="script"/>
    <w:pitch w:val="default"/>
    <w:sig w:usb0="A00002BF" w:usb1="08CF7CFA" w:usb2="00000000" w:usb3="00000000" w:csb0="00040001" w:csb1="00000000"/>
  </w:font>
  <w:font w:name="东文宋体">
    <w:altName w:val="方正书宋_GBK"/>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大标宋简体">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4"/>
      </w:rPr>
    </w:pPr>
    <w:r>
      <w:fldChar w:fldCharType="begin"/>
    </w:r>
    <w:r>
      <w:rPr>
        <w:rStyle w:val="14"/>
      </w:rPr>
      <w:instrText xml:space="preserve">PAGE  </w:instrTex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42146"/>
      <w:docPartObj>
        <w:docPartGallery w:val="AutoText"/>
      </w:docPartObj>
    </w:sdtPr>
    <w:sdtContent>
      <w:p>
        <w:pPr>
          <w:pStyle w:val="6"/>
          <w:jc w:val="center"/>
        </w:pPr>
        <w:r>
          <w:fldChar w:fldCharType="begin"/>
        </w:r>
        <w:r>
          <w:instrText xml:space="preserve"> PAGE   \* MERGEFORMAT </w:instrText>
        </w:r>
        <w:r>
          <w:fldChar w:fldCharType="separate"/>
        </w:r>
        <w:r>
          <w:rPr>
            <w:lang w:val="zh-CN"/>
          </w:rPr>
          <w:t>47</w:t>
        </w:r>
        <w:r>
          <w:rPr>
            <w:lang w:val="zh-CN"/>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6BE6A7"/>
    <w:multiLevelType w:val="singleLevel"/>
    <w:tmpl w:val="946BE6A7"/>
    <w:lvl w:ilvl="0" w:tentative="0">
      <w:start w:val="1"/>
      <w:numFmt w:val="decimal"/>
      <w:suff w:val="nothing"/>
      <w:lvlText w:val="（%1）"/>
      <w:lvlJc w:val="left"/>
    </w:lvl>
  </w:abstractNum>
  <w:abstractNum w:abstractNumId="1">
    <w:nsid w:val="A22522B8"/>
    <w:multiLevelType w:val="singleLevel"/>
    <w:tmpl w:val="A22522B8"/>
    <w:lvl w:ilvl="0" w:tentative="0">
      <w:start w:val="1"/>
      <w:numFmt w:val="decimal"/>
      <w:suff w:val="nothing"/>
      <w:lvlText w:val="（%1）"/>
      <w:lvlJc w:val="left"/>
    </w:lvl>
  </w:abstractNum>
  <w:abstractNum w:abstractNumId="2">
    <w:nsid w:val="C3A752E9"/>
    <w:multiLevelType w:val="singleLevel"/>
    <w:tmpl w:val="C3A752E9"/>
    <w:lvl w:ilvl="0" w:tentative="0">
      <w:start w:val="1"/>
      <w:numFmt w:val="decimal"/>
      <w:suff w:val="nothing"/>
      <w:lvlText w:val="%1、"/>
      <w:lvlJc w:val="left"/>
    </w:lvl>
  </w:abstractNum>
  <w:abstractNum w:abstractNumId="3">
    <w:nsid w:val="40CF49D2"/>
    <w:multiLevelType w:val="singleLevel"/>
    <w:tmpl w:val="40CF49D2"/>
    <w:lvl w:ilvl="0" w:tentative="0">
      <w:start w:val="1"/>
      <w:numFmt w:val="chineseCounting"/>
      <w:suff w:val="nothing"/>
      <w:lvlText w:val="（%1）"/>
      <w:lvlJc w:val="left"/>
      <w:rPr>
        <w:rFonts w:hint="eastAsia"/>
      </w:rPr>
    </w:lvl>
  </w:abstractNum>
  <w:abstractNum w:abstractNumId="4">
    <w:nsid w:val="5D30CEEB"/>
    <w:multiLevelType w:val="singleLevel"/>
    <w:tmpl w:val="5D30CEEB"/>
    <w:lvl w:ilvl="0" w:tentative="0">
      <w:start w:val="1"/>
      <w:numFmt w:val="decimal"/>
      <w:suff w:val="nothing"/>
      <w:lvlText w:val="（%1）"/>
      <w:lvlJc w:val="left"/>
    </w:lvl>
  </w:abstractNum>
  <w:abstractNum w:abstractNumId="5">
    <w:nsid w:val="79C62173"/>
    <w:multiLevelType w:val="singleLevel"/>
    <w:tmpl w:val="79C62173"/>
    <w:lvl w:ilvl="0" w:tentative="0">
      <w:start w:val="1"/>
      <w:numFmt w:val="chineseCounting"/>
      <w:suff w:val="nothing"/>
      <w:lvlText w:val="%1、"/>
      <w:lvlJc w:val="left"/>
      <w:rPr>
        <w:rFonts w:hint="eastAsia"/>
      </w:rPr>
    </w:lvl>
  </w:abstractNum>
  <w:abstractNum w:abstractNumId="6">
    <w:nsid w:val="7C2F57E6"/>
    <w:multiLevelType w:val="singleLevel"/>
    <w:tmpl w:val="7C2F57E6"/>
    <w:lvl w:ilvl="0" w:tentative="0">
      <w:start w:val="1"/>
      <w:numFmt w:val="decimal"/>
      <w:suff w:val="nothing"/>
      <w:lvlText w:val="（%1）"/>
      <w:lvlJc w:val="left"/>
    </w:lvl>
  </w:abstractNum>
  <w:num w:numId="1">
    <w:abstractNumId w:val="5"/>
  </w:num>
  <w:num w:numId="2">
    <w:abstractNumId w:val="2"/>
  </w:num>
  <w:num w:numId="3">
    <w:abstractNumId w:val="1"/>
  </w:num>
  <w:num w:numId="4">
    <w:abstractNumId w:val="0"/>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59EE"/>
    <w:rsid w:val="00004B8C"/>
    <w:rsid w:val="00040C6E"/>
    <w:rsid w:val="00093ADC"/>
    <w:rsid w:val="001A22AB"/>
    <w:rsid w:val="001A4E8C"/>
    <w:rsid w:val="001F4AB1"/>
    <w:rsid w:val="002E5A98"/>
    <w:rsid w:val="00487801"/>
    <w:rsid w:val="00577BC3"/>
    <w:rsid w:val="00610050"/>
    <w:rsid w:val="006F2255"/>
    <w:rsid w:val="00820998"/>
    <w:rsid w:val="00890732"/>
    <w:rsid w:val="008C1F1A"/>
    <w:rsid w:val="00A8783E"/>
    <w:rsid w:val="00AA2125"/>
    <w:rsid w:val="00AA3448"/>
    <w:rsid w:val="00B64BF5"/>
    <w:rsid w:val="00C166D0"/>
    <w:rsid w:val="00C859EE"/>
    <w:rsid w:val="00E5113E"/>
    <w:rsid w:val="00EB1F91"/>
    <w:rsid w:val="00F65561"/>
    <w:rsid w:val="00F81CE9"/>
    <w:rsid w:val="00FF63BF"/>
    <w:rsid w:val="1D5EE0CD"/>
    <w:rsid w:val="2C7C79A9"/>
    <w:rsid w:val="31BD1AEE"/>
    <w:rsid w:val="3677FF70"/>
    <w:rsid w:val="36F75BED"/>
    <w:rsid w:val="37FCCE86"/>
    <w:rsid w:val="3DFB9B90"/>
    <w:rsid w:val="3EB7BEE2"/>
    <w:rsid w:val="47FFE584"/>
    <w:rsid w:val="55FCFD68"/>
    <w:rsid w:val="56FD1DBF"/>
    <w:rsid w:val="5BFF4B3B"/>
    <w:rsid w:val="5CF64F91"/>
    <w:rsid w:val="5EFBEA36"/>
    <w:rsid w:val="5F7DB8CB"/>
    <w:rsid w:val="5FFF9825"/>
    <w:rsid w:val="61B62BB8"/>
    <w:rsid w:val="637B0427"/>
    <w:rsid w:val="65FF0B31"/>
    <w:rsid w:val="67EE52B6"/>
    <w:rsid w:val="6B7DA2AE"/>
    <w:rsid w:val="6CFF9E72"/>
    <w:rsid w:val="7BC67A7F"/>
    <w:rsid w:val="7BFA5499"/>
    <w:rsid w:val="7BFFACC2"/>
    <w:rsid w:val="7BFFC2EC"/>
    <w:rsid w:val="7C578693"/>
    <w:rsid w:val="7C7D677A"/>
    <w:rsid w:val="7C9FA538"/>
    <w:rsid w:val="7D79FF3E"/>
    <w:rsid w:val="7ECBCA07"/>
    <w:rsid w:val="7ED1DE19"/>
    <w:rsid w:val="7EF9448A"/>
    <w:rsid w:val="7F77A832"/>
    <w:rsid w:val="7F9943D8"/>
    <w:rsid w:val="7FAF0329"/>
    <w:rsid w:val="8B7FA348"/>
    <w:rsid w:val="9AFE57A4"/>
    <w:rsid w:val="AD77881C"/>
    <w:rsid w:val="B7F8D62F"/>
    <w:rsid w:val="B9E74AB5"/>
    <w:rsid w:val="BBD5EEE7"/>
    <w:rsid w:val="BDEFE56A"/>
    <w:rsid w:val="BEBAB8BC"/>
    <w:rsid w:val="BF7F3A2F"/>
    <w:rsid w:val="BFF71535"/>
    <w:rsid w:val="D47C29FC"/>
    <w:rsid w:val="DAFA9A18"/>
    <w:rsid w:val="DCDEEA4B"/>
    <w:rsid w:val="DD6F3792"/>
    <w:rsid w:val="DEDF799B"/>
    <w:rsid w:val="DFFFEF29"/>
    <w:rsid w:val="E67BDF33"/>
    <w:rsid w:val="E97EA688"/>
    <w:rsid w:val="EEFF4CE8"/>
    <w:rsid w:val="F1EE721D"/>
    <w:rsid w:val="F22F3D8F"/>
    <w:rsid w:val="F575345F"/>
    <w:rsid w:val="F7BDAF30"/>
    <w:rsid w:val="F7EFE9E2"/>
    <w:rsid w:val="FBF8A80F"/>
    <w:rsid w:val="FCDF4A7F"/>
    <w:rsid w:val="FF532CAC"/>
    <w:rsid w:val="FF772FDC"/>
    <w:rsid w:val="FFD71B76"/>
    <w:rsid w:val="FFDD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bCs/>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100" w:firstLineChars="100"/>
    </w:pPr>
    <w:rPr>
      <w:rFonts w:ascii="Calibri" w:hAnsi="Calibri" w:eastAsia="宋体" w:cs="Arial"/>
      <w:szCs w:val="24"/>
    </w:rPr>
  </w:style>
  <w:style w:type="paragraph" w:styleId="3">
    <w:name w:val="Body Text"/>
    <w:basedOn w:val="1"/>
    <w:next w:val="4"/>
    <w:qFormat/>
    <w:uiPriority w:val="0"/>
    <w:pPr>
      <w:spacing w:after="120"/>
    </w:pPr>
  </w:style>
  <w:style w:type="paragraph" w:styleId="4">
    <w:name w:val="index 6"/>
    <w:basedOn w:val="1"/>
    <w:next w:val="1"/>
    <w:qFormat/>
    <w:uiPriority w:val="0"/>
    <w:pPr>
      <w:ind w:left="2100"/>
    </w:pPr>
  </w:style>
  <w:style w:type="paragraph" w:styleId="5">
    <w:name w:val="index 5"/>
    <w:basedOn w:val="1"/>
    <w:next w:val="1"/>
    <w:qFormat/>
    <w:uiPriority w:val="0"/>
    <w:pPr>
      <w:ind w:left="1680"/>
    </w:pPr>
  </w:style>
  <w:style w:type="paragraph" w:styleId="6">
    <w:name w:val="footer"/>
    <w:basedOn w:val="1"/>
    <w:link w:val="19"/>
    <w:qFormat/>
    <w:uiPriority w:val="99"/>
    <w:pPr>
      <w:tabs>
        <w:tab w:val="center" w:pos="4153"/>
        <w:tab w:val="right" w:pos="8306"/>
      </w:tabs>
      <w:snapToGrid w:val="0"/>
      <w:jc w:val="left"/>
    </w:pPr>
    <w:rPr>
      <w:sz w:val="18"/>
    </w:rPr>
  </w:style>
  <w:style w:type="paragraph" w:styleId="7">
    <w:name w:val="header"/>
    <w:basedOn w:val="1"/>
    <w:next w:val="1"/>
    <w:qFormat/>
    <w:uiPriority w:val="0"/>
    <w:pPr>
      <w:tabs>
        <w:tab w:val="center" w:pos="4153"/>
        <w:tab w:val="right" w:pos="8306"/>
      </w:tabs>
      <w:snapToGrid w:val="0"/>
    </w:pPr>
    <w:rPr>
      <w:sz w:val="18"/>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bCs w:val="0"/>
      <w:kern w:val="0"/>
      <w:sz w:val="24"/>
      <w:szCs w:val="24"/>
    </w:rPr>
  </w:style>
  <w:style w:type="paragraph" w:styleId="9">
    <w:name w:val="Normal (Web)"/>
    <w:basedOn w:val="1"/>
    <w:qFormat/>
    <w:uiPriority w:val="0"/>
    <w:pPr>
      <w:spacing w:before="100" w:beforeAutospacing="1" w:after="100"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page number"/>
    <w:basedOn w:val="12"/>
    <w:qFormat/>
    <w:uiPriority w:val="0"/>
  </w:style>
  <w:style w:type="paragraph" w:customStyle="1" w:styleId="15">
    <w:name w:val="样式1"/>
    <w:basedOn w:val="1"/>
    <w:link w:val="16"/>
    <w:qFormat/>
    <w:uiPriority w:val="0"/>
    <w:rPr>
      <w:b/>
      <w:color w:val="538135" w:themeColor="accent6" w:themeShade="BF"/>
      <w:sz w:val="28"/>
    </w:rPr>
  </w:style>
  <w:style w:type="character" w:customStyle="1" w:styleId="16">
    <w:name w:val="样式1 Char"/>
    <w:basedOn w:val="12"/>
    <w:link w:val="15"/>
    <w:qFormat/>
    <w:uiPriority w:val="0"/>
    <w:rPr>
      <w:b/>
      <w:color w:val="538135" w:themeColor="accent6" w:themeShade="BF"/>
      <w:sz w:val="28"/>
    </w:rPr>
  </w:style>
  <w:style w:type="character" w:customStyle="1" w:styleId="17">
    <w:name w:val="NormalCharacter"/>
    <w:qFormat/>
    <w:uiPriority w:val="0"/>
    <w:rPr>
      <w:sz w:val="24"/>
      <w:szCs w:val="24"/>
      <w:lang w:val="en-US" w:eastAsia="en-US" w:bidi="ar-SA"/>
    </w:rPr>
  </w:style>
  <w:style w:type="paragraph" w:customStyle="1" w:styleId="18">
    <w:name w:val="p0"/>
    <w:basedOn w:val="1"/>
    <w:qFormat/>
    <w:uiPriority w:val="0"/>
    <w:pPr>
      <w:widowControl/>
      <w:spacing w:before="100" w:beforeAutospacing="1" w:after="100" w:afterAutospacing="1"/>
      <w:jc w:val="left"/>
    </w:pPr>
    <w:rPr>
      <w:rFonts w:ascii="宋体" w:hAnsi="宋体" w:cs="宋体"/>
      <w:bCs w:val="0"/>
      <w:kern w:val="0"/>
      <w:sz w:val="24"/>
      <w:szCs w:val="24"/>
    </w:rPr>
  </w:style>
  <w:style w:type="character" w:customStyle="1" w:styleId="19">
    <w:name w:val="页脚 Char"/>
    <w:basedOn w:val="12"/>
    <w:link w:val="6"/>
    <w:qFormat/>
    <w:uiPriority w:val="99"/>
    <w:rPr>
      <w:bCs/>
      <w:kern w:val="2"/>
      <w:sz w:val="18"/>
      <w:szCs w:val="22"/>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3"/>
    <customShpInfo spid="_x0000_s2064"/>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2"/>
    <customShpInfo spid="_x0000_s2053"/>
    <customShpInfo spid="_x0000_s2051"/>
    <customShpInfo spid="_x0000_s2098"/>
    <customShpInfo spid="_x0000_s2100"/>
    <customShpInfo spid="_x0000_s2101"/>
    <customShpInfo spid="_x0000_s2102"/>
    <customShpInfo spid="_x0000_s2103"/>
    <customShpInfo spid="_x0000_s2104"/>
    <customShpInfo spid="_x0000_s2105"/>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Yozosoft</Company>
  <Pages>56</Pages>
  <Words>4511</Words>
  <Characters>25716</Characters>
  <Lines>214</Lines>
  <Paragraphs>60</Paragraphs>
  <TotalTime>134</TotalTime>
  <ScaleCrop>false</ScaleCrop>
  <LinksUpToDate>false</LinksUpToDate>
  <CharactersWithSpaces>30167</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2020-05-09T14:11:00Z</dcterms:created>
  <dc:creator>User274</dc:creator>
  <cp:lastModifiedBy>周顺武</cp:lastModifiedBy>
  <cp:lastPrinted>2022-04-20T10:21:00Z</cp:lastPrinted>
  <dcterms:modified xsi:type="dcterms:W3CDTF">2026-09-10T17:49:07Z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